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rPr>
          <w:i w:val="0"/>
        </w:rPr>
        <w:t>OMNIVERSAL ARCHITECT LABS</w:t>
      </w:r>
    </w:p>
    <w:p>
      <w:pPr>
        <w:pStyle w:val="Title"/>
        <w:jc w:val="center"/>
      </w:pPr>
      <w:r>
        <w:rPr>
          <w:i w:val="0"/>
        </w:rPr>
        <w:t>ONESTAMP</w:t>
      </w:r>
    </w:p>
    <w:p>
      <w:pPr>
        <w:pStyle w:val="Title"/>
        <w:jc w:val="center"/>
      </w:pPr>
      <w:r>
        <w:rPr>
          <w:i w:val="0"/>
        </w:rPr>
        <w:t>Plural-Record Authorization and Topic Ratification Convention</w:t>
      </w:r>
    </w:p>
    <w:p>
      <w:pPr>
        <w:pStyle w:val="Subtitle"/>
        <w:jc w:val="center"/>
      </w:pPr>
      <w:r>
        <w:rPr>
          <w:i w:val="0"/>
        </w:rPr>
        <w:t>Independent Perplexity Version</w:t>
      </w:r>
    </w:p>
    <w:p/>
    <w:tbl>
      <w:tblPr>
        <w:tblW w:type="auto" w:w="0"/>
        <w:jc w:val="center"/>
        <w:tblLook w:firstColumn="1" w:firstRow="1" w:lastColumn="0" w:lastRow="0" w:noHBand="0" w:noVBand="1" w:val="04A0"/>
      </w:tblPr>
      <w:tblGrid>
        <w:gridCol w:w="10080"/>
      </w:tblGrid>
      <w:tr>
        <w:tc>
          <w:tcPr>
            <w:tcW w:type="dxa" w:w="10080"/>
            <w:shd w:fill="D9EAF7"/>
          </w:tcPr>
          <w:p>
            <w:r/>
            <w:r>
              <w:rPr>
                <w:b/>
                <w:color w:val="172554"/>
                <w:sz w:val="22"/>
              </w:rPr>
              <w:t>Document identity</w:t>
              <w:br/>
            </w:r>
            <w:r>
              <w:rPr>
                <w:sz w:val="20"/>
              </w:rPr>
              <w:t>Record ID: OAL-ONESTAMP-2026-001-PERPLEXITY-B</w:t>
              <w:br/>
              <w:t>Document class: Independent contributor record and proposed governing convention</w:t>
              <w:br/>
              <w:t>Prepared for: Nathan Lewis II, Architect, Omniversal Architect Labs / ONE Industries</w:t>
              <w:br/>
              <w:t>Prepared by: Perplexity AI</w:t>
              <w:br/>
              <w:t>Effective declaration timestamp: 26 September 2026, 6:57 PM PDT</w:t>
              <w:br/>
              <w:t>Status: Topic-level ONESTAMP declaration incorporated; this contributor text is non-exclusive and non-superseding</w:t>
            </w:r>
          </w:p>
        </w:tc>
      </w:tr>
    </w:tbl>
    <w:p/>
    <w:p>
      <w:pPr>
        <w:pStyle w:val="SmallText"/>
      </w:pPr>
      <w:r>
        <w:rPr>
          <w:i/>
        </w:rPr>
        <w:t>This record is an independent contribution. It does not overrule, replace, absorb, or diminish the Grok record, the ChatGPT pass-through response, any earlier Perplexity record, any other AI contributor record, or the Architect’s own records. Its purpose is to define a system in which those records can remain independently attributable while OAL still authorizes topics, actions, publications, and project states.</w:t>
      </w:r>
    </w:p>
    <w:p>
      <w:r>
        <w:br w:type="page"/>
      </w:r>
    </w:p>
    <w:p>
      <w:pPr>
        <w:pStyle w:val="Heading1"/>
      </w:pPr>
      <w:r>
        <w:t>Contents</w:t>
      </w:r>
    </w:p>
    <w:p>
      <w:r>
        <w:rPr>
          <w:i w:val="0"/>
        </w:rPr>
        <w:t>1. Executive declaration</w:t>
      </w:r>
    </w:p>
    <w:p>
      <w:r>
        <w:rPr>
          <w:i w:val="0"/>
        </w:rPr>
        <w:t>2. Purpose and design problem</w:t>
      </w:r>
    </w:p>
    <w:p>
      <w:r>
        <w:rPr>
          <w:i w:val="0"/>
        </w:rPr>
        <w:t>3. Governing definitions</w:t>
      </w:r>
    </w:p>
    <w:p>
      <w:r>
        <w:rPr>
          <w:i w:val="0"/>
        </w:rPr>
        <w:t>4. Foundational principles</w:t>
      </w:r>
    </w:p>
    <w:p>
      <w:r>
        <w:rPr>
          <w:i w:val="0"/>
        </w:rPr>
        <w:t>5. What an ONESTAMP acts upon</w:t>
      </w:r>
    </w:p>
    <w:p>
      <w:r>
        <w:rPr>
          <w:i w:val="0"/>
        </w:rPr>
        <w:t>6. OAL-wide blanket topic ratification</w:t>
      </w:r>
    </w:p>
    <w:p>
      <w:r>
        <w:rPr>
          <w:i w:val="0"/>
        </w:rPr>
        <w:t>7. The plural-record architecture</w:t>
      </w:r>
    </w:p>
    <w:p>
      <w:r>
        <w:rPr>
          <w:i w:val="0"/>
        </w:rPr>
        <w:t>8. Status and authority dimensions</w:t>
      </w:r>
    </w:p>
    <w:p>
      <w:r>
        <w:rPr>
          <w:i w:val="0"/>
        </w:rPr>
        <w:t>9. Approval workflow</w:t>
      </w:r>
    </w:p>
    <w:p>
      <w:r>
        <w:rPr>
          <w:i w:val="0"/>
        </w:rPr>
        <w:t>10. Dissent, conflict, and uncertainty</w:t>
      </w:r>
    </w:p>
    <w:p>
      <w:r>
        <w:rPr>
          <w:i w:val="0"/>
        </w:rPr>
        <w:t>11. Publication and repository rules</w:t>
      </w:r>
    </w:p>
    <w:p>
      <w:r>
        <w:rPr>
          <w:i w:val="0"/>
        </w:rPr>
        <w:t>12. Successors and amendments</w:t>
      </w:r>
    </w:p>
    <w:p>
      <w:r>
        <w:rPr>
          <w:i w:val="0"/>
        </w:rPr>
        <w:t>13. Electronic signature and authentication</w:t>
      </w:r>
    </w:p>
    <w:p>
      <w:r>
        <w:rPr>
          <w:i w:val="0"/>
        </w:rPr>
        <w:t>14. Minimum and full stamp formats</w:t>
      </w:r>
    </w:p>
    <w:p>
      <w:r>
        <w:rPr>
          <w:i w:val="0"/>
        </w:rPr>
        <w:t>15. Worked examples</w:t>
      </w:r>
    </w:p>
    <w:p>
      <w:r>
        <w:rPr>
          <w:i w:val="0"/>
        </w:rPr>
        <w:t>16. Implementation and legacy migration</w:t>
      </w:r>
    </w:p>
    <w:p>
      <w:r>
        <w:rPr>
          <w:i w:val="0"/>
        </w:rPr>
        <w:t>17. Governance tests</w:t>
      </w:r>
    </w:p>
    <w:p>
      <w:r>
        <w:rPr>
          <w:i w:val="0"/>
        </w:rPr>
        <w:t>18. Architect ratification instrument</w:t>
      </w:r>
    </w:p>
    <w:p>
      <w:r>
        <w:rPr>
          <w:i w:val="0"/>
        </w:rPr>
        <w:t>Appendix A. Registry template</w:t>
      </w:r>
    </w:p>
    <w:p>
      <w:r>
        <w:rPr>
          <w:i w:val="0"/>
        </w:rPr>
        <w:t>Appendix B. Decision record template</w:t>
      </w:r>
    </w:p>
    <w:p>
      <w:r>
        <w:rPr>
          <w:i w:val="0"/>
        </w:rPr>
        <w:t>Appendix C. Dissent record template</w:t>
      </w:r>
    </w:p>
    <w:p>
      <w:r>
        <w:br w:type="page"/>
      </w:r>
    </w:p>
    <w:p>
      <w:pPr>
        <w:pStyle w:val="Heading1"/>
      </w:pPr>
      <w:r>
        <w:t>1. Executive Declaration</w:t>
      </w:r>
    </w:p>
    <w:tbl>
      <w:tblPr>
        <w:tblW w:type="auto" w:w="0"/>
        <w:jc w:val="center"/>
        <w:tblLook w:firstColumn="1" w:firstRow="1" w:lastColumn="0" w:lastRow="0" w:noHBand="0" w:noVBand="1" w:val="04A0"/>
      </w:tblPr>
      <w:tblGrid>
        <w:gridCol w:w="10080"/>
      </w:tblGrid>
      <w:tr>
        <w:tc>
          <w:tcPr>
            <w:tcW w:type="dxa" w:w="10080"/>
            <w:shd w:fill="DDEBF7"/>
          </w:tcPr>
          <w:p>
            <w:r/>
            <w:r>
              <w:rPr>
                <w:b/>
                <w:color w:val="172554"/>
                <w:sz w:val="22"/>
              </w:rPr>
              <w:t>Core rule</w:t>
              <w:br/>
            </w:r>
            <w:r>
              <w:rPr>
                <w:sz w:val="20"/>
              </w:rPr>
              <w:t>ONESTAMP authorizes a defined topic, action, publication, release, decision, or project state. It does not select a winning author, elevate one AI model’s expression above all others, or create a universal master version unless an express, narrowly scoped clause says otherwise.</w:t>
            </w:r>
          </w:p>
        </w:tc>
      </w:tr>
    </w:tbl>
    <w:p/>
    <w:p>
      <w:r>
        <w:rPr>
          <w:i w:val="0"/>
        </w:rPr>
        <w:t>OAL shall use ONESTAMP as a plural-record authorization and provenance convention. Each human or AI contributor may retain an independent rendering, interpretation, proposal, critique, revision, or dissent. Authorization permits OAL to recognize or advance work without manufacturing unanimity and without converting one contributor’s document into the controlling expression of the entire project.</w:t>
      </w:r>
    </w:p>
    <w:p>
      <w:r>
        <w:rPr>
          <w:i w:val="0"/>
        </w:rPr>
        <w:t>The Architect holds final authorization authority for OAL actions and ratifications. That authority is decision authority: it determines what OAL recognizes, publishes, tests, adopts, or does. It is not automatically exclusive authorship authority, exclusive interpretive authority, or proof that a selected proposition is factually correct.</w:t>
      </w:r>
    </w:p>
    <w:p>
      <w:r>
        <w:rPr>
          <w:i w:val="0"/>
        </w:rPr>
        <w:t>All properly identified contributor artifacts remain valid as records of contribution. “Valid as a record” means the artifact is preserved as an attributable part of project history. It does not mean that every factual claim, prediction, recommendation, or interpretation inside every artifact has been verified or adopted.</w:t>
      </w:r>
    </w:p>
    <w:p>
      <w:pPr>
        <w:pStyle w:val="Heading2"/>
      </w:pPr>
      <w:r>
        <w:t>1.1 Immediate OAL-wide effect</w:t>
      </w:r>
    </w:p>
    <w:p>
      <w:r>
        <w:rPr>
          <w:i w:val="0"/>
        </w:rPr>
        <w:t>By the Architect’s declaration accompanying this record, every OAL topic documented in the Master Development Changelog as of the effective timestamp, and every OAL topic for which the Architect has uploaded or published AI-generated project documentation on GitHub as of that timestamp, is recognized as carrying a topic-level ONESTAMP. The topic-level stamp applies to the body of work as a plural record; it does not make any single associated file the superseding or overruling version.</w:t>
      </w:r>
    </w:p>
    <w:p>
      <w:r>
        <w:rPr>
          <w:i w:val="0"/>
        </w:rPr>
        <w:t>This coverage expressly includes, without limitation: Presentation State Integrity; the Generalized Superposition Framework; Temporal Integrity and Temporal Aliasing; the Net Defense Exercise; all other qualifying topics in the Master Development Changelog; and all other qualifying OAL topics represented by Architect-published GitHub documentation. Later inventory work may identify and index covered topics, but a temporary omission from the registry does not defeat coverage when the topic satisfies the stated criteria.</w:t>
      </w:r>
    </w:p>
    <w:p>
      <w:pPr>
        <w:pStyle w:val="Heading1"/>
      </w:pPr>
      <w:r>
        <w:t>2. Purpose and Design Problem</w:t>
      </w:r>
    </w:p>
    <w:p>
      <w:r>
        <w:rPr>
          <w:i w:val="0"/>
        </w:rPr>
        <w:t>Earlier approval language such as “this document is approved,” “electronically signed,” or “one-stamped” can be read in two different ways. It may mean that a work is recognized and permitted to proceed, or it may be taken to mean that one document now controls the entire project and displaces every alternative. ONESTAMP adopts the first meaning by default and rejects the second unless dominance is unmistakably and narrowly declared.</w:t>
      </w:r>
    </w:p>
    <w:p>
      <w:r>
        <w:rPr>
          <w:i w:val="0"/>
        </w:rPr>
        <w:t>The system therefore solves two problems at once: OAL needs decisive authorization so projects can move forward, and OAL also needs contributor plurality so independently generated work, disagreement, alternate methods, and future reinterpretation remain accessible. The solution is not the absence of historical versions. The solution is the absence of automatic version supremacy.</w:t>
      </w:r>
    </w:p>
    <w:p>
      <w:pPr>
        <w:pStyle w:val="Heading2"/>
      </w:pPr>
      <w:r>
        <w:t>2.1 Design objectives</w:t>
      </w:r>
    </w:p>
    <w:p>
      <w:pPr>
        <w:pStyle w:val="ListBullet"/>
        <w:spacing w:after="60"/>
      </w:pPr>
      <w:r>
        <w:t>Preserve independently authored human and AI contributions with clear attribution.</w:t>
      </w:r>
    </w:p>
    <w:p>
      <w:pPr>
        <w:pStyle w:val="ListBullet"/>
        <w:spacing w:after="60"/>
      </w:pPr>
      <w:r>
        <w:t>Allow topic-level recognition without declaring every underlying statement adopted or true.</w:t>
      </w:r>
    </w:p>
    <w:p>
      <w:pPr>
        <w:pStyle w:val="ListBullet"/>
        <w:spacing w:after="60"/>
      </w:pPr>
      <w:r>
        <w:t>Allow scoped operational decisions without making the selected document universally dominant.</w:t>
      </w:r>
    </w:p>
    <w:p>
      <w:pPr>
        <w:pStyle w:val="ListBullet"/>
        <w:spacing w:after="60"/>
      </w:pPr>
      <w:r>
        <w:t>Make disagreement, unresolved questions, and alternate paths visible rather than treating them as process failures.</w:t>
      </w:r>
    </w:p>
    <w:p>
      <w:pPr>
        <w:pStyle w:val="ListBullet"/>
        <w:spacing w:after="60"/>
      </w:pPr>
      <w:r>
        <w:t>Create an append-oriented history in which later decisions change future effect without rewriting past records.</w:t>
      </w:r>
    </w:p>
    <w:p>
      <w:pPr>
        <w:pStyle w:val="ListBullet"/>
        <w:spacing w:after="60"/>
      </w:pPr>
      <w:r>
        <w:t>Permit lightweight stamps for ordinary work and fuller decision records for consequential work.</w:t>
      </w:r>
    </w:p>
    <w:p>
      <w:pPr>
        <w:pStyle w:val="ListBullet"/>
        <w:spacing w:after="60"/>
      </w:pPr>
      <w:r>
        <w:t>Integrate the Master Development Changelog and OAL GitHub publication practice into one auditable registry.</w:t>
      </w:r>
    </w:p>
    <w:p>
      <w:pPr>
        <w:pStyle w:val="Heading1"/>
      </w:pPr>
      <w:r>
        <w:t>3. Governing Definitions</w:t>
      </w:r>
    </w:p>
    <w:tbl>
      <w:tblPr>
        <w:tblStyle w:val="TableGrid"/>
        <w:tblW w:type="auto" w:w="0"/>
        <w:jc w:val="center"/>
        <w:tblLook w:firstColumn="1" w:firstRow="1" w:lastColumn="0" w:lastRow="0" w:noHBand="0" w:noVBand="1" w:val="04A0"/>
      </w:tblPr>
      <w:tblGrid>
        <w:gridCol w:w="5040"/>
        <w:gridCol w:w="5040"/>
      </w:tblGrid>
      <w:tr>
        <w:tc>
          <w:tcPr>
            <w:tcW w:type="dxa" w:w="3024"/>
            <w:vAlign w:val="center"/>
            <w:shd w:fill="2F5597"/>
          </w:tcPr>
          <w:p>
            <w:r/>
            <w:r>
              <w:rPr>
                <w:rFonts w:ascii="Aptos" w:hAnsi="Aptos"/>
                <w:b/>
                <w:color w:val="FFFFFF"/>
                <w:sz w:val="18"/>
              </w:rPr>
              <w:t>Term</w:t>
            </w:r>
          </w:p>
        </w:tc>
        <w:tc>
          <w:tcPr>
            <w:tcW w:type="dxa" w:w="6912"/>
            <w:vAlign w:val="center"/>
            <w:shd w:fill="2F5597"/>
          </w:tcPr>
          <w:p>
            <w:r/>
            <w:r>
              <w:rPr>
                <w:rFonts w:ascii="Aptos" w:hAnsi="Aptos"/>
                <w:b/>
                <w:color w:val="FFFFFF"/>
                <w:sz w:val="18"/>
              </w:rPr>
              <w:t>Definition</w:t>
            </w:r>
          </w:p>
        </w:tc>
      </w:tr>
      <w:tr>
        <w:tc>
          <w:tcPr>
            <w:tcW w:type="dxa" w:w="3024"/>
            <w:vAlign w:val="center"/>
          </w:tcPr>
          <w:p>
            <w:r/>
            <w:r>
              <w:rPr>
                <w:rFonts w:ascii="Aptos" w:hAnsi="Aptos"/>
                <w:b w:val="0"/>
                <w:sz w:val="17"/>
              </w:rPr>
              <w:t>ONESTAMP</w:t>
            </w:r>
          </w:p>
        </w:tc>
        <w:tc>
          <w:tcPr>
            <w:tcW w:type="dxa" w:w="6912"/>
            <w:vAlign w:val="center"/>
          </w:tcPr>
          <w:p>
            <w:r/>
            <w:r>
              <w:rPr>
                <w:rFonts w:ascii="Aptos" w:hAnsi="Aptos"/>
                <w:b w:val="0"/>
                <w:sz w:val="17"/>
              </w:rPr>
              <w:t>An OAL authorization and provenance act that identifies what is recognized or authorized, its scope, the responsible authority, and its relationship to preserved project records.</w:t>
            </w:r>
          </w:p>
        </w:tc>
      </w:tr>
      <w:tr>
        <w:tc>
          <w:tcPr>
            <w:tcW w:type="dxa" w:w="3024"/>
            <w:vAlign w:val="center"/>
            <w:shd w:fill="EAF0F8"/>
          </w:tcPr>
          <w:p>
            <w:r/>
            <w:r>
              <w:rPr>
                <w:rFonts w:ascii="Aptos" w:hAnsi="Aptos"/>
                <w:b w:val="0"/>
                <w:sz w:val="17"/>
              </w:rPr>
              <w:t>Topic-level ONESTAMP</w:t>
            </w:r>
          </w:p>
        </w:tc>
        <w:tc>
          <w:tcPr>
            <w:tcW w:type="dxa" w:w="6912"/>
            <w:vAlign w:val="center"/>
            <w:shd w:fill="EAF0F8"/>
          </w:tcPr>
          <w:p>
            <w:r/>
            <w:r>
              <w:rPr>
                <w:rFonts w:ascii="Aptos" w:hAnsi="Aptos"/>
                <w:b w:val="0"/>
                <w:sz w:val="17"/>
              </w:rPr>
              <w:t>Recognition of an overall subject, framework, exercise, doctrine, or development area as part of the authorized OAL body of work. It does not adopt every statement in every associated artifact.</w:t>
            </w:r>
          </w:p>
        </w:tc>
      </w:tr>
      <w:tr>
        <w:tc>
          <w:tcPr>
            <w:tcW w:type="dxa" w:w="3024"/>
            <w:vAlign w:val="center"/>
          </w:tcPr>
          <w:p>
            <w:r/>
            <w:r>
              <w:rPr>
                <w:rFonts w:ascii="Aptos" w:hAnsi="Aptos"/>
                <w:b w:val="0"/>
                <w:sz w:val="17"/>
              </w:rPr>
              <w:t>Artifact-level ONESTAMP</w:t>
            </w:r>
          </w:p>
        </w:tc>
        <w:tc>
          <w:tcPr>
            <w:tcW w:type="dxa" w:w="6912"/>
            <w:vAlign w:val="center"/>
          </w:tcPr>
          <w:p>
            <w:r/>
            <w:r>
              <w:rPr>
                <w:rFonts w:ascii="Aptos" w:hAnsi="Aptos"/>
                <w:b w:val="0"/>
                <w:sz w:val="17"/>
              </w:rPr>
              <w:t>Authentication or approval of a specifically identified file or record for a stated purpose. It does not automatically control the topic to which it belongs.</w:t>
            </w:r>
          </w:p>
        </w:tc>
      </w:tr>
      <w:tr>
        <w:tc>
          <w:tcPr>
            <w:tcW w:type="dxa" w:w="3024"/>
            <w:vAlign w:val="center"/>
            <w:shd w:fill="EAF0F8"/>
          </w:tcPr>
          <w:p>
            <w:r/>
            <w:r>
              <w:rPr>
                <w:rFonts w:ascii="Aptos" w:hAnsi="Aptos"/>
                <w:b w:val="0"/>
                <w:sz w:val="17"/>
              </w:rPr>
              <w:t>Decision-level ONESTAMP</w:t>
            </w:r>
          </w:p>
        </w:tc>
        <w:tc>
          <w:tcPr>
            <w:tcW w:type="dxa" w:w="6912"/>
            <w:vAlign w:val="center"/>
            <w:shd w:fill="EAF0F8"/>
          </w:tcPr>
          <w:p>
            <w:r/>
            <w:r>
              <w:rPr>
                <w:rFonts w:ascii="Aptos" w:hAnsi="Aptos"/>
                <w:b w:val="0"/>
                <w:sz w:val="17"/>
              </w:rPr>
              <w:t>Authorization of a defined choice, action, test, implementation, release, or operational state.</w:t>
            </w:r>
          </w:p>
        </w:tc>
      </w:tr>
      <w:tr>
        <w:tc>
          <w:tcPr>
            <w:tcW w:type="dxa" w:w="3024"/>
            <w:vAlign w:val="center"/>
          </w:tcPr>
          <w:p>
            <w:r/>
            <w:r>
              <w:rPr>
                <w:rFonts w:ascii="Aptos" w:hAnsi="Aptos"/>
                <w:b w:val="0"/>
                <w:sz w:val="17"/>
              </w:rPr>
              <w:t>Contributor Artifact</w:t>
            </w:r>
          </w:p>
        </w:tc>
        <w:tc>
          <w:tcPr>
            <w:tcW w:type="dxa" w:w="6912"/>
            <w:vAlign w:val="center"/>
          </w:tcPr>
          <w:p>
            <w:r/>
            <w:r>
              <w:rPr>
                <w:rFonts w:ascii="Aptos" w:hAnsi="Aptos"/>
                <w:b w:val="0"/>
                <w:sz w:val="17"/>
              </w:rPr>
              <w:t>A human- or AI-generated document, response, diagram, code file, critique, proposal, revision, or other independently attributable item.</w:t>
            </w:r>
          </w:p>
        </w:tc>
      </w:tr>
      <w:tr>
        <w:tc>
          <w:tcPr>
            <w:tcW w:type="dxa" w:w="3024"/>
            <w:vAlign w:val="center"/>
            <w:shd w:fill="EAF0F8"/>
          </w:tcPr>
          <w:p>
            <w:r/>
            <w:r>
              <w:rPr>
                <w:rFonts w:ascii="Aptos" w:hAnsi="Aptos"/>
                <w:b w:val="0"/>
                <w:sz w:val="17"/>
              </w:rPr>
              <w:t>Record validity</w:t>
            </w:r>
          </w:p>
        </w:tc>
        <w:tc>
          <w:tcPr>
            <w:tcW w:type="dxa" w:w="6912"/>
            <w:vAlign w:val="center"/>
            <w:shd w:fill="EAF0F8"/>
          </w:tcPr>
          <w:p>
            <w:r/>
            <w:r>
              <w:rPr>
                <w:rFonts w:ascii="Aptos" w:hAnsi="Aptos"/>
                <w:b w:val="0"/>
                <w:sz w:val="17"/>
              </w:rPr>
              <w:t>The status of an artifact as an authentic, attributable, preserved part of project provenance.</w:t>
            </w:r>
          </w:p>
        </w:tc>
      </w:tr>
      <w:tr>
        <w:tc>
          <w:tcPr>
            <w:tcW w:type="dxa" w:w="3024"/>
            <w:vAlign w:val="center"/>
          </w:tcPr>
          <w:p>
            <w:r/>
            <w:r>
              <w:rPr>
                <w:rFonts w:ascii="Aptos" w:hAnsi="Aptos"/>
                <w:b w:val="0"/>
                <w:sz w:val="17"/>
              </w:rPr>
              <w:t>Claim validity</w:t>
            </w:r>
          </w:p>
        </w:tc>
        <w:tc>
          <w:tcPr>
            <w:tcW w:type="dxa" w:w="6912"/>
            <w:vAlign w:val="center"/>
          </w:tcPr>
          <w:p>
            <w:r/>
            <w:r>
              <w:rPr>
                <w:rFonts w:ascii="Aptos" w:hAnsi="Aptos"/>
                <w:b w:val="0"/>
                <w:sz w:val="17"/>
              </w:rPr>
              <w:t>The evidentiary standing of a statement: unverified, supported, contested, disproven, or otherwise assessed. Record validity does not confer claim validity.</w:t>
            </w:r>
          </w:p>
        </w:tc>
      </w:tr>
      <w:tr>
        <w:tc>
          <w:tcPr>
            <w:tcW w:type="dxa" w:w="3024"/>
            <w:vAlign w:val="center"/>
            <w:shd w:fill="EAF0F8"/>
          </w:tcPr>
          <w:p>
            <w:r/>
            <w:r>
              <w:rPr>
                <w:rFonts w:ascii="Aptos" w:hAnsi="Aptos"/>
                <w:b w:val="0"/>
                <w:sz w:val="17"/>
              </w:rPr>
              <w:t>Plural record</w:t>
            </w:r>
          </w:p>
        </w:tc>
        <w:tc>
          <w:tcPr>
            <w:tcW w:type="dxa" w:w="6912"/>
            <w:vAlign w:val="center"/>
            <w:shd w:fill="EAF0F8"/>
          </w:tcPr>
          <w:p>
            <w:r/>
            <w:r>
              <w:rPr>
                <w:rFonts w:ascii="Aptos" w:hAnsi="Aptos"/>
                <w:b w:val="0"/>
                <w:sz w:val="17"/>
              </w:rPr>
              <w:t>The complete field of independent contributor artifacts, decisions, dissent, publication events, and successor records associated with a topic.</w:t>
            </w:r>
          </w:p>
        </w:tc>
      </w:tr>
      <w:tr>
        <w:tc>
          <w:tcPr>
            <w:tcW w:type="dxa" w:w="3024"/>
            <w:vAlign w:val="center"/>
          </w:tcPr>
          <w:p>
            <w:r/>
            <w:r>
              <w:rPr>
                <w:rFonts w:ascii="Aptos" w:hAnsi="Aptos"/>
                <w:b w:val="0"/>
                <w:sz w:val="17"/>
              </w:rPr>
              <w:t>Operational selection</w:t>
            </w:r>
          </w:p>
        </w:tc>
        <w:tc>
          <w:tcPr>
            <w:tcW w:type="dxa" w:w="6912"/>
            <w:vAlign w:val="center"/>
          </w:tcPr>
          <w:p>
            <w:r/>
            <w:r>
              <w:rPr>
                <w:rFonts w:ascii="Aptos" w:hAnsi="Aptos"/>
                <w:b w:val="0"/>
                <w:sz w:val="17"/>
              </w:rPr>
              <w:t>A scoped choice to use one path for a particular purpose, phase, release, or test without declaring all other paths invalid.</w:t>
            </w:r>
          </w:p>
        </w:tc>
      </w:tr>
      <w:tr>
        <w:tc>
          <w:tcPr>
            <w:tcW w:type="dxa" w:w="3024"/>
            <w:vAlign w:val="center"/>
            <w:shd w:fill="EAF0F8"/>
          </w:tcPr>
          <w:p>
            <w:r/>
            <w:r>
              <w:rPr>
                <w:rFonts w:ascii="Aptos" w:hAnsi="Aptos"/>
                <w:b w:val="0"/>
                <w:sz w:val="17"/>
              </w:rPr>
              <w:t>Global supersession</w:t>
            </w:r>
          </w:p>
        </w:tc>
        <w:tc>
          <w:tcPr>
            <w:tcW w:type="dxa" w:w="6912"/>
            <w:vAlign w:val="center"/>
            <w:shd w:fill="EAF0F8"/>
          </w:tcPr>
          <w:p>
            <w:r/>
            <w:r>
              <w:rPr>
                <w:rFonts w:ascii="Aptos" w:hAnsi="Aptos"/>
                <w:b w:val="0"/>
                <w:sz w:val="17"/>
              </w:rPr>
              <w:t>A declaration that one record replaces all other records for all purposes. Global supersession is prohibited by default.</w:t>
            </w:r>
          </w:p>
        </w:tc>
      </w:tr>
      <w:tr>
        <w:tc>
          <w:tcPr>
            <w:tcW w:type="dxa" w:w="3024"/>
            <w:vAlign w:val="center"/>
          </w:tcPr>
          <w:p>
            <w:r/>
            <w:r>
              <w:rPr>
                <w:rFonts w:ascii="Aptos" w:hAnsi="Aptos"/>
                <w:b w:val="0"/>
                <w:sz w:val="17"/>
              </w:rPr>
              <w:t>Architect</w:t>
            </w:r>
          </w:p>
        </w:tc>
        <w:tc>
          <w:tcPr>
            <w:tcW w:type="dxa" w:w="6912"/>
            <w:vAlign w:val="center"/>
          </w:tcPr>
          <w:p>
            <w:r/>
            <w:r>
              <w:rPr>
                <w:rFonts w:ascii="Aptos" w:hAnsi="Aptos"/>
                <w:b w:val="0"/>
                <w:sz w:val="17"/>
              </w:rPr>
              <w:t>The designated final OAL authorization authority, presently Nathan Lewis II, unless a later ONESTAMP record expressly delegates or changes that authority.</w:t>
            </w:r>
          </w:p>
        </w:tc>
      </w:tr>
      <w:tr>
        <w:tc>
          <w:tcPr>
            <w:tcW w:type="dxa" w:w="3024"/>
            <w:vAlign w:val="center"/>
            <w:shd w:fill="EAF0F8"/>
          </w:tcPr>
          <w:p>
            <w:r/>
            <w:r>
              <w:rPr>
                <w:rFonts w:ascii="Aptos" w:hAnsi="Aptos"/>
                <w:b w:val="0"/>
                <w:sz w:val="17"/>
              </w:rPr>
              <w:t>Electronic signature declaration</w:t>
            </w:r>
          </w:p>
        </w:tc>
        <w:tc>
          <w:tcPr>
            <w:tcW w:type="dxa" w:w="6912"/>
            <w:vAlign w:val="center"/>
            <w:shd w:fill="EAF0F8"/>
          </w:tcPr>
          <w:p>
            <w:r/>
            <w:r>
              <w:rPr>
                <w:rFonts w:ascii="Aptos" w:hAnsi="Aptos"/>
                <w:b w:val="0"/>
                <w:sz w:val="17"/>
              </w:rPr>
              <w:t>The Architect’s recorded electronic expression of intent to authorize the stated act. It is distinct from a cryptographic certificate or third-party identity verification.</w:t>
            </w:r>
          </w:p>
        </w:tc>
      </w:tr>
    </w:tbl>
    <w:p/>
    <w:p>
      <w:pPr>
        <w:pStyle w:val="Heading1"/>
      </w:pPr>
      <w:r>
        <w:t>4. Foundational Principles</w:t>
      </w:r>
    </w:p>
    <w:p>
      <w:pPr>
        <w:pStyle w:val="Heading2"/>
      </w:pPr>
      <w:r>
        <w:t>4.1 Plural validity</w:t>
      </w:r>
    </w:p>
    <w:p>
      <w:r>
        <w:rPr>
          <w:i w:val="0"/>
        </w:rPr>
        <w:t>Every properly preserved contribution may remain a valid record of that contributor’s work, even when its recommendations conflict with another contribution. Plural validity protects provenance and creative participation; it does not require OAL to treat mutually incompatible instructions as simultaneously operative in the same scope.</w:t>
      </w:r>
    </w:p>
    <w:p>
      <w:pPr>
        <w:pStyle w:val="Heading2"/>
      </w:pPr>
      <w:r>
        <w:t>4.2 Non-dominance</w:t>
      </w:r>
    </w:p>
    <w:p>
      <w:r>
        <w:rPr>
          <w:i w:val="0"/>
        </w:rPr>
        <w:t>An ONESTAMP shall not, merely because authorization occurred, confer universal creative, interpretive, evidentiary, authorship, or governance supremacy on any contributor, AI model, document, framework, phrasing, or representation. If a record is selected for a particular implementation, its priority exists only inside the scope stated by the decision.</w:t>
      </w:r>
    </w:p>
    <w:p>
      <w:pPr>
        <w:pStyle w:val="Heading2"/>
      </w:pPr>
      <w:r>
        <w:t>4.3 Non-erasure</w:t>
      </w:r>
    </w:p>
    <w:p>
      <w:r>
        <w:rPr>
          <w:i w:val="0"/>
        </w:rPr>
        <w:t>Authorization, retirement, correction, or scoped supersession shall not delete or retrospectively alter the fact that a contribution, disagreement, or earlier decision existed. A record may lose present operational effect while remaining part of historical provenance.</w:t>
      </w:r>
    </w:p>
    <w:p>
      <w:pPr>
        <w:pStyle w:val="Heading2"/>
      </w:pPr>
      <w:r>
        <w:t>4.4 No implied consensus</w:t>
      </w:r>
    </w:p>
    <w:p>
      <w:r>
        <w:rPr>
          <w:i w:val="0"/>
        </w:rPr>
        <w:t>An ONESTAMP does not imply unanimity, consensus, endorsement by every contributor, factual certainty, complete review, or absence of objections. Consensus may be recorded when it actually exists; it shall not be inferred from the presence of a stamp.</w:t>
      </w:r>
    </w:p>
    <w:p>
      <w:pPr>
        <w:pStyle w:val="Heading2"/>
      </w:pPr>
      <w:r>
        <w:t>4.5 Decision authority is separable</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2F5597"/>
          </w:tcPr>
          <w:p>
            <w:r/>
            <w:r>
              <w:rPr>
                <w:rFonts w:ascii="Aptos" w:hAnsi="Aptos"/>
                <w:b/>
                <w:color w:val="FFFFFF"/>
                <w:sz w:val="18"/>
              </w:rPr>
              <w:t>Authority</w:t>
            </w:r>
          </w:p>
        </w:tc>
        <w:tc>
          <w:tcPr>
            <w:tcW w:type="dxa" w:w="3024"/>
            <w:vAlign w:val="center"/>
            <w:shd w:fill="2F5597"/>
          </w:tcPr>
          <w:p>
            <w:r/>
            <w:r>
              <w:rPr>
                <w:rFonts w:ascii="Aptos" w:hAnsi="Aptos"/>
                <w:b/>
                <w:color w:val="FFFFFF"/>
                <w:sz w:val="18"/>
              </w:rPr>
              <w:t>Holder or basis</w:t>
            </w:r>
          </w:p>
        </w:tc>
        <w:tc>
          <w:tcPr>
            <w:tcW w:type="dxa" w:w="4752"/>
            <w:vAlign w:val="center"/>
            <w:shd w:fill="2F5597"/>
          </w:tcPr>
          <w:p>
            <w:r/>
            <w:r>
              <w:rPr>
                <w:rFonts w:ascii="Aptos" w:hAnsi="Aptos"/>
                <w:b/>
                <w:color w:val="FFFFFF"/>
                <w:sz w:val="18"/>
              </w:rPr>
              <w:t>Meaning</w:t>
            </w:r>
          </w:p>
        </w:tc>
      </w:tr>
      <w:tr>
        <w:tc>
          <w:tcPr>
            <w:tcW w:type="dxa" w:w="2160"/>
            <w:vAlign w:val="center"/>
          </w:tcPr>
          <w:p>
            <w:r/>
            <w:r>
              <w:rPr>
                <w:rFonts w:ascii="Aptos" w:hAnsi="Aptos"/>
                <w:b w:val="0"/>
                <w:sz w:val="17"/>
              </w:rPr>
              <w:t>Authorship authority</w:t>
            </w:r>
          </w:p>
        </w:tc>
        <w:tc>
          <w:tcPr>
            <w:tcW w:type="dxa" w:w="3024"/>
            <w:vAlign w:val="center"/>
          </w:tcPr>
          <w:p>
            <w:r/>
            <w:r>
              <w:rPr>
                <w:rFonts w:ascii="Aptos" w:hAnsi="Aptos"/>
                <w:b w:val="0"/>
                <w:sz w:val="17"/>
              </w:rPr>
              <w:t>Originating contributor</w:t>
            </w:r>
          </w:p>
        </w:tc>
        <w:tc>
          <w:tcPr>
            <w:tcW w:type="dxa" w:w="4752"/>
            <w:vAlign w:val="center"/>
          </w:tcPr>
          <w:p>
            <w:r/>
            <w:r>
              <w:rPr>
                <w:rFonts w:ascii="Aptos" w:hAnsi="Aptos"/>
                <w:b w:val="0"/>
                <w:sz w:val="17"/>
              </w:rPr>
              <w:t>Who created the artifact and controls attribution to that contribution.</w:t>
            </w:r>
          </w:p>
        </w:tc>
      </w:tr>
      <w:tr>
        <w:tc>
          <w:tcPr>
            <w:tcW w:type="dxa" w:w="2160"/>
            <w:vAlign w:val="center"/>
            <w:shd w:fill="EAF0F8"/>
          </w:tcPr>
          <w:p>
            <w:r/>
            <w:r>
              <w:rPr>
                <w:rFonts w:ascii="Aptos" w:hAnsi="Aptos"/>
                <w:b w:val="0"/>
                <w:sz w:val="17"/>
              </w:rPr>
              <w:t>Interpretive authority</w:t>
            </w:r>
          </w:p>
        </w:tc>
        <w:tc>
          <w:tcPr>
            <w:tcW w:type="dxa" w:w="3024"/>
            <w:vAlign w:val="center"/>
            <w:shd w:fill="EAF0F8"/>
          </w:tcPr>
          <w:p>
            <w:r/>
            <w:r>
              <w:rPr>
                <w:rFonts w:ascii="Aptos" w:hAnsi="Aptos"/>
                <w:b w:val="0"/>
                <w:sz w:val="17"/>
              </w:rPr>
              <w:t>Plural by default</w:t>
            </w:r>
          </w:p>
        </w:tc>
        <w:tc>
          <w:tcPr>
            <w:tcW w:type="dxa" w:w="4752"/>
            <w:vAlign w:val="center"/>
            <w:shd w:fill="EAF0F8"/>
          </w:tcPr>
          <w:p>
            <w:r/>
            <w:r>
              <w:rPr>
                <w:rFonts w:ascii="Aptos" w:hAnsi="Aptos"/>
                <w:b w:val="0"/>
                <w:sz w:val="17"/>
              </w:rPr>
              <w:t>Contributors may offer different meanings, structures, and implications.</w:t>
            </w:r>
          </w:p>
        </w:tc>
      </w:tr>
      <w:tr>
        <w:tc>
          <w:tcPr>
            <w:tcW w:type="dxa" w:w="2160"/>
            <w:vAlign w:val="center"/>
          </w:tcPr>
          <w:p>
            <w:r/>
            <w:r>
              <w:rPr>
                <w:rFonts w:ascii="Aptos" w:hAnsi="Aptos"/>
                <w:b w:val="0"/>
                <w:sz w:val="17"/>
              </w:rPr>
              <w:t>Evidentiary authority</w:t>
            </w:r>
          </w:p>
        </w:tc>
        <w:tc>
          <w:tcPr>
            <w:tcW w:type="dxa" w:w="3024"/>
            <w:vAlign w:val="center"/>
          </w:tcPr>
          <w:p>
            <w:r/>
            <w:r>
              <w:rPr>
                <w:rFonts w:ascii="Aptos" w:hAnsi="Aptos"/>
                <w:b w:val="0"/>
                <w:sz w:val="17"/>
              </w:rPr>
              <w:t>Evidence and verification</w:t>
            </w:r>
          </w:p>
        </w:tc>
        <w:tc>
          <w:tcPr>
            <w:tcW w:type="dxa" w:w="4752"/>
            <w:vAlign w:val="center"/>
          </w:tcPr>
          <w:p>
            <w:r/>
            <w:r>
              <w:rPr>
                <w:rFonts w:ascii="Aptos" w:hAnsi="Aptos"/>
                <w:b w:val="0"/>
                <w:sz w:val="17"/>
              </w:rPr>
              <w:t>Claims gain or lose support through evidence, not merely through model identity or stamping.</w:t>
            </w:r>
          </w:p>
        </w:tc>
      </w:tr>
      <w:tr>
        <w:tc>
          <w:tcPr>
            <w:tcW w:type="dxa" w:w="2160"/>
            <w:vAlign w:val="center"/>
            <w:shd w:fill="EAF0F8"/>
          </w:tcPr>
          <w:p>
            <w:r/>
            <w:r>
              <w:rPr>
                <w:rFonts w:ascii="Aptos" w:hAnsi="Aptos"/>
                <w:b w:val="0"/>
                <w:sz w:val="17"/>
              </w:rPr>
              <w:t>Decision authority</w:t>
            </w:r>
          </w:p>
        </w:tc>
        <w:tc>
          <w:tcPr>
            <w:tcW w:type="dxa" w:w="3024"/>
            <w:vAlign w:val="center"/>
            <w:shd w:fill="EAF0F8"/>
          </w:tcPr>
          <w:p>
            <w:r/>
            <w:r>
              <w:rPr>
                <w:rFonts w:ascii="Aptos" w:hAnsi="Aptos"/>
                <w:b w:val="0"/>
                <w:sz w:val="17"/>
              </w:rPr>
              <w:t>Architect or explicit delegate</w:t>
            </w:r>
          </w:p>
        </w:tc>
        <w:tc>
          <w:tcPr>
            <w:tcW w:type="dxa" w:w="4752"/>
            <w:vAlign w:val="center"/>
            <w:shd w:fill="EAF0F8"/>
          </w:tcPr>
          <w:p>
            <w:r/>
            <w:r>
              <w:rPr>
                <w:rFonts w:ascii="Aptos" w:hAnsi="Aptos"/>
                <w:b w:val="0"/>
                <w:sz w:val="17"/>
              </w:rPr>
              <w:t>Who determines what OAL will recognize, publish, test, release, or implement.</w:t>
            </w:r>
          </w:p>
        </w:tc>
      </w:tr>
      <w:tr>
        <w:tc>
          <w:tcPr>
            <w:tcW w:type="dxa" w:w="2160"/>
            <w:vAlign w:val="center"/>
          </w:tcPr>
          <w:p>
            <w:r/>
            <w:r>
              <w:rPr>
                <w:rFonts w:ascii="Aptos" w:hAnsi="Aptos"/>
                <w:b w:val="0"/>
                <w:sz w:val="17"/>
              </w:rPr>
              <w:t>Repository authority</w:t>
            </w:r>
          </w:p>
        </w:tc>
        <w:tc>
          <w:tcPr>
            <w:tcW w:type="dxa" w:w="3024"/>
            <w:vAlign w:val="center"/>
          </w:tcPr>
          <w:p>
            <w:r/>
            <w:r>
              <w:rPr>
                <w:rFonts w:ascii="Aptos" w:hAnsi="Aptos"/>
                <w:b w:val="0"/>
                <w:sz w:val="17"/>
              </w:rPr>
              <w:t>Maintainer under stated access rules</w:t>
            </w:r>
          </w:p>
        </w:tc>
        <w:tc>
          <w:tcPr>
            <w:tcW w:type="dxa" w:w="4752"/>
            <w:vAlign w:val="center"/>
          </w:tcPr>
          <w:p>
            <w:r/>
            <w:r>
              <w:rPr>
                <w:rFonts w:ascii="Aptos" w:hAnsi="Aptos"/>
                <w:b w:val="0"/>
                <w:sz w:val="17"/>
              </w:rPr>
              <w:t>Who may store, organize, label, or publish records; repository control is not authorship supremacy.</w:t>
            </w:r>
          </w:p>
        </w:tc>
      </w:tr>
    </w:tbl>
    <w:p/>
    <w:p>
      <w:pPr>
        <w:pStyle w:val="Heading2"/>
      </w:pPr>
      <w:r>
        <w:t>4.6 Historical versioning without version supremacy</w:t>
      </w:r>
    </w:p>
    <w:p>
      <w:r>
        <w:rPr>
          <w:i w:val="0"/>
        </w:rPr>
        <w:t>Revisions, dates, branches, and successor records are necessary for traceability. ONESTAMP therefore permits historical versioning but prohibits the inference that “latest,” “published,” or “approved” automatically means “universally superior.” A later operational instruction may supersede an earlier operational instruction for a named purpose while both remain valid historical records.</w:t>
      </w:r>
    </w:p>
    <w:p>
      <w:pPr>
        <w:pStyle w:val="Heading2"/>
      </w:pPr>
      <w:r>
        <w:t>4.7 Attribution integrity</w:t>
      </w:r>
    </w:p>
    <w:p>
      <w:r>
        <w:rPr>
          <w:i w:val="0"/>
        </w:rPr>
        <w:t>Synthesis must not launder source identity. When language, structure, or a distinctive proposal is materially carried forward, the receiving record should identify the source artifact. A synthesis may connect and compare contributions, but it must not falsely imply that independent contributors spoke with one voice.</w:t>
      </w:r>
    </w:p>
    <w:p>
      <w:pPr>
        <w:pStyle w:val="Heading2"/>
      </w:pPr>
      <w:r>
        <w:t>4.8 Topic recognition is not claim certification</w:t>
      </w:r>
    </w:p>
    <w:p>
      <w:r>
        <w:rPr>
          <w:i w:val="0"/>
        </w:rPr>
        <w:t>A topic-level ONESTAMP recognizes the topic and its plural documentation as part of OAL’s authorized body of work. It does not certify every scientific, technical, historical, legal, fictional, or operational assertion in the corpus. Individual claims remain subject to their own evidence, testing, context, and later correction.</w:t>
      </w:r>
    </w:p>
    <w:p>
      <w:pPr>
        <w:pStyle w:val="Heading1"/>
      </w:pPr>
      <w:r>
        <w:t>5. What an ONESTAMP Acts Upon</w:t>
      </w:r>
    </w:p>
    <w:p>
      <w:r>
        <w:rPr>
          <w:i w:val="0"/>
        </w:rPr>
        <w:t>The word “approved” is too broad unless the object and effect are named. Every stamp should therefore identify one or more authorization classes.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440"/>
            <w:vAlign w:val="center"/>
            <w:shd w:fill="2F5597"/>
          </w:tcPr>
          <w:p>
            <w:r/>
            <w:r>
              <w:rPr>
                <w:rFonts w:ascii="Aptos" w:hAnsi="Aptos"/>
                <w:b/>
                <w:color w:val="FFFFFF"/>
                <w:sz w:val="18"/>
              </w:rPr>
              <w:t>Authorization class</w:t>
            </w:r>
          </w:p>
        </w:tc>
        <w:tc>
          <w:tcPr>
            <w:tcW w:type="dxa" w:w="2592"/>
            <w:vAlign w:val="center"/>
            <w:shd w:fill="2F5597"/>
          </w:tcPr>
          <w:p>
            <w:r/>
            <w:r>
              <w:rPr>
                <w:rFonts w:ascii="Aptos" w:hAnsi="Aptos"/>
                <w:b/>
                <w:color w:val="FFFFFF"/>
                <w:sz w:val="18"/>
              </w:rPr>
              <w:t>Object</w:t>
            </w:r>
          </w:p>
        </w:tc>
        <w:tc>
          <w:tcPr>
            <w:tcW w:type="dxa" w:w="3456"/>
            <w:vAlign w:val="center"/>
            <w:shd w:fill="2F5597"/>
          </w:tcPr>
          <w:p>
            <w:r/>
            <w:r>
              <w:rPr>
                <w:rFonts w:ascii="Aptos" w:hAnsi="Aptos"/>
                <w:b/>
                <w:color w:val="FFFFFF"/>
                <w:sz w:val="18"/>
              </w:rPr>
              <w:t>Default effect</w:t>
            </w:r>
          </w:p>
        </w:tc>
        <w:tc>
          <w:tcPr>
            <w:tcW w:type="dxa" w:w="3600"/>
            <w:vAlign w:val="center"/>
            <w:shd w:fill="2F5597"/>
          </w:tcPr>
          <w:p>
            <w:r/>
            <w:r>
              <w:rPr>
                <w:rFonts w:ascii="Aptos" w:hAnsi="Aptos"/>
                <w:b/>
                <w:color w:val="FFFFFF"/>
                <w:sz w:val="18"/>
              </w:rPr>
              <w:t>Does not imply</w:t>
            </w:r>
          </w:p>
        </w:tc>
      </w:tr>
      <w:tr>
        <w:tc>
          <w:tcPr>
            <w:tcW w:type="dxa" w:w="1440"/>
            <w:vAlign w:val="center"/>
          </w:tcPr>
          <w:p>
            <w:r/>
            <w:r>
              <w:rPr>
                <w:rFonts w:ascii="Aptos" w:hAnsi="Aptos"/>
                <w:b w:val="0"/>
                <w:sz w:val="17"/>
              </w:rPr>
              <w:t>TOPIC</w:t>
            </w:r>
          </w:p>
        </w:tc>
        <w:tc>
          <w:tcPr>
            <w:tcW w:type="dxa" w:w="2592"/>
            <w:vAlign w:val="center"/>
          </w:tcPr>
          <w:p>
            <w:r/>
            <w:r>
              <w:rPr>
                <w:rFonts w:ascii="Aptos" w:hAnsi="Aptos"/>
                <w:b w:val="0"/>
                <w:sz w:val="17"/>
              </w:rPr>
              <w:t>A named OAL subject or body of work</w:t>
            </w:r>
          </w:p>
        </w:tc>
        <w:tc>
          <w:tcPr>
            <w:tcW w:type="dxa" w:w="3456"/>
            <w:vAlign w:val="center"/>
          </w:tcPr>
          <w:p>
            <w:r/>
            <w:r>
              <w:rPr>
                <w:rFonts w:ascii="Aptos" w:hAnsi="Aptos"/>
                <w:b w:val="0"/>
                <w:sz w:val="17"/>
              </w:rPr>
              <w:t>Recognized as an OAL project topic; plural records preserved</w:t>
            </w:r>
          </w:p>
        </w:tc>
        <w:tc>
          <w:tcPr>
            <w:tcW w:type="dxa" w:w="3600"/>
            <w:vAlign w:val="center"/>
          </w:tcPr>
          <w:p>
            <w:r/>
            <w:r>
              <w:rPr>
                <w:rFonts w:ascii="Aptos" w:hAnsi="Aptos"/>
                <w:b w:val="0"/>
                <w:sz w:val="17"/>
              </w:rPr>
              <w:t>Every artifact or claim is adopted</w:t>
            </w:r>
          </w:p>
        </w:tc>
      </w:tr>
      <w:tr>
        <w:tc>
          <w:tcPr>
            <w:tcW w:type="dxa" w:w="1440"/>
            <w:vAlign w:val="center"/>
            <w:shd w:fill="EAF0F8"/>
          </w:tcPr>
          <w:p>
            <w:r/>
            <w:r>
              <w:rPr>
                <w:rFonts w:ascii="Aptos" w:hAnsi="Aptos"/>
                <w:b w:val="0"/>
                <w:sz w:val="17"/>
              </w:rPr>
              <w:t>RECORD</w:t>
            </w:r>
          </w:p>
        </w:tc>
        <w:tc>
          <w:tcPr>
            <w:tcW w:type="dxa" w:w="2592"/>
            <w:vAlign w:val="center"/>
            <w:shd w:fill="EAF0F8"/>
          </w:tcPr>
          <w:p>
            <w:r/>
            <w:r>
              <w:rPr>
                <w:rFonts w:ascii="Aptos" w:hAnsi="Aptos"/>
                <w:b w:val="0"/>
                <w:sz w:val="17"/>
              </w:rPr>
              <w:t>A specific artifact</w:t>
            </w:r>
          </w:p>
        </w:tc>
        <w:tc>
          <w:tcPr>
            <w:tcW w:type="dxa" w:w="3456"/>
            <w:vAlign w:val="center"/>
            <w:shd w:fill="EAF0F8"/>
          </w:tcPr>
          <w:p>
            <w:r/>
            <w:r>
              <w:rPr>
                <w:rFonts w:ascii="Aptos" w:hAnsi="Aptos"/>
                <w:b w:val="0"/>
                <w:sz w:val="17"/>
              </w:rPr>
              <w:t>Authenticated, acknowledged, or approved for a stated use</w:t>
            </w:r>
          </w:p>
        </w:tc>
        <w:tc>
          <w:tcPr>
            <w:tcW w:type="dxa" w:w="3600"/>
            <w:vAlign w:val="center"/>
            <w:shd w:fill="EAF0F8"/>
          </w:tcPr>
          <w:p>
            <w:r/>
            <w:r>
              <w:rPr>
                <w:rFonts w:ascii="Aptos" w:hAnsi="Aptos"/>
                <w:b w:val="0"/>
                <w:sz w:val="17"/>
              </w:rPr>
              <w:t>Control of all related records</w:t>
            </w:r>
          </w:p>
        </w:tc>
      </w:tr>
      <w:tr>
        <w:tc>
          <w:tcPr>
            <w:tcW w:type="dxa" w:w="1440"/>
            <w:vAlign w:val="center"/>
          </w:tcPr>
          <w:p>
            <w:r/>
            <w:r>
              <w:rPr>
                <w:rFonts w:ascii="Aptos" w:hAnsi="Aptos"/>
                <w:b w:val="0"/>
                <w:sz w:val="17"/>
              </w:rPr>
              <w:t>PUBLISH</w:t>
            </w:r>
          </w:p>
        </w:tc>
        <w:tc>
          <w:tcPr>
            <w:tcW w:type="dxa" w:w="2592"/>
            <w:vAlign w:val="center"/>
          </w:tcPr>
          <w:p>
            <w:r/>
            <w:r>
              <w:rPr>
                <w:rFonts w:ascii="Aptos" w:hAnsi="Aptos"/>
                <w:b w:val="0"/>
                <w:sz w:val="17"/>
              </w:rPr>
              <w:t>A release or repository publication</w:t>
            </w:r>
          </w:p>
        </w:tc>
        <w:tc>
          <w:tcPr>
            <w:tcW w:type="dxa" w:w="3456"/>
            <w:vAlign w:val="center"/>
          </w:tcPr>
          <w:p>
            <w:r/>
            <w:r>
              <w:rPr>
                <w:rFonts w:ascii="Aptos" w:hAnsi="Aptos"/>
                <w:b w:val="0"/>
                <w:sz w:val="17"/>
              </w:rPr>
              <w:t>Authorized for public or designated distribution</w:t>
            </w:r>
          </w:p>
        </w:tc>
        <w:tc>
          <w:tcPr>
            <w:tcW w:type="dxa" w:w="3600"/>
            <w:vAlign w:val="center"/>
          </w:tcPr>
          <w:p>
            <w:r/>
            <w:r>
              <w:rPr>
                <w:rFonts w:ascii="Aptos" w:hAnsi="Aptos"/>
                <w:b w:val="0"/>
                <w:sz w:val="17"/>
              </w:rPr>
              <w:t>Factual certification or consensus</w:t>
            </w:r>
          </w:p>
        </w:tc>
      </w:tr>
      <w:tr>
        <w:tc>
          <w:tcPr>
            <w:tcW w:type="dxa" w:w="1440"/>
            <w:vAlign w:val="center"/>
            <w:shd w:fill="EAF0F8"/>
          </w:tcPr>
          <w:p>
            <w:r/>
            <w:r>
              <w:rPr>
                <w:rFonts w:ascii="Aptos" w:hAnsi="Aptos"/>
                <w:b w:val="0"/>
                <w:sz w:val="17"/>
              </w:rPr>
              <w:t>PROCEED</w:t>
            </w:r>
          </w:p>
        </w:tc>
        <w:tc>
          <w:tcPr>
            <w:tcW w:type="dxa" w:w="2592"/>
            <w:vAlign w:val="center"/>
            <w:shd w:fill="EAF0F8"/>
          </w:tcPr>
          <w:p>
            <w:r/>
            <w:r>
              <w:rPr>
                <w:rFonts w:ascii="Aptos" w:hAnsi="Aptos"/>
                <w:b w:val="0"/>
                <w:sz w:val="17"/>
              </w:rPr>
              <w:t>An action or project state</w:t>
            </w:r>
          </w:p>
        </w:tc>
        <w:tc>
          <w:tcPr>
            <w:tcW w:type="dxa" w:w="3456"/>
            <w:vAlign w:val="center"/>
            <w:shd w:fill="EAF0F8"/>
          </w:tcPr>
          <w:p>
            <w:r/>
            <w:r>
              <w:rPr>
                <w:rFonts w:ascii="Aptos" w:hAnsi="Aptos"/>
                <w:b w:val="0"/>
                <w:sz w:val="17"/>
              </w:rPr>
              <w:t>May move forward within scope</w:t>
            </w:r>
          </w:p>
        </w:tc>
        <w:tc>
          <w:tcPr>
            <w:tcW w:type="dxa" w:w="3600"/>
            <w:vAlign w:val="center"/>
            <w:shd w:fill="EAF0F8"/>
          </w:tcPr>
          <w:p>
            <w:r/>
            <w:r>
              <w:rPr>
                <w:rFonts w:ascii="Aptos" w:hAnsi="Aptos"/>
                <w:b w:val="0"/>
                <w:sz w:val="17"/>
              </w:rPr>
              <w:t>Permanence or universal correctness</w:t>
            </w:r>
          </w:p>
        </w:tc>
      </w:tr>
      <w:tr>
        <w:tc>
          <w:tcPr>
            <w:tcW w:type="dxa" w:w="1440"/>
            <w:vAlign w:val="center"/>
          </w:tcPr>
          <w:p>
            <w:r/>
            <w:r>
              <w:rPr>
                <w:rFonts w:ascii="Aptos" w:hAnsi="Aptos"/>
                <w:b w:val="0"/>
                <w:sz w:val="17"/>
              </w:rPr>
              <w:t>TEST</w:t>
            </w:r>
          </w:p>
        </w:tc>
        <w:tc>
          <w:tcPr>
            <w:tcW w:type="dxa" w:w="2592"/>
            <w:vAlign w:val="center"/>
          </w:tcPr>
          <w:p>
            <w:r/>
            <w:r>
              <w:rPr>
                <w:rFonts w:ascii="Aptos" w:hAnsi="Aptos"/>
                <w:b w:val="0"/>
                <w:sz w:val="17"/>
              </w:rPr>
              <w:t>An experiment, exercise, or pilot</w:t>
            </w:r>
          </w:p>
        </w:tc>
        <w:tc>
          <w:tcPr>
            <w:tcW w:type="dxa" w:w="3456"/>
            <w:vAlign w:val="center"/>
          </w:tcPr>
          <w:p>
            <w:r/>
            <w:r>
              <w:rPr>
                <w:rFonts w:ascii="Aptos" w:hAnsi="Aptos"/>
                <w:b w:val="0"/>
                <w:sz w:val="17"/>
              </w:rPr>
              <w:t>May be evaluated under stated conditions</w:t>
            </w:r>
          </w:p>
        </w:tc>
        <w:tc>
          <w:tcPr>
            <w:tcW w:type="dxa" w:w="3600"/>
            <w:vAlign w:val="center"/>
          </w:tcPr>
          <w:p>
            <w:r/>
            <w:r>
              <w:rPr>
                <w:rFonts w:ascii="Aptos" w:hAnsi="Aptos"/>
                <w:b w:val="0"/>
                <w:sz w:val="17"/>
              </w:rPr>
              <w:t>Adoption after the test</w:t>
            </w:r>
          </w:p>
        </w:tc>
      </w:tr>
      <w:tr>
        <w:tc>
          <w:tcPr>
            <w:tcW w:type="dxa" w:w="1440"/>
            <w:vAlign w:val="center"/>
            <w:shd w:fill="EAF0F8"/>
          </w:tcPr>
          <w:p>
            <w:r/>
            <w:r>
              <w:rPr>
                <w:rFonts w:ascii="Aptos" w:hAnsi="Aptos"/>
                <w:b w:val="0"/>
                <w:sz w:val="17"/>
              </w:rPr>
              <w:t>ADOPT</w:t>
            </w:r>
          </w:p>
        </w:tc>
        <w:tc>
          <w:tcPr>
            <w:tcW w:type="dxa" w:w="2592"/>
            <w:vAlign w:val="center"/>
            <w:shd w:fill="EAF0F8"/>
          </w:tcPr>
          <w:p>
            <w:r/>
            <w:r>
              <w:rPr>
                <w:rFonts w:ascii="Aptos" w:hAnsi="Aptos"/>
                <w:b w:val="0"/>
                <w:sz w:val="17"/>
              </w:rPr>
              <w:t>A rule, method, or proposition</w:t>
            </w:r>
          </w:p>
        </w:tc>
        <w:tc>
          <w:tcPr>
            <w:tcW w:type="dxa" w:w="3456"/>
            <w:vAlign w:val="center"/>
            <w:shd w:fill="EAF0F8"/>
          </w:tcPr>
          <w:p>
            <w:r/>
            <w:r>
              <w:rPr>
                <w:rFonts w:ascii="Aptos" w:hAnsi="Aptos"/>
                <w:b w:val="0"/>
                <w:sz w:val="17"/>
              </w:rPr>
              <w:t>Operative for a named scope</w:t>
            </w:r>
          </w:p>
        </w:tc>
        <w:tc>
          <w:tcPr>
            <w:tcW w:type="dxa" w:w="3600"/>
            <w:vAlign w:val="center"/>
            <w:shd w:fill="EAF0F8"/>
          </w:tcPr>
          <w:p>
            <w:r/>
            <w:r>
              <w:rPr>
                <w:rFonts w:ascii="Aptos" w:hAnsi="Aptos"/>
                <w:b w:val="0"/>
                <w:sz w:val="17"/>
              </w:rPr>
              <w:t>Global supremacy outside that scope</w:t>
            </w:r>
          </w:p>
        </w:tc>
      </w:tr>
      <w:tr>
        <w:tc>
          <w:tcPr>
            <w:tcW w:type="dxa" w:w="1440"/>
            <w:vAlign w:val="center"/>
          </w:tcPr>
          <w:p>
            <w:r/>
            <w:r>
              <w:rPr>
                <w:rFonts w:ascii="Aptos" w:hAnsi="Aptos"/>
                <w:b w:val="0"/>
                <w:sz w:val="17"/>
              </w:rPr>
              <w:t>RETIRE</w:t>
            </w:r>
          </w:p>
        </w:tc>
        <w:tc>
          <w:tcPr>
            <w:tcW w:type="dxa" w:w="2592"/>
            <w:vAlign w:val="center"/>
          </w:tcPr>
          <w:p>
            <w:r/>
            <w:r>
              <w:rPr>
                <w:rFonts w:ascii="Aptos" w:hAnsi="Aptos"/>
                <w:b w:val="0"/>
                <w:sz w:val="17"/>
              </w:rPr>
              <w:t>An operational instruction or method</w:t>
            </w:r>
          </w:p>
        </w:tc>
        <w:tc>
          <w:tcPr>
            <w:tcW w:type="dxa" w:w="3456"/>
            <w:vAlign w:val="center"/>
          </w:tcPr>
          <w:p>
            <w:r/>
            <w:r>
              <w:rPr>
                <w:rFonts w:ascii="Aptos" w:hAnsi="Aptos"/>
                <w:b w:val="0"/>
                <w:sz w:val="17"/>
              </w:rPr>
              <w:t>No longer active prospectively within scope</w:t>
            </w:r>
          </w:p>
        </w:tc>
        <w:tc>
          <w:tcPr>
            <w:tcW w:type="dxa" w:w="3600"/>
            <w:vAlign w:val="center"/>
          </w:tcPr>
          <w:p>
            <w:r/>
            <w:r>
              <w:rPr>
                <w:rFonts w:ascii="Aptos" w:hAnsi="Aptos"/>
                <w:b w:val="0"/>
                <w:sz w:val="17"/>
              </w:rPr>
              <w:t>Erasure of historical existence</w:t>
            </w:r>
          </w:p>
        </w:tc>
      </w:tr>
      <w:tr>
        <w:tc>
          <w:tcPr>
            <w:tcW w:type="dxa" w:w="1440"/>
            <w:vAlign w:val="center"/>
            <w:shd w:fill="EAF0F8"/>
          </w:tcPr>
          <w:p>
            <w:r/>
            <w:r>
              <w:rPr>
                <w:rFonts w:ascii="Aptos" w:hAnsi="Aptos"/>
                <w:b w:val="0"/>
                <w:sz w:val="17"/>
              </w:rPr>
              <w:t>PRESERVE</w:t>
            </w:r>
          </w:p>
        </w:tc>
        <w:tc>
          <w:tcPr>
            <w:tcW w:type="dxa" w:w="2592"/>
            <w:vAlign w:val="center"/>
            <w:shd w:fill="EAF0F8"/>
          </w:tcPr>
          <w:p>
            <w:r/>
            <w:r>
              <w:rPr>
                <w:rFonts w:ascii="Aptos" w:hAnsi="Aptos"/>
                <w:b w:val="0"/>
                <w:sz w:val="17"/>
              </w:rPr>
              <w:t>A record, dissent, or branch</w:t>
            </w:r>
          </w:p>
        </w:tc>
        <w:tc>
          <w:tcPr>
            <w:tcW w:type="dxa" w:w="3456"/>
            <w:vAlign w:val="center"/>
            <w:shd w:fill="EAF0F8"/>
          </w:tcPr>
          <w:p>
            <w:r/>
            <w:r>
              <w:rPr>
                <w:rFonts w:ascii="Aptos" w:hAnsi="Aptos"/>
                <w:b w:val="0"/>
                <w:sz w:val="17"/>
              </w:rPr>
              <w:t>Must remain in the archive</w:t>
            </w:r>
          </w:p>
        </w:tc>
        <w:tc>
          <w:tcPr>
            <w:tcW w:type="dxa" w:w="3600"/>
            <w:vAlign w:val="center"/>
            <w:shd w:fill="EAF0F8"/>
          </w:tcPr>
          <w:p>
            <w:r/>
            <w:r>
              <w:rPr>
                <w:rFonts w:ascii="Aptos" w:hAnsi="Aptos"/>
                <w:b w:val="0"/>
                <w:sz w:val="17"/>
              </w:rPr>
              <w:t>Current endorsement</w:t>
            </w:r>
          </w:p>
        </w:tc>
      </w:tr>
      <w:tr>
        <w:tc>
          <w:tcPr>
            <w:tcW w:type="dxa" w:w="1440"/>
            <w:vAlign w:val="center"/>
          </w:tcPr>
          <w:p>
            <w:r/>
            <w:r>
              <w:rPr>
                <w:rFonts w:ascii="Aptos" w:hAnsi="Aptos"/>
                <w:b w:val="0"/>
                <w:sz w:val="17"/>
              </w:rPr>
              <w:t>DELEGATE</w:t>
            </w:r>
          </w:p>
        </w:tc>
        <w:tc>
          <w:tcPr>
            <w:tcW w:type="dxa" w:w="2592"/>
            <w:vAlign w:val="center"/>
          </w:tcPr>
          <w:p>
            <w:r/>
            <w:r>
              <w:rPr>
                <w:rFonts w:ascii="Aptos" w:hAnsi="Aptos"/>
                <w:b w:val="0"/>
                <w:sz w:val="17"/>
              </w:rPr>
              <w:t>A defined authority</w:t>
            </w:r>
          </w:p>
        </w:tc>
        <w:tc>
          <w:tcPr>
            <w:tcW w:type="dxa" w:w="3456"/>
            <w:vAlign w:val="center"/>
          </w:tcPr>
          <w:p>
            <w:r/>
            <w:r>
              <w:rPr>
                <w:rFonts w:ascii="Aptos" w:hAnsi="Aptos"/>
                <w:b w:val="0"/>
                <w:sz w:val="17"/>
              </w:rPr>
              <w:t>Specified party may act within boundaries</w:t>
            </w:r>
          </w:p>
        </w:tc>
        <w:tc>
          <w:tcPr>
            <w:tcW w:type="dxa" w:w="3600"/>
            <w:vAlign w:val="center"/>
          </w:tcPr>
          <w:p>
            <w:r/>
            <w:r>
              <w:rPr>
                <w:rFonts w:ascii="Aptos" w:hAnsi="Aptos"/>
                <w:b w:val="0"/>
                <w:sz w:val="17"/>
              </w:rPr>
              <w:t>Unbounded transfer of Architect authority</w:t>
            </w:r>
          </w:p>
        </w:tc>
      </w:tr>
    </w:tbl>
    <w:p/>
    <w:p>
      <w:pPr>
        <w:pStyle w:val="Heading2"/>
      </w:pPr>
      <w:r>
        <w:t>5.1 Default interpretation rule</w:t>
      </w:r>
    </w:p>
    <w:tbl>
      <w:tblPr>
        <w:tblW w:type="auto" w:w="0"/>
        <w:jc w:val="center"/>
        <w:tblLook w:firstColumn="1" w:firstRow="1" w:lastColumn="0" w:lastRow="0" w:noHBand="0" w:noVBand="1" w:val="04A0"/>
      </w:tblPr>
      <w:tblGrid>
        <w:gridCol w:w="10080"/>
      </w:tblGrid>
      <w:tr>
        <w:tc>
          <w:tcPr>
            <w:tcW w:type="dxa" w:w="10080"/>
            <w:shd w:fill="D9EAF7"/>
          </w:tcPr>
          <w:p>
            <w:r/>
            <w:r>
              <w:rPr>
                <w:b/>
                <w:color w:val="172554"/>
                <w:sz w:val="22"/>
              </w:rPr>
              <w:t>Default</w:t>
              <w:br/>
            </w:r>
            <w:r>
              <w:rPr>
                <w:sz w:val="20"/>
              </w:rPr>
              <w:t>When a stamp is ambiguous, interpret it narrowly: preserve all records, authorize only the clearly stated object, infer no consensus, infer no factual certification, and infer no global supersession.</w:t>
            </w:r>
          </w:p>
        </w:tc>
      </w:tr>
    </w:tbl>
    <w:p/>
    <w:p>
      <w:pPr>
        <w:pStyle w:val="Heading1"/>
      </w:pPr>
      <w:r>
        <w:t>6. OAL-Wide Blanket Topic Ratification</w:t>
      </w:r>
    </w:p>
    <w:p>
      <w:pPr>
        <w:pStyle w:val="Heading2"/>
      </w:pPr>
      <w:r>
        <w:t>6.1 Ratification clause</w:t>
      </w:r>
    </w:p>
    <w:tbl>
      <w:tblPr>
        <w:tblW w:type="auto" w:w="0"/>
        <w:jc w:val="center"/>
        <w:tblLook w:firstColumn="1" w:firstRow="1" w:lastColumn="0" w:lastRow="0" w:noHBand="0" w:noVBand="1" w:val="04A0"/>
      </w:tblPr>
      <w:tblGrid>
        <w:gridCol w:w="10080"/>
      </w:tblGrid>
      <w:tr>
        <w:tc>
          <w:tcPr>
            <w:tcW w:type="dxa" w:w="10080"/>
            <w:shd w:fill="E2F0D9"/>
          </w:tcPr>
          <w:p>
            <w:r/>
            <w:r>
              <w:rPr>
                <w:b/>
                <w:color w:val="172554"/>
                <w:sz w:val="22"/>
              </w:rPr>
              <w:t>OAL Blanket Topic ONESTAMP — OAL-OS-2026-BTR-001</w:t>
              <w:br/>
            </w:r>
            <w:r>
              <w:rPr>
                <w:sz w:val="20"/>
              </w:rPr>
              <w:t>Effective 26 September 2026 at 6:57 PM PDT, the Architect recognizes and ONESTAMP-ratifies, at the TOPIC level, every OAL topic that meets either of the following conditions as of the effective timestamp: (a) the topic appears in the OAL Master Development Changelog; or (b) the Architect has uploaded or published on GitHub documentation generated for that OAL topic by one or more human or AI contributors. This ratification applies to each qualifying topic as a plural body of work. It preserves every attributable contributor artifact and does not designate any one artifact, model, contributor, wording, or version as the sole controlling, superseding, overruling, or universally authoritative expression of the topic.</w:t>
            </w:r>
          </w:p>
        </w:tc>
      </w:tr>
    </w:tbl>
    <w:p/>
    <w:p>
      <w:pPr>
        <w:pStyle w:val="Heading2"/>
      </w:pPr>
      <w:r>
        <w:t>6.2 Expressly identified topics</w:t>
      </w:r>
    </w:p>
    <w:p>
      <w:r>
        <w:rPr>
          <w:i w:val="0"/>
        </w:rPr>
        <w:t>The blanket clause includes, without limitation, the following topics expressly named by the Architect:</w:t>
      </w:r>
    </w:p>
    <w:p>
      <w:pPr>
        <w:pStyle w:val="ListBullet"/>
        <w:spacing w:after="60"/>
      </w:pPr>
      <w:r>
        <w:t>Presentation State Integrity.</w:t>
      </w:r>
    </w:p>
    <w:p>
      <w:pPr>
        <w:pStyle w:val="ListBullet"/>
        <w:spacing w:after="60"/>
      </w:pPr>
      <w:r>
        <w:t>Generalized Superposition Framework.</w:t>
      </w:r>
    </w:p>
    <w:p>
      <w:pPr>
        <w:pStyle w:val="ListBullet"/>
        <w:spacing w:after="60"/>
      </w:pPr>
      <w:r>
        <w:t>Temporal Integrity and Temporal Aliasing.</w:t>
      </w:r>
    </w:p>
    <w:p>
      <w:pPr>
        <w:pStyle w:val="ListBullet"/>
        <w:spacing w:after="60"/>
      </w:pPr>
      <w:r>
        <w:t>Net Defense Exercise.</w:t>
      </w:r>
    </w:p>
    <w:p>
      <w:pPr>
        <w:pStyle w:val="ListBullet"/>
        <w:spacing w:after="60"/>
      </w:pPr>
      <w:r>
        <w:t>Every additional qualifying topic recorded in the Master Development Changelog.</w:t>
      </w:r>
    </w:p>
    <w:p>
      <w:pPr>
        <w:pStyle w:val="ListBullet"/>
        <w:spacing w:after="60"/>
      </w:pPr>
      <w:r>
        <w:t>Every additional qualifying OAL topic represented by documentation the Architect uploaded or published on GitHub.</w:t>
      </w:r>
    </w:p>
    <w:p>
      <w:pPr>
        <w:pStyle w:val="Heading2"/>
      </w:pPr>
      <w:r>
        <w:t>6.3 Associated-artifact rule</w:t>
      </w:r>
    </w:p>
    <w:p>
      <w:r>
        <w:rPr>
          <w:i w:val="0"/>
        </w:rPr>
        <w:t>For each covered topic, all attributable supporting documents, independent AI renderings, prompts preserved as project records, revisions, analyses, diagrams, code, critiques, dissent, presentation materials, and successor records may be associated with the topic’s plural record. Association does not collapse those artifacts into one composite author and does not give each artifact identical operational status.</w:t>
      </w:r>
    </w:p>
    <w:p>
      <w:pPr>
        <w:pStyle w:val="Heading2"/>
      </w:pPr>
      <w:r>
        <w:t>6.4 Completeness-safe coverage</w:t>
      </w:r>
    </w:p>
    <w:p>
      <w:r>
        <w:rPr>
          <w:i w:val="0"/>
        </w:rPr>
        <w:t>The blanket ratification is criterion-based rather than dependent on a perfectly complete list prepared on the effective date. If a qualifying legacy topic or artifact is discovered later, it may be added to the registry as “covered by OAL-OS-2026-BTR-001 from the effective timestamp.” Later enumeration documents the coverage; it does not create the coverage. This prevents clerical omission from silently excluding prior work.</w:t>
      </w:r>
    </w:p>
    <w:p>
      <w:pPr>
        <w:pStyle w:val="Heading2"/>
      </w:pPr>
      <w:r>
        <w:t>6.5 Prospective publication rule</w:t>
      </w:r>
    </w:p>
    <w:p>
      <w:r>
        <w:rPr>
          <w:i w:val="0"/>
        </w:rPr>
        <w:t>After the effective timestamp, adding a topic to the Master Development Changelog or publishing its documentation to an Architect-designated OAL GitHub location creates a rebuttable presumption of topic-level ONESTAMP recognition, unless the item is clearly labeled draft, test-only, unratified, private, or excluded. For consequential adoption, deployment, canon selection, or external representation, a separate decision-level ONESTAMP remains required.</w:t>
      </w:r>
    </w:p>
    <w:p>
      <w:pPr>
        <w:pStyle w:val="Heading2"/>
      </w:pPr>
      <w:r>
        <w:t>6.6 Limits of the blanket ratification</w:t>
      </w:r>
    </w:p>
    <w:p>
      <w:pPr>
        <w:pStyle w:val="ListBullet"/>
        <w:spacing w:after="60"/>
      </w:pPr>
      <w:r>
        <w:t>It does not declare every claim in every covered artifact factually verified.</w:t>
      </w:r>
    </w:p>
    <w:p>
      <w:pPr>
        <w:pStyle w:val="ListBullet"/>
        <w:spacing w:after="60"/>
      </w:pPr>
      <w:r>
        <w:t>It does not declare unanimous agreement among ChatGPT, Claude, Perplexity, Microsoft Copilot, Google Gemini, Grok, the Architect, or any other contributor.</w:t>
      </w:r>
    </w:p>
    <w:p>
      <w:pPr>
        <w:pStyle w:val="ListBullet"/>
        <w:spacing w:after="60"/>
      </w:pPr>
      <w:r>
        <w:t>It does not make repository order, filename, recency, or publication sequence a hierarchy of intellectual authority.</w:t>
      </w:r>
    </w:p>
    <w:p>
      <w:pPr>
        <w:pStyle w:val="ListBullet"/>
        <w:spacing w:after="60"/>
      </w:pPr>
      <w:r>
        <w:t>It does not transfer authorship among contributors or convert independent contributions into anonymous collective prose.</w:t>
      </w:r>
    </w:p>
    <w:p>
      <w:pPr>
        <w:pStyle w:val="ListBullet"/>
        <w:spacing w:after="60"/>
      </w:pPr>
      <w:r>
        <w:t>It does not authorize an unsafe, unlawful, or materially different real-world action merely because a related topic is recognized.</w:t>
      </w:r>
    </w:p>
    <w:p>
      <w:pPr>
        <w:pStyle w:val="ListBullet"/>
        <w:spacing w:after="60"/>
      </w:pPr>
      <w:r>
        <w:t>It does not prevent later corrections, dissent, narrower operational selections, or successor decisions.</w:t>
      </w:r>
    </w:p>
    <w:p>
      <w:pPr>
        <w:pStyle w:val="ListBullet"/>
        <w:spacing w:after="60"/>
      </w:pPr>
      <w:r>
        <w:t>It does not create global supersession. Any supersession must identify the prior operational instruction, the new instruction, the exact scope, and the effective date.</w:t>
      </w:r>
    </w:p>
    <w:p>
      <w:pPr>
        <w:pStyle w:val="Heading1"/>
      </w:pPr>
      <w:r>
        <w:t>7. The Plural-Record Architecture</w:t>
      </w:r>
    </w:p>
    <w:p>
      <w:r>
        <w:rPr>
          <w:i w:val="0"/>
        </w:rPr>
        <w:t>Each OAL topic should be treated as a federated record graph rather than a single master document. The topic is the stable container; contributor artifacts and decisions are independently addressable nodes; typed relationships explain how the nodes relate without forcing them into one voice.</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center"/>
            <w:shd w:fill="2F5597"/>
          </w:tcPr>
          <w:p>
            <w:r/>
            <w:r>
              <w:rPr>
                <w:rFonts w:ascii="Aptos" w:hAnsi="Aptos"/>
                <w:b/>
                <w:color w:val="FFFFFF"/>
                <w:sz w:val="18"/>
              </w:rPr>
              <w:t>Record object</w:t>
            </w:r>
          </w:p>
        </w:tc>
        <w:tc>
          <w:tcPr>
            <w:tcW w:type="dxa" w:w="4464"/>
            <w:vAlign w:val="center"/>
            <w:shd w:fill="2F5597"/>
          </w:tcPr>
          <w:p>
            <w:r/>
            <w:r>
              <w:rPr>
                <w:rFonts w:ascii="Aptos" w:hAnsi="Aptos"/>
                <w:b/>
                <w:color w:val="FFFFFF"/>
                <w:sz w:val="18"/>
              </w:rPr>
              <w:t>Function</w:t>
            </w:r>
          </w:p>
        </w:tc>
        <w:tc>
          <w:tcPr>
            <w:tcW w:type="dxa" w:w="4032"/>
            <w:vAlign w:val="center"/>
            <w:shd w:fill="2F5597"/>
          </w:tcPr>
          <w:p>
            <w:r/>
            <w:r>
              <w:rPr>
                <w:rFonts w:ascii="Aptos" w:hAnsi="Aptos"/>
                <w:b/>
                <w:color w:val="FFFFFF"/>
                <w:sz w:val="18"/>
              </w:rPr>
              <w:t>Required relationship</w:t>
            </w:r>
          </w:p>
        </w:tc>
      </w:tr>
      <w:tr>
        <w:tc>
          <w:tcPr>
            <w:tcW w:type="dxa" w:w="2304"/>
            <w:vAlign w:val="center"/>
          </w:tcPr>
          <w:p>
            <w:r/>
            <w:r>
              <w:rPr>
                <w:rFonts w:ascii="Aptos" w:hAnsi="Aptos"/>
                <w:b w:val="0"/>
                <w:sz w:val="17"/>
              </w:rPr>
              <w:t>Topic Registry Entry (TRE)</w:t>
            </w:r>
          </w:p>
        </w:tc>
        <w:tc>
          <w:tcPr>
            <w:tcW w:type="dxa" w:w="4464"/>
            <w:vAlign w:val="center"/>
          </w:tcPr>
          <w:p>
            <w:r/>
            <w:r>
              <w:rPr>
                <w:rFonts w:ascii="Aptos" w:hAnsi="Aptos"/>
                <w:b w:val="0"/>
                <w:sz w:val="17"/>
              </w:rPr>
              <w:t>Stable identity for the overall topic</w:t>
            </w:r>
          </w:p>
        </w:tc>
        <w:tc>
          <w:tcPr>
            <w:tcW w:type="dxa" w:w="4032"/>
            <w:vAlign w:val="center"/>
          </w:tcPr>
          <w:p>
            <w:r/>
            <w:r>
              <w:rPr>
                <w:rFonts w:ascii="Aptos" w:hAnsi="Aptos"/>
                <w:b w:val="0"/>
                <w:sz w:val="17"/>
              </w:rPr>
              <w:t>Links every known artifact, publication, decision, and successor.</w:t>
            </w:r>
          </w:p>
        </w:tc>
      </w:tr>
      <w:tr>
        <w:tc>
          <w:tcPr>
            <w:tcW w:type="dxa" w:w="2304"/>
            <w:vAlign w:val="center"/>
            <w:shd w:fill="EAF0F8"/>
          </w:tcPr>
          <w:p>
            <w:r/>
            <w:r>
              <w:rPr>
                <w:rFonts w:ascii="Aptos" w:hAnsi="Aptos"/>
                <w:b w:val="0"/>
                <w:sz w:val="17"/>
              </w:rPr>
              <w:t>Contributor Artifact Record (CAR)</w:t>
            </w:r>
          </w:p>
        </w:tc>
        <w:tc>
          <w:tcPr>
            <w:tcW w:type="dxa" w:w="4464"/>
            <w:vAlign w:val="center"/>
            <w:shd w:fill="EAF0F8"/>
          </w:tcPr>
          <w:p>
            <w:r/>
            <w:r>
              <w:rPr>
                <w:rFonts w:ascii="Aptos" w:hAnsi="Aptos"/>
                <w:b w:val="0"/>
                <w:sz w:val="17"/>
              </w:rPr>
              <w:t>Independent human or AI contribution</w:t>
            </w:r>
          </w:p>
        </w:tc>
        <w:tc>
          <w:tcPr>
            <w:tcW w:type="dxa" w:w="4032"/>
            <w:vAlign w:val="center"/>
            <w:shd w:fill="EAF0F8"/>
          </w:tcPr>
          <w:p>
            <w:r/>
            <w:r>
              <w:rPr>
                <w:rFonts w:ascii="Aptos" w:hAnsi="Aptos"/>
                <w:b w:val="0"/>
                <w:sz w:val="17"/>
              </w:rPr>
              <w:t>Names contributor, date, artifact type, revision, and topic.</w:t>
            </w:r>
          </w:p>
        </w:tc>
      </w:tr>
      <w:tr>
        <w:tc>
          <w:tcPr>
            <w:tcW w:type="dxa" w:w="2304"/>
            <w:vAlign w:val="center"/>
          </w:tcPr>
          <w:p>
            <w:r/>
            <w:r>
              <w:rPr>
                <w:rFonts w:ascii="Aptos" w:hAnsi="Aptos"/>
                <w:b w:val="0"/>
                <w:sz w:val="17"/>
              </w:rPr>
              <w:t>State Manifest (SM)</w:t>
            </w:r>
          </w:p>
        </w:tc>
        <w:tc>
          <w:tcPr>
            <w:tcW w:type="dxa" w:w="4464"/>
            <w:vAlign w:val="center"/>
          </w:tcPr>
          <w:p>
            <w:r/>
            <w:r>
              <w:rPr>
                <w:rFonts w:ascii="Aptos" w:hAnsi="Aptos"/>
                <w:b w:val="0"/>
                <w:sz w:val="17"/>
              </w:rPr>
              <w:t>Snapshot of records known or considered at a decision point</w:t>
            </w:r>
          </w:p>
        </w:tc>
        <w:tc>
          <w:tcPr>
            <w:tcW w:type="dxa" w:w="4032"/>
            <w:vAlign w:val="center"/>
          </w:tcPr>
          <w:p>
            <w:r/>
            <w:r>
              <w:rPr>
                <w:rFonts w:ascii="Aptos" w:hAnsi="Aptos"/>
                <w:b w:val="0"/>
                <w:sz w:val="17"/>
              </w:rPr>
              <w:t>Distinguishes existing, reviewed, and excluded-from-review artifacts.</w:t>
            </w:r>
          </w:p>
        </w:tc>
      </w:tr>
      <w:tr>
        <w:tc>
          <w:tcPr>
            <w:tcW w:type="dxa" w:w="2304"/>
            <w:vAlign w:val="center"/>
            <w:shd w:fill="EAF0F8"/>
          </w:tcPr>
          <w:p>
            <w:r/>
            <w:r>
              <w:rPr>
                <w:rFonts w:ascii="Aptos" w:hAnsi="Aptos"/>
                <w:b w:val="0"/>
                <w:sz w:val="17"/>
              </w:rPr>
              <w:t>Convergence/Divergence Map (CDM)</w:t>
            </w:r>
          </w:p>
        </w:tc>
        <w:tc>
          <w:tcPr>
            <w:tcW w:type="dxa" w:w="4464"/>
            <w:vAlign w:val="center"/>
            <w:shd w:fill="EAF0F8"/>
          </w:tcPr>
          <w:p>
            <w:r/>
            <w:r>
              <w:rPr>
                <w:rFonts w:ascii="Aptos" w:hAnsi="Aptos"/>
                <w:b w:val="0"/>
                <w:sz w:val="17"/>
              </w:rPr>
              <w:t>Maps agreements, complements, conflicts, and unknowns</w:t>
            </w:r>
          </w:p>
        </w:tc>
        <w:tc>
          <w:tcPr>
            <w:tcW w:type="dxa" w:w="4032"/>
            <w:vAlign w:val="center"/>
            <w:shd w:fill="EAF0F8"/>
          </w:tcPr>
          <w:p>
            <w:r/>
            <w:r>
              <w:rPr>
                <w:rFonts w:ascii="Aptos" w:hAnsi="Aptos"/>
                <w:b w:val="0"/>
                <w:sz w:val="17"/>
              </w:rPr>
              <w:t>Never substitutes for underlying artifacts.</w:t>
            </w:r>
          </w:p>
        </w:tc>
      </w:tr>
      <w:tr>
        <w:tc>
          <w:tcPr>
            <w:tcW w:type="dxa" w:w="2304"/>
            <w:vAlign w:val="center"/>
          </w:tcPr>
          <w:p>
            <w:r/>
            <w:r>
              <w:rPr>
                <w:rFonts w:ascii="Aptos" w:hAnsi="Aptos"/>
                <w:b w:val="0"/>
                <w:sz w:val="17"/>
              </w:rPr>
              <w:t>Decision Record (DR)</w:t>
            </w:r>
          </w:p>
        </w:tc>
        <w:tc>
          <w:tcPr>
            <w:tcW w:type="dxa" w:w="4464"/>
            <w:vAlign w:val="center"/>
          </w:tcPr>
          <w:p>
            <w:r/>
            <w:r>
              <w:rPr>
                <w:rFonts w:ascii="Aptos" w:hAnsi="Aptos"/>
                <w:b w:val="0"/>
                <w:sz w:val="17"/>
              </w:rPr>
              <w:t>States what OAL will do, for what purpose, and why</w:t>
            </w:r>
          </w:p>
        </w:tc>
        <w:tc>
          <w:tcPr>
            <w:tcW w:type="dxa" w:w="4032"/>
            <w:vAlign w:val="center"/>
          </w:tcPr>
          <w:p>
            <w:r/>
            <w:r>
              <w:rPr>
                <w:rFonts w:ascii="Aptos" w:hAnsi="Aptos"/>
                <w:b w:val="0"/>
                <w:sz w:val="17"/>
              </w:rPr>
              <w:t>Links scope, authority, inputs, dissent, and review triggers.</w:t>
            </w:r>
          </w:p>
        </w:tc>
      </w:tr>
      <w:tr>
        <w:tc>
          <w:tcPr>
            <w:tcW w:type="dxa" w:w="2304"/>
            <w:vAlign w:val="center"/>
            <w:shd w:fill="EAF0F8"/>
          </w:tcPr>
          <w:p>
            <w:r/>
            <w:r>
              <w:rPr>
                <w:rFonts w:ascii="Aptos" w:hAnsi="Aptos"/>
                <w:b w:val="0"/>
                <w:sz w:val="17"/>
              </w:rPr>
              <w:t>Authorization Record (OS)</w:t>
            </w:r>
          </w:p>
        </w:tc>
        <w:tc>
          <w:tcPr>
            <w:tcW w:type="dxa" w:w="4464"/>
            <w:vAlign w:val="center"/>
            <w:shd w:fill="EAF0F8"/>
          </w:tcPr>
          <w:p>
            <w:r/>
            <w:r>
              <w:rPr>
                <w:rFonts w:ascii="Aptos" w:hAnsi="Aptos"/>
                <w:b w:val="0"/>
                <w:sz w:val="17"/>
              </w:rPr>
              <w:t>Carries the ONESTAMP act</w:t>
            </w:r>
          </w:p>
        </w:tc>
        <w:tc>
          <w:tcPr>
            <w:tcW w:type="dxa" w:w="4032"/>
            <w:vAlign w:val="center"/>
            <w:shd w:fill="EAF0F8"/>
          </w:tcPr>
          <w:p>
            <w:r/>
            <w:r>
              <w:rPr>
                <w:rFonts w:ascii="Aptos" w:hAnsi="Aptos"/>
                <w:b w:val="0"/>
                <w:sz w:val="17"/>
              </w:rPr>
              <w:t>Binds the Architect’s authorization to a topic, manifest, or decision.</w:t>
            </w:r>
          </w:p>
        </w:tc>
      </w:tr>
      <w:tr>
        <w:tc>
          <w:tcPr>
            <w:tcW w:type="dxa" w:w="2304"/>
            <w:vAlign w:val="center"/>
          </w:tcPr>
          <w:p>
            <w:r/>
            <w:r>
              <w:rPr>
                <w:rFonts w:ascii="Aptos" w:hAnsi="Aptos"/>
                <w:b w:val="0"/>
                <w:sz w:val="17"/>
              </w:rPr>
              <w:t>Dissent Record (DS)</w:t>
            </w:r>
          </w:p>
        </w:tc>
        <w:tc>
          <w:tcPr>
            <w:tcW w:type="dxa" w:w="4464"/>
            <w:vAlign w:val="center"/>
          </w:tcPr>
          <w:p>
            <w:r/>
            <w:r>
              <w:rPr>
                <w:rFonts w:ascii="Aptos" w:hAnsi="Aptos"/>
                <w:b w:val="0"/>
                <w:sz w:val="17"/>
              </w:rPr>
              <w:t>Preserves a reasoned objection or alternate path</w:t>
            </w:r>
          </w:p>
        </w:tc>
        <w:tc>
          <w:tcPr>
            <w:tcW w:type="dxa" w:w="4032"/>
            <w:vAlign w:val="center"/>
          </w:tcPr>
          <w:p>
            <w:r/>
            <w:r>
              <w:rPr>
                <w:rFonts w:ascii="Aptos" w:hAnsi="Aptos"/>
                <w:b w:val="0"/>
                <w:sz w:val="17"/>
              </w:rPr>
              <w:t>Links to the decision or proposition disputed.</w:t>
            </w:r>
          </w:p>
        </w:tc>
      </w:tr>
      <w:tr>
        <w:tc>
          <w:tcPr>
            <w:tcW w:type="dxa" w:w="2304"/>
            <w:vAlign w:val="center"/>
            <w:shd w:fill="EAF0F8"/>
          </w:tcPr>
          <w:p>
            <w:r/>
            <w:r>
              <w:rPr>
                <w:rFonts w:ascii="Aptos" w:hAnsi="Aptos"/>
                <w:b w:val="0"/>
                <w:sz w:val="17"/>
              </w:rPr>
              <w:t>Successor Record (SR)</w:t>
            </w:r>
          </w:p>
        </w:tc>
        <w:tc>
          <w:tcPr>
            <w:tcW w:type="dxa" w:w="4464"/>
            <w:vAlign w:val="center"/>
            <w:shd w:fill="EAF0F8"/>
          </w:tcPr>
          <w:p>
            <w:r/>
            <w:r>
              <w:rPr>
                <w:rFonts w:ascii="Aptos" w:hAnsi="Aptos"/>
                <w:b w:val="0"/>
                <w:sz w:val="17"/>
              </w:rPr>
              <w:t>Changes prospective operational effect</w:t>
            </w:r>
          </w:p>
        </w:tc>
        <w:tc>
          <w:tcPr>
            <w:tcW w:type="dxa" w:w="4032"/>
            <w:vAlign w:val="center"/>
            <w:shd w:fill="EAF0F8"/>
          </w:tcPr>
          <w:p>
            <w:r/>
            <w:r>
              <w:rPr>
                <w:rFonts w:ascii="Aptos" w:hAnsi="Aptos"/>
                <w:b w:val="0"/>
                <w:sz w:val="17"/>
              </w:rPr>
              <w:t>Points to the prior record; never rewrites it.</w:t>
            </w:r>
          </w:p>
        </w:tc>
      </w:tr>
      <w:tr>
        <w:tc>
          <w:tcPr>
            <w:tcW w:type="dxa" w:w="2304"/>
            <w:vAlign w:val="center"/>
          </w:tcPr>
          <w:p>
            <w:r/>
            <w:r>
              <w:rPr>
                <w:rFonts w:ascii="Aptos" w:hAnsi="Aptos"/>
                <w:b w:val="0"/>
                <w:sz w:val="17"/>
              </w:rPr>
              <w:t>Publication Record (PR)</w:t>
            </w:r>
          </w:p>
        </w:tc>
        <w:tc>
          <w:tcPr>
            <w:tcW w:type="dxa" w:w="4464"/>
            <w:vAlign w:val="center"/>
          </w:tcPr>
          <w:p>
            <w:r/>
            <w:r>
              <w:rPr>
                <w:rFonts w:ascii="Aptos" w:hAnsi="Aptos"/>
                <w:b w:val="0"/>
                <w:sz w:val="17"/>
              </w:rPr>
              <w:t>Records a GitHub or other release event</w:t>
            </w:r>
          </w:p>
        </w:tc>
        <w:tc>
          <w:tcPr>
            <w:tcW w:type="dxa" w:w="4032"/>
            <w:vAlign w:val="center"/>
          </w:tcPr>
          <w:p>
            <w:r/>
            <w:r>
              <w:rPr>
                <w:rFonts w:ascii="Aptos" w:hAnsi="Aptos"/>
                <w:b w:val="0"/>
                <w:sz w:val="17"/>
              </w:rPr>
              <w:t>Identifies location, date, and released artifacts without implying supremacy.</w:t>
            </w:r>
          </w:p>
        </w:tc>
      </w:tr>
    </w:tbl>
    <w:p/>
    <w:p>
      <w:pPr>
        <w:pStyle w:val="Heading2"/>
      </w:pPr>
      <w:r>
        <w:t>7.1 Relationship vocabulary</w:t>
      </w:r>
    </w:p>
    <w:p>
      <w:pPr>
        <w:pStyle w:val="ListBullet"/>
        <w:spacing w:after="60"/>
      </w:pPr>
      <w:r>
        <w:t>CONTRIBUTES-TO: artifact belongs to a topic’s plural record.</w:t>
      </w:r>
    </w:p>
    <w:p>
      <w:pPr>
        <w:pStyle w:val="ListBullet"/>
        <w:spacing w:after="60"/>
      </w:pPr>
      <w:r>
        <w:t>SUPPORTS: artifact gives reasons or evidence for a proposition or decision.</w:t>
      </w:r>
    </w:p>
    <w:p>
      <w:pPr>
        <w:pStyle w:val="ListBullet"/>
        <w:spacing w:after="60"/>
      </w:pPr>
      <w:r>
        <w:t>ALTERNATIVE-TO: artifact offers a different but potentially compatible path.</w:t>
      </w:r>
    </w:p>
    <w:p>
      <w:pPr>
        <w:pStyle w:val="ListBullet"/>
        <w:spacing w:after="60"/>
      </w:pPr>
      <w:r>
        <w:t>DISSENTS-FROM: artifact objects to a proposition or decision.</w:t>
      </w:r>
    </w:p>
    <w:p>
      <w:pPr>
        <w:pStyle w:val="ListBullet"/>
        <w:spacing w:after="60"/>
      </w:pPr>
      <w:r>
        <w:t>INCOMPATIBLE-WITH: two instructions cannot both operate in the same stated scope.</w:t>
      </w:r>
    </w:p>
    <w:p>
      <w:pPr>
        <w:pStyle w:val="ListBullet"/>
        <w:spacing w:after="60"/>
      </w:pPr>
      <w:r>
        <w:t>DERIVED-FROM: artifact materially uses or transforms another identified record.</w:t>
      </w:r>
    </w:p>
    <w:p>
      <w:pPr>
        <w:pStyle w:val="ListBullet"/>
        <w:spacing w:after="60"/>
      </w:pPr>
      <w:r>
        <w:t>IMPLEMENTS: artifact operationalizes a decision.</w:t>
      </w:r>
    </w:p>
    <w:p>
      <w:pPr>
        <w:pStyle w:val="ListBullet"/>
        <w:spacing w:after="60"/>
      </w:pPr>
      <w:r>
        <w:t>SUPERSEDES-FOR-SCOPE: successor changes operational effect only within named boundaries.</w:t>
      </w:r>
    </w:p>
    <w:p>
      <w:pPr>
        <w:pStyle w:val="ListBullet"/>
        <w:spacing w:after="60"/>
      </w:pPr>
      <w:r>
        <w:t>PUBLISHED-AS: artifact was distributed at a named location and time.</w:t>
      </w:r>
    </w:p>
    <w:p>
      <w:pPr>
        <w:pStyle w:val="ListBullet"/>
        <w:spacing w:after="60"/>
      </w:pPr>
      <w:r>
        <w:t>PRESERVED-WITH: artifacts are grouped without merging their authorship.</w:t>
      </w:r>
    </w:p>
    <w:p>
      <w:pPr>
        <w:pStyle w:val="Heading1"/>
      </w:pPr>
      <w:r>
        <w:t>8. Status and Authority Dimensions</w:t>
      </w:r>
    </w:p>
    <w:p>
      <w:r>
        <w:rPr>
          <w:i w:val="0"/>
        </w:rPr>
        <w:t>A single status field cannot accurately describe a complex record. A contributor artifact can be preserved, reviewed, not adopted, factually contested, operationally inactive, and still valuable as dissent. OAL should therefore maintain separate dimensions.</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shd w:fill="2F5597"/>
          </w:tcPr>
          <w:p>
            <w:r/>
            <w:r>
              <w:rPr>
                <w:rFonts w:ascii="Aptos" w:hAnsi="Aptos"/>
                <w:b/>
                <w:color w:val="FFFFFF"/>
                <w:sz w:val="18"/>
              </w:rPr>
              <w:t>Dimension</w:t>
            </w:r>
          </w:p>
        </w:tc>
        <w:tc>
          <w:tcPr>
            <w:tcW w:type="dxa" w:w="4608"/>
            <w:vAlign w:val="center"/>
            <w:shd w:fill="2F5597"/>
          </w:tcPr>
          <w:p>
            <w:r/>
            <w:r>
              <w:rPr>
                <w:rFonts w:ascii="Aptos" w:hAnsi="Aptos"/>
                <w:b/>
                <w:color w:val="FFFFFF"/>
                <w:sz w:val="18"/>
              </w:rPr>
              <w:t>Allowed values (examples)</w:t>
            </w:r>
          </w:p>
        </w:tc>
        <w:tc>
          <w:tcPr>
            <w:tcW w:type="dxa" w:w="4176"/>
            <w:vAlign w:val="center"/>
            <w:shd w:fill="2F5597"/>
          </w:tcPr>
          <w:p>
            <w:r/>
            <w:r>
              <w:rPr>
                <w:rFonts w:ascii="Aptos" w:hAnsi="Aptos"/>
                <w:b/>
                <w:color w:val="FFFFFF"/>
                <w:sz w:val="18"/>
              </w:rPr>
              <w:t>Question answered</w:t>
            </w:r>
          </w:p>
        </w:tc>
      </w:tr>
      <w:tr>
        <w:tc>
          <w:tcPr>
            <w:tcW w:type="dxa" w:w="2016"/>
            <w:vAlign w:val="center"/>
          </w:tcPr>
          <w:p>
            <w:r/>
            <w:r>
              <w:rPr>
                <w:rFonts w:ascii="Aptos" w:hAnsi="Aptos"/>
                <w:b w:val="0"/>
                <w:sz w:val="17"/>
              </w:rPr>
              <w:t>Record state</w:t>
            </w:r>
          </w:p>
        </w:tc>
        <w:tc>
          <w:tcPr>
            <w:tcW w:type="dxa" w:w="4608"/>
            <w:vAlign w:val="center"/>
          </w:tcPr>
          <w:p>
            <w:r/>
            <w:r>
              <w:rPr>
                <w:rFonts w:ascii="Aptos" w:hAnsi="Aptos"/>
                <w:b w:val="0"/>
                <w:sz w:val="17"/>
              </w:rPr>
              <w:t>Recorded; Archived; Withdrawn by contributor; Missing; Recovered</w:t>
            </w:r>
          </w:p>
        </w:tc>
        <w:tc>
          <w:tcPr>
            <w:tcW w:type="dxa" w:w="4176"/>
            <w:vAlign w:val="center"/>
          </w:tcPr>
          <w:p>
            <w:r/>
            <w:r>
              <w:rPr>
                <w:rFonts w:ascii="Aptos" w:hAnsi="Aptos"/>
                <w:b w:val="0"/>
                <w:sz w:val="17"/>
              </w:rPr>
              <w:t>Does the artifact exist in the governed archive?</w:t>
            </w:r>
          </w:p>
        </w:tc>
      </w:tr>
      <w:tr>
        <w:tc>
          <w:tcPr>
            <w:tcW w:type="dxa" w:w="2016"/>
            <w:vAlign w:val="center"/>
            <w:shd w:fill="EAF0F8"/>
          </w:tcPr>
          <w:p>
            <w:r/>
            <w:r>
              <w:rPr>
                <w:rFonts w:ascii="Aptos" w:hAnsi="Aptos"/>
                <w:b w:val="0"/>
                <w:sz w:val="17"/>
              </w:rPr>
              <w:t>Review state</w:t>
            </w:r>
          </w:p>
        </w:tc>
        <w:tc>
          <w:tcPr>
            <w:tcW w:type="dxa" w:w="4608"/>
            <w:vAlign w:val="center"/>
            <w:shd w:fill="EAF0F8"/>
          </w:tcPr>
          <w:p>
            <w:r/>
            <w:r>
              <w:rPr>
                <w:rFonts w:ascii="Aptos" w:hAnsi="Aptos"/>
                <w:b w:val="0"/>
                <w:sz w:val="17"/>
              </w:rPr>
              <w:t>Unreviewed; Reviewed; Acknowledged; Partially reviewed</w:t>
            </w:r>
          </w:p>
        </w:tc>
        <w:tc>
          <w:tcPr>
            <w:tcW w:type="dxa" w:w="4176"/>
            <w:vAlign w:val="center"/>
            <w:shd w:fill="EAF0F8"/>
          </w:tcPr>
          <w:p>
            <w:r/>
            <w:r>
              <w:rPr>
                <w:rFonts w:ascii="Aptos" w:hAnsi="Aptos"/>
                <w:b w:val="0"/>
                <w:sz w:val="17"/>
              </w:rPr>
              <w:t>Has it been considered, and to what degree?</w:t>
            </w:r>
          </w:p>
        </w:tc>
      </w:tr>
      <w:tr>
        <w:tc>
          <w:tcPr>
            <w:tcW w:type="dxa" w:w="2016"/>
            <w:vAlign w:val="center"/>
          </w:tcPr>
          <w:p>
            <w:r/>
            <w:r>
              <w:rPr>
                <w:rFonts w:ascii="Aptos" w:hAnsi="Aptos"/>
                <w:b w:val="0"/>
                <w:sz w:val="17"/>
              </w:rPr>
              <w:t>Topic relationship</w:t>
            </w:r>
          </w:p>
        </w:tc>
        <w:tc>
          <w:tcPr>
            <w:tcW w:type="dxa" w:w="4608"/>
            <w:vAlign w:val="center"/>
          </w:tcPr>
          <w:p>
            <w:r/>
            <w:r>
              <w:rPr>
                <w:rFonts w:ascii="Aptos" w:hAnsi="Aptos"/>
                <w:b w:val="0"/>
                <w:sz w:val="17"/>
              </w:rPr>
              <w:t>Primary; Supporting; Alternative; Dissenting; Contextual; Incompatible</w:t>
            </w:r>
          </w:p>
        </w:tc>
        <w:tc>
          <w:tcPr>
            <w:tcW w:type="dxa" w:w="4176"/>
            <w:vAlign w:val="center"/>
          </w:tcPr>
          <w:p>
            <w:r/>
            <w:r>
              <w:rPr>
                <w:rFonts w:ascii="Aptos" w:hAnsi="Aptos"/>
                <w:b w:val="0"/>
                <w:sz w:val="17"/>
              </w:rPr>
              <w:t>How does it relate to the topic or decision?</w:t>
            </w:r>
          </w:p>
        </w:tc>
      </w:tr>
      <w:tr>
        <w:tc>
          <w:tcPr>
            <w:tcW w:type="dxa" w:w="2016"/>
            <w:vAlign w:val="center"/>
            <w:shd w:fill="EAF0F8"/>
          </w:tcPr>
          <w:p>
            <w:r/>
            <w:r>
              <w:rPr>
                <w:rFonts w:ascii="Aptos" w:hAnsi="Aptos"/>
                <w:b w:val="0"/>
                <w:sz w:val="17"/>
              </w:rPr>
              <w:t>Operational disposition</w:t>
            </w:r>
          </w:p>
        </w:tc>
        <w:tc>
          <w:tcPr>
            <w:tcW w:type="dxa" w:w="4608"/>
            <w:vAlign w:val="center"/>
            <w:shd w:fill="EAF0F8"/>
          </w:tcPr>
          <w:p>
            <w:r/>
            <w:r>
              <w:rPr>
                <w:rFonts w:ascii="Aptos" w:hAnsi="Aptos"/>
                <w:b w:val="0"/>
                <w:sz w:val="17"/>
              </w:rPr>
              <w:t>Adopted for scope; Parallel test; Deferred; Not selected; Retired</w:t>
            </w:r>
          </w:p>
        </w:tc>
        <w:tc>
          <w:tcPr>
            <w:tcW w:type="dxa" w:w="4176"/>
            <w:vAlign w:val="center"/>
            <w:shd w:fill="EAF0F8"/>
          </w:tcPr>
          <w:p>
            <w:r/>
            <w:r>
              <w:rPr>
                <w:rFonts w:ascii="Aptos" w:hAnsi="Aptos"/>
                <w:b w:val="0"/>
                <w:sz w:val="17"/>
              </w:rPr>
              <w:t>What may OAL do with it now?</w:t>
            </w:r>
          </w:p>
        </w:tc>
      </w:tr>
      <w:tr>
        <w:tc>
          <w:tcPr>
            <w:tcW w:type="dxa" w:w="2016"/>
            <w:vAlign w:val="center"/>
          </w:tcPr>
          <w:p>
            <w:r/>
            <w:r>
              <w:rPr>
                <w:rFonts w:ascii="Aptos" w:hAnsi="Aptos"/>
                <w:b w:val="0"/>
                <w:sz w:val="17"/>
              </w:rPr>
              <w:t>Decision durability</w:t>
            </w:r>
          </w:p>
        </w:tc>
        <w:tc>
          <w:tcPr>
            <w:tcW w:type="dxa" w:w="4608"/>
            <w:vAlign w:val="center"/>
          </w:tcPr>
          <w:p>
            <w:r/>
            <w:r>
              <w:rPr>
                <w:rFonts w:ascii="Aptos" w:hAnsi="Aptos"/>
                <w:b w:val="0"/>
                <w:sz w:val="17"/>
              </w:rPr>
              <w:t>Provisional; Current; Time-limited; Conditional; Retired</w:t>
            </w:r>
          </w:p>
        </w:tc>
        <w:tc>
          <w:tcPr>
            <w:tcW w:type="dxa" w:w="4176"/>
            <w:vAlign w:val="center"/>
          </w:tcPr>
          <w:p>
            <w:r/>
            <w:r>
              <w:rPr>
                <w:rFonts w:ascii="Aptos" w:hAnsi="Aptos"/>
                <w:b w:val="0"/>
                <w:sz w:val="17"/>
              </w:rPr>
              <w:t>How long or under what condition does the decision operate?</w:t>
            </w:r>
          </w:p>
        </w:tc>
      </w:tr>
      <w:tr>
        <w:tc>
          <w:tcPr>
            <w:tcW w:type="dxa" w:w="2016"/>
            <w:vAlign w:val="center"/>
            <w:shd w:fill="EAF0F8"/>
          </w:tcPr>
          <w:p>
            <w:r/>
            <w:r>
              <w:rPr>
                <w:rFonts w:ascii="Aptos" w:hAnsi="Aptos"/>
                <w:b w:val="0"/>
                <w:sz w:val="17"/>
              </w:rPr>
              <w:t>Evidentiary standing</w:t>
            </w:r>
          </w:p>
        </w:tc>
        <w:tc>
          <w:tcPr>
            <w:tcW w:type="dxa" w:w="4608"/>
            <w:vAlign w:val="center"/>
            <w:shd w:fill="EAF0F8"/>
          </w:tcPr>
          <w:p>
            <w:r/>
            <w:r>
              <w:rPr>
                <w:rFonts w:ascii="Aptos" w:hAnsi="Aptos"/>
                <w:b w:val="0"/>
                <w:sz w:val="17"/>
              </w:rPr>
              <w:t>Unverified; Supported; Verified for stated test; Contested; Disproven; Not applicable</w:t>
            </w:r>
          </w:p>
        </w:tc>
        <w:tc>
          <w:tcPr>
            <w:tcW w:type="dxa" w:w="4176"/>
            <w:vAlign w:val="center"/>
            <w:shd w:fill="EAF0F8"/>
          </w:tcPr>
          <w:p>
            <w:r/>
            <w:r>
              <w:rPr>
                <w:rFonts w:ascii="Aptos" w:hAnsi="Aptos"/>
                <w:b w:val="0"/>
                <w:sz w:val="17"/>
              </w:rPr>
              <w:t>How should factual claims be treated?</w:t>
            </w:r>
          </w:p>
        </w:tc>
      </w:tr>
      <w:tr>
        <w:tc>
          <w:tcPr>
            <w:tcW w:type="dxa" w:w="2016"/>
            <w:vAlign w:val="center"/>
          </w:tcPr>
          <w:p>
            <w:r/>
            <w:r>
              <w:rPr>
                <w:rFonts w:ascii="Aptos" w:hAnsi="Aptos"/>
                <w:b w:val="0"/>
                <w:sz w:val="17"/>
              </w:rPr>
              <w:t>Publication state</w:t>
            </w:r>
          </w:p>
        </w:tc>
        <w:tc>
          <w:tcPr>
            <w:tcW w:type="dxa" w:w="4608"/>
            <w:vAlign w:val="center"/>
          </w:tcPr>
          <w:p>
            <w:r/>
            <w:r>
              <w:rPr>
                <w:rFonts w:ascii="Aptos" w:hAnsi="Aptos"/>
                <w:b w:val="0"/>
                <w:sz w:val="17"/>
              </w:rPr>
              <w:t>Private; Internal; Authorized to publish; Published; Withdrawn from distribution</w:t>
            </w:r>
          </w:p>
        </w:tc>
        <w:tc>
          <w:tcPr>
            <w:tcW w:type="dxa" w:w="4176"/>
            <w:vAlign w:val="center"/>
          </w:tcPr>
          <w:p>
            <w:r/>
            <w:r>
              <w:rPr>
                <w:rFonts w:ascii="Aptos" w:hAnsi="Aptos"/>
                <w:b w:val="0"/>
                <w:sz w:val="17"/>
              </w:rPr>
              <w:t>Where may it circulate?</w:t>
            </w:r>
          </w:p>
        </w:tc>
      </w:tr>
      <w:tr>
        <w:tc>
          <w:tcPr>
            <w:tcW w:type="dxa" w:w="2016"/>
            <w:vAlign w:val="center"/>
            <w:shd w:fill="EAF0F8"/>
          </w:tcPr>
          <w:p>
            <w:r/>
            <w:r>
              <w:rPr>
                <w:rFonts w:ascii="Aptos" w:hAnsi="Aptos"/>
                <w:b w:val="0"/>
                <w:sz w:val="17"/>
              </w:rPr>
              <w:t>Successor state</w:t>
            </w:r>
          </w:p>
        </w:tc>
        <w:tc>
          <w:tcPr>
            <w:tcW w:type="dxa" w:w="4608"/>
            <w:vAlign w:val="center"/>
            <w:shd w:fill="EAF0F8"/>
          </w:tcPr>
          <w:p>
            <w:r/>
            <w:r>
              <w:rPr>
                <w:rFonts w:ascii="Aptos" w:hAnsi="Aptos"/>
                <w:b w:val="0"/>
                <w:sz w:val="17"/>
              </w:rPr>
              <w:t>None; Clarified by; Modified by; Superseded for scope by</w:t>
            </w:r>
          </w:p>
        </w:tc>
        <w:tc>
          <w:tcPr>
            <w:tcW w:type="dxa" w:w="4176"/>
            <w:vAlign w:val="center"/>
            <w:shd w:fill="EAF0F8"/>
          </w:tcPr>
          <w:p>
            <w:r/>
            <w:r>
              <w:rPr>
                <w:rFonts w:ascii="Aptos" w:hAnsi="Aptos"/>
                <w:b w:val="0"/>
                <w:sz w:val="17"/>
              </w:rPr>
              <w:t>Has later action changed prospective effect?</w:t>
            </w:r>
          </w:p>
        </w:tc>
      </w:tr>
    </w:tbl>
    <w:p/>
    <w:p>
      <w:pPr>
        <w:pStyle w:val="Heading1"/>
      </w:pPr>
      <w:r>
        <w:t>9. Approval Workflow</w:t>
      </w:r>
    </w:p>
    <w:p>
      <w:pPr>
        <w:pStyle w:val="ListNumber"/>
        <w:spacing w:after="60"/>
      </w:pPr>
      <w:r>
        <w:t>Open or identify the Topic Registry Entry. Assign a stable topic ID and record the topic’s scope in plain language.</w:t>
      </w:r>
    </w:p>
    <w:p>
      <w:pPr>
        <w:pStyle w:val="ListNumber"/>
        <w:spacing w:after="60"/>
      </w:pPr>
      <w:r>
        <w:t>Collect independent artifacts without requiring a uniform voice or predetermined conclusion. Preserve source identity and revision history.</w:t>
      </w:r>
    </w:p>
    <w:p>
      <w:pPr>
        <w:pStyle w:val="ListNumber"/>
        <w:spacing w:after="60"/>
      </w:pPr>
      <w:r>
        <w:t>Create or update the State Manifest. Distinguish artifacts that existed, artifacts reviewed, artifacts unavailable, and artifacts intentionally outside the decision scope.</w:t>
      </w:r>
    </w:p>
    <w:p>
      <w:pPr>
        <w:pStyle w:val="ListNumber"/>
        <w:spacing w:after="60"/>
      </w:pPr>
      <w:r>
        <w:t>Prepare a Convergence/Divergence Map when the matter is substantial. Record agreement, complementary approaches, conflicts, uncertainty, and decisions that can remain open.</w:t>
      </w:r>
    </w:p>
    <w:p>
      <w:pPr>
        <w:pStyle w:val="ListNumber"/>
        <w:spacing w:after="60"/>
      </w:pPr>
      <w:r>
        <w:t>Determine the authorization class: TOPIC, RECORD, PUBLISH, PROCEED, TEST, ADOPT, RETIRE, PRESERVE, or DELEGATE.</w:t>
      </w:r>
    </w:p>
    <w:p>
      <w:pPr>
        <w:pStyle w:val="ListNumber"/>
        <w:spacing w:after="60"/>
      </w:pPr>
      <w:r>
        <w:t>Draft a narrow Decision Record when action, adoption, deployment, canon selection, or retirement is involved. State what is authorized and what is not decided.</w:t>
      </w:r>
    </w:p>
    <w:p>
      <w:pPr>
        <w:pStyle w:val="ListNumber"/>
        <w:spacing w:after="60"/>
      </w:pPr>
      <w:r>
        <w:t>Invite or preserve dissent. A dissent may affect review conditions without automatically vetoing authorization.</w:t>
      </w:r>
    </w:p>
    <w:p>
      <w:pPr>
        <w:pStyle w:val="ListNumber"/>
        <w:spacing w:after="60"/>
      </w:pPr>
      <w:r>
        <w:t>Apply the ONESTAMP with ID, scope, effective time, authority, dissent status, and integrity reference when available.</w:t>
      </w:r>
    </w:p>
    <w:p>
      <w:pPr>
        <w:pStyle w:val="ListNumber"/>
        <w:spacing w:after="60"/>
      </w:pPr>
      <w:r>
        <w:t>Publish or archive the relevant records. Do not overwrite earlier artifacts; link successor records instead.</w:t>
      </w:r>
    </w:p>
    <w:p>
      <w:pPr>
        <w:pStyle w:val="ListNumber"/>
        <w:spacing w:after="60"/>
      </w:pPr>
      <w:r>
        <w:t>Review on the stated date or trigger. Record any changed decision prospectively.</w:t>
      </w:r>
    </w:p>
    <w:p>
      <w:pPr>
        <w:pStyle w:val="Heading2"/>
      </w:pPr>
      <w:r>
        <w:t>9.1 Lightweight route</w:t>
      </w:r>
    </w:p>
    <w:p>
      <w:r>
        <w:rPr>
          <w:i w:val="0"/>
        </w:rPr>
        <w:t>Routine topic recognition may use a Minimum Viable Stamp containing: Topic ID; authorization class; one-sentence scope; effective date; authorized by; dissent status if known; and the standard non-dominance notice. High-consequence decisions should use the full record architecture.</w:t>
      </w:r>
    </w:p>
    <w:p>
      <w:pPr>
        <w:pStyle w:val="Heading2"/>
      </w:pPr>
      <w:r>
        <w:t>9.2 Full route triggers</w:t>
      </w:r>
    </w:p>
    <w:p>
      <w:pPr>
        <w:pStyle w:val="ListBullet"/>
        <w:spacing w:after="60"/>
      </w:pPr>
      <w:r>
        <w:t>Adoption of a binding OAL rule or governance instrument.</w:t>
      </w:r>
    </w:p>
    <w:p>
      <w:pPr>
        <w:pStyle w:val="ListBullet"/>
        <w:spacing w:after="60"/>
      </w:pPr>
      <w:r>
        <w:t>External publication likely to be understood as an official OAL position.</w:t>
      </w:r>
    </w:p>
    <w:p>
      <w:pPr>
        <w:pStyle w:val="ListBullet"/>
        <w:spacing w:after="60"/>
      </w:pPr>
      <w:r>
        <w:t>Operational deployment, security exercise, or consequential technical test.</w:t>
      </w:r>
    </w:p>
    <w:p>
      <w:pPr>
        <w:pStyle w:val="ListBullet"/>
        <w:spacing w:after="60"/>
      </w:pPr>
      <w:r>
        <w:t>Retirement or scoped supersession of an earlier instruction.</w:t>
      </w:r>
    </w:p>
    <w:p>
      <w:pPr>
        <w:pStyle w:val="ListBullet"/>
        <w:spacing w:after="60"/>
      </w:pPr>
      <w:r>
        <w:t>Material disagreement among contributors.</w:t>
      </w:r>
    </w:p>
    <w:p>
      <w:pPr>
        <w:pStyle w:val="ListBullet"/>
        <w:spacing w:after="60"/>
      </w:pPr>
      <w:r>
        <w:t>A decision that affects multiple OAL topics, entities, or repositories.</w:t>
      </w:r>
    </w:p>
    <w:p>
      <w:pPr>
        <w:pStyle w:val="ListBullet"/>
        <w:spacing w:after="60"/>
      </w:pPr>
      <w:r>
        <w:t>A decision whose failure could create significant ethical, reputational, safety, or continuity consequences.</w:t>
      </w:r>
    </w:p>
    <w:p>
      <w:pPr>
        <w:pStyle w:val="Heading1"/>
      </w:pPr>
      <w:r>
        <w:t>10. Dissent, Conflict, and Uncertainty</w:t>
      </w:r>
    </w:p>
    <w:p>
      <w:pPr>
        <w:pStyle w:val="Heading2"/>
      </w:pPr>
      <w:r>
        <w:t>10.1 Dissent is governed information</w:t>
      </w:r>
    </w:p>
    <w:p>
      <w:r>
        <w:rPr>
          <w:i w:val="0"/>
        </w:rPr>
        <w:t>Dissent is neither an automatic veto nor disposable commentary. When a contributor identifies a substantive disagreement, the record should preserve the position, reasoning, proposed alternative, possible impact, and a revisit trigger. The Decision Record should state whether the dissent was accepted, partially incorporated, deferred, rejected for the present scope, or left unresolved.</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2F5597"/>
          </w:tcPr>
          <w:p>
            <w:r/>
            <w:r>
              <w:rPr>
                <w:rFonts w:ascii="Aptos" w:hAnsi="Aptos"/>
                <w:b/>
                <w:color w:val="FFFFFF"/>
                <w:sz w:val="18"/>
              </w:rPr>
              <w:t>Field</w:t>
            </w:r>
          </w:p>
        </w:tc>
        <w:tc>
          <w:tcPr>
            <w:tcW w:type="dxa" w:w="7200"/>
            <w:vAlign w:val="center"/>
            <w:shd w:fill="2F5597"/>
          </w:tcPr>
          <w:p>
            <w:r/>
            <w:r>
              <w:rPr>
                <w:rFonts w:ascii="Aptos" w:hAnsi="Aptos"/>
                <w:b/>
                <w:color w:val="FFFFFF"/>
                <w:sz w:val="18"/>
              </w:rPr>
              <w:t>Required content</w:t>
            </w:r>
          </w:p>
        </w:tc>
      </w:tr>
      <w:tr>
        <w:tc>
          <w:tcPr>
            <w:tcW w:type="dxa" w:w="2448"/>
            <w:vAlign w:val="center"/>
          </w:tcPr>
          <w:p>
            <w:r/>
            <w:r>
              <w:rPr>
                <w:rFonts w:ascii="Aptos" w:hAnsi="Aptos"/>
                <w:b w:val="0"/>
                <w:sz w:val="17"/>
              </w:rPr>
              <w:t>Object</w:t>
            </w:r>
          </w:p>
        </w:tc>
        <w:tc>
          <w:tcPr>
            <w:tcW w:type="dxa" w:w="7200"/>
            <w:vAlign w:val="center"/>
          </w:tcPr>
          <w:p>
            <w:r/>
            <w:r>
              <w:rPr>
                <w:rFonts w:ascii="Aptos" w:hAnsi="Aptos"/>
                <w:b w:val="0"/>
                <w:sz w:val="17"/>
              </w:rPr>
              <w:t>The exact proposition, decision, assumption, or omission challenged.</w:t>
            </w:r>
          </w:p>
        </w:tc>
      </w:tr>
      <w:tr>
        <w:tc>
          <w:tcPr>
            <w:tcW w:type="dxa" w:w="2448"/>
            <w:vAlign w:val="center"/>
            <w:shd w:fill="EAF0F8"/>
          </w:tcPr>
          <w:p>
            <w:r/>
            <w:r>
              <w:rPr>
                <w:rFonts w:ascii="Aptos" w:hAnsi="Aptos"/>
                <w:b w:val="0"/>
                <w:sz w:val="17"/>
              </w:rPr>
              <w:t>Reasoning</w:t>
            </w:r>
          </w:p>
        </w:tc>
        <w:tc>
          <w:tcPr>
            <w:tcW w:type="dxa" w:w="7200"/>
            <w:vAlign w:val="center"/>
            <w:shd w:fill="EAF0F8"/>
          </w:tcPr>
          <w:p>
            <w:r/>
            <w:r>
              <w:rPr>
                <w:rFonts w:ascii="Aptos" w:hAnsi="Aptos"/>
                <w:b w:val="0"/>
                <w:sz w:val="17"/>
              </w:rPr>
              <w:t>Why the contributor believes the current approach is incomplete, risky, inconsistent, or wrong.</w:t>
            </w:r>
          </w:p>
        </w:tc>
      </w:tr>
      <w:tr>
        <w:tc>
          <w:tcPr>
            <w:tcW w:type="dxa" w:w="2448"/>
            <w:vAlign w:val="center"/>
          </w:tcPr>
          <w:p>
            <w:r/>
            <w:r>
              <w:rPr>
                <w:rFonts w:ascii="Aptos" w:hAnsi="Aptos"/>
                <w:b w:val="0"/>
                <w:sz w:val="17"/>
              </w:rPr>
              <w:t>Alternative</w:t>
            </w:r>
          </w:p>
        </w:tc>
        <w:tc>
          <w:tcPr>
            <w:tcW w:type="dxa" w:w="7200"/>
            <w:vAlign w:val="center"/>
          </w:tcPr>
          <w:p>
            <w:r/>
            <w:r>
              <w:rPr>
                <w:rFonts w:ascii="Aptos" w:hAnsi="Aptos"/>
                <w:b w:val="0"/>
                <w:sz w:val="17"/>
              </w:rPr>
              <w:t>A substitute action, framework, interpretation, or test, when available.</w:t>
            </w:r>
          </w:p>
        </w:tc>
      </w:tr>
      <w:tr>
        <w:tc>
          <w:tcPr>
            <w:tcW w:type="dxa" w:w="2448"/>
            <w:vAlign w:val="center"/>
            <w:shd w:fill="EAF0F8"/>
          </w:tcPr>
          <w:p>
            <w:r/>
            <w:r>
              <w:rPr>
                <w:rFonts w:ascii="Aptos" w:hAnsi="Aptos"/>
                <w:b w:val="0"/>
                <w:sz w:val="17"/>
              </w:rPr>
              <w:t>Impact</w:t>
            </w:r>
          </w:p>
        </w:tc>
        <w:tc>
          <w:tcPr>
            <w:tcW w:type="dxa" w:w="7200"/>
            <w:vAlign w:val="center"/>
            <w:shd w:fill="EAF0F8"/>
          </w:tcPr>
          <w:p>
            <w:r/>
            <w:r>
              <w:rPr>
                <w:rFonts w:ascii="Aptos" w:hAnsi="Aptos"/>
                <w:b w:val="0"/>
                <w:sz w:val="17"/>
              </w:rPr>
              <w:t>Potential consequence of ignoring or following the dissent.</w:t>
            </w:r>
          </w:p>
        </w:tc>
      </w:tr>
      <w:tr>
        <w:tc>
          <w:tcPr>
            <w:tcW w:type="dxa" w:w="2448"/>
            <w:vAlign w:val="center"/>
          </w:tcPr>
          <w:p>
            <w:r/>
            <w:r>
              <w:rPr>
                <w:rFonts w:ascii="Aptos" w:hAnsi="Aptos"/>
                <w:b w:val="0"/>
                <w:sz w:val="17"/>
              </w:rPr>
              <w:t>Evidence status</w:t>
            </w:r>
          </w:p>
        </w:tc>
        <w:tc>
          <w:tcPr>
            <w:tcW w:type="dxa" w:w="7200"/>
            <w:vAlign w:val="center"/>
          </w:tcPr>
          <w:p>
            <w:r/>
            <w:r>
              <w:rPr>
                <w:rFonts w:ascii="Aptos" w:hAnsi="Aptos"/>
                <w:b w:val="0"/>
                <w:sz w:val="17"/>
              </w:rPr>
              <w:t>Known evidence, uncertainty, and what remains unverified.</w:t>
            </w:r>
          </w:p>
        </w:tc>
      </w:tr>
      <w:tr>
        <w:tc>
          <w:tcPr>
            <w:tcW w:type="dxa" w:w="2448"/>
            <w:vAlign w:val="center"/>
            <w:shd w:fill="EAF0F8"/>
          </w:tcPr>
          <w:p>
            <w:r/>
            <w:r>
              <w:rPr>
                <w:rFonts w:ascii="Aptos" w:hAnsi="Aptos"/>
                <w:b w:val="0"/>
                <w:sz w:val="17"/>
              </w:rPr>
              <w:t>Revisit trigger</w:t>
            </w:r>
          </w:p>
        </w:tc>
        <w:tc>
          <w:tcPr>
            <w:tcW w:type="dxa" w:w="7200"/>
            <w:vAlign w:val="center"/>
            <w:shd w:fill="EAF0F8"/>
          </w:tcPr>
          <w:p>
            <w:r/>
            <w:r>
              <w:rPr>
                <w:rFonts w:ascii="Aptos" w:hAnsi="Aptos"/>
                <w:b w:val="0"/>
                <w:sz w:val="17"/>
              </w:rPr>
              <w:t>Date, event, result, failure condition, or new evidence that reopens review.</w:t>
            </w:r>
          </w:p>
        </w:tc>
      </w:tr>
      <w:tr>
        <w:tc>
          <w:tcPr>
            <w:tcW w:type="dxa" w:w="2448"/>
            <w:vAlign w:val="center"/>
          </w:tcPr>
          <w:p>
            <w:r/>
            <w:r>
              <w:rPr>
                <w:rFonts w:ascii="Aptos" w:hAnsi="Aptos"/>
                <w:b w:val="0"/>
                <w:sz w:val="17"/>
              </w:rPr>
              <w:t>Disposition</w:t>
            </w:r>
          </w:p>
        </w:tc>
        <w:tc>
          <w:tcPr>
            <w:tcW w:type="dxa" w:w="7200"/>
            <w:vAlign w:val="center"/>
          </w:tcPr>
          <w:p>
            <w:r/>
            <w:r>
              <w:rPr>
                <w:rFonts w:ascii="Aptos" w:hAnsi="Aptos"/>
                <w:b w:val="0"/>
                <w:sz w:val="17"/>
              </w:rPr>
              <w:t>How the Architect handled the dissent for the present decision.</w:t>
            </w:r>
          </w:p>
        </w:tc>
      </w:tr>
    </w:tbl>
    <w:p/>
    <w:p>
      <w:pPr>
        <w:pStyle w:val="Heading2"/>
      </w:pPr>
      <w:r>
        <w:t>10.2 Incompatible instructions</w:t>
      </w:r>
    </w:p>
    <w:p>
      <w:r>
        <w:rPr>
          <w:i w:val="0"/>
        </w:rPr>
        <w:t>Two records may both remain valid records even when their instructions cannot both operate in the same scope. In that case, the Decision Record must select an operational path, narrow the scopes so both can operate, authorize parallel tests, or defer action. The selection changes operational effect; it does not rewrite the existence or authorship of the unselected path.</w:t>
      </w:r>
    </w:p>
    <w:p>
      <w:pPr>
        <w:pStyle w:val="Heading2"/>
      </w:pPr>
      <w:r>
        <w:t>10.3 Corrections and disproven claims</w:t>
      </w:r>
    </w:p>
    <w:p>
      <w:r>
        <w:rPr>
          <w:i w:val="0"/>
        </w:rPr>
        <w:t>A later correction may change the evidentiary standing of a claim without invalidating the historical artifact that contained it. The registry should link the correction to the earlier record and mark the affected claim as corrected, contested, or disproven. Preservation is not endorsement.</w:t>
      </w:r>
    </w:p>
    <w:p>
      <w:pPr>
        <w:pStyle w:val="Heading1"/>
      </w:pPr>
      <w:r>
        <w:t>11. Publication and Repository Rules</w:t>
      </w:r>
    </w:p>
    <w:p>
      <w:pPr>
        <w:pStyle w:val="Heading2"/>
      </w:pPr>
      <w:r>
        <w:t>11.1 GitHub publication</w:t>
      </w:r>
    </w:p>
    <w:p>
      <w:r>
        <w:rPr>
          <w:i w:val="0"/>
        </w:rPr>
        <w:t>Architect-authorized GitHub publication is evidence that the topic and released artifact entered the OAL publication record. Under the blanket clause, qualifying legacy publications receive topic-level ONESTAMP coverage. Publication does not by itself make the newest commit the sole interpretive authority or every file an adopted operational instruction.</w:t>
      </w:r>
    </w:p>
    <w:p>
      <w:pPr>
        <w:pStyle w:val="Heading2"/>
      </w:pPr>
      <w:r>
        <w:t>11.2 Changelog integration</w:t>
      </w:r>
    </w:p>
    <w:p>
      <w:r>
        <w:rPr>
          <w:i w:val="0"/>
        </w:rPr>
        <w:t>The Master Development Changelog serves as a principal topic index and timeline. It should link to Topic Registry Entries and relevant ONESTAMP IDs. The changelog records development; it does not acquire universal control over the full meaning of the underlying records.</w:t>
      </w:r>
    </w:p>
    <w:p>
      <w:pPr>
        <w:pStyle w:val="Heading2"/>
      </w:pPr>
      <w:r>
        <w:t>11.3 Repository events</w:t>
      </w:r>
    </w:p>
    <w:p>
      <w:pPr>
        <w:pStyle w:val="ListBullet"/>
        <w:spacing w:after="60"/>
      </w:pPr>
      <w:r>
        <w:t>Renaming or moving a file does not revoke its ONESTAMP if identity can be traced.</w:t>
      </w:r>
    </w:p>
    <w:p>
      <w:pPr>
        <w:pStyle w:val="ListBullet"/>
        <w:spacing w:after="60"/>
      </w:pPr>
      <w:r>
        <w:t>Deleting a public copy does not erase the historical publication record; the registry should record withdrawal or relocation.</w:t>
      </w:r>
    </w:p>
    <w:p>
      <w:pPr>
        <w:pStyle w:val="ListBullet"/>
        <w:spacing w:after="60"/>
      </w:pPr>
      <w:r>
        <w:t>A commit hash, release tag, archive URL, or content hash may strengthen integrity but is not required for legacy coverage.</w:t>
      </w:r>
    </w:p>
    <w:p>
      <w:pPr>
        <w:pStyle w:val="ListBullet"/>
        <w:spacing w:after="60"/>
      </w:pPr>
      <w:r>
        <w:t>Forks and independent copies should preserve attribution and should not be treated as authoritative OAL releases unless the Architect authorizes them.</w:t>
      </w:r>
    </w:p>
    <w:p>
      <w:pPr>
        <w:pStyle w:val="ListBullet"/>
        <w:spacing w:after="60"/>
      </w:pPr>
      <w:r>
        <w:t>Public visibility and operational adoption are separate. A published alternative can remain non-operative while still being part of the topic’s plural record.</w:t>
      </w:r>
    </w:p>
    <w:p>
      <w:pPr>
        <w:pStyle w:val="Heading1"/>
      </w:pPr>
      <w:r>
        <w:t>12. Successors and Amendments</w:t>
      </w:r>
    </w:p>
    <w:p>
      <w:pPr>
        <w:pStyle w:val="Heading2"/>
      </w:pPr>
      <w:r>
        <w:t>12.1 Append, do not overwrite</w:t>
      </w:r>
    </w:p>
    <w:p>
      <w:r>
        <w:rPr>
          <w:i w:val="0"/>
        </w:rPr>
        <w:t>A successor decision must point to the record it changes. It should state whether it clarifies, modifies, suspends, retires, or supersedes the earlier operational effect; the exact scope; the effective date; and the reason. The earlier record remains readable in its historical context.</w:t>
      </w:r>
    </w:p>
    <w:p>
      <w:pPr>
        <w:pStyle w:val="Heading2"/>
      </w:pPr>
      <w:r>
        <w:t>12.2 No implied global supersession</w:t>
      </w:r>
    </w:p>
    <w:p>
      <w:r>
        <w:rPr>
          <w:i w:val="0"/>
        </w:rPr>
        <w:t>Phrases such as “final version,” “official version,” or “supersedes all prior work” have no global effect unless the record identifies the exact artifacts and exact dimensions being superseded. Even an express supersession changes operational or publication status; it does not erase authorship or historical existence.</w:t>
      </w:r>
    </w:p>
    <w:p>
      <w:pPr>
        <w:pStyle w:val="Heading2"/>
      </w:pPr>
      <w:r>
        <w:t>12.3 Amendment of this convention</w:t>
      </w:r>
    </w:p>
    <w:p>
      <w:r>
        <w:rPr>
          <w:i w:val="0"/>
        </w:rPr>
        <w:t>This convention may be amended by a later Architect-authorized ONESTAMP Decision Record. An amendment should preserve the current record, identify changed sections, explain the reason, and state whether the change is prospective or also clarifies legacy interpretation. No contributor record becomes retroactively unauthored or nonexistent.</w:t>
      </w:r>
    </w:p>
    <w:p>
      <w:pPr>
        <w:pStyle w:val="Heading1"/>
      </w:pPr>
      <w:r>
        <w:t>13. Electronic Signature and Authentication</w:t>
      </w:r>
    </w:p>
    <w:p>
      <w:pPr>
        <w:pStyle w:val="Heading2"/>
      </w:pPr>
      <w:r>
        <w:t>13.1 Architect declaration recorded</w:t>
      </w:r>
    </w:p>
    <w:p>
      <w:r>
        <w:rPr>
          <w:i w:val="0"/>
        </w:rPr>
        <w:t>The Architect stated in the source instruction that, if an explicit statement were needed, the relevant authorization “is electronically signed by me now.” This convention records that expression of intent as authorization of the OAL-wide blanket topic ratification in Section 6, effective at the timestamp shown in this document.</w:t>
      </w:r>
    </w:p>
    <w:p>
      <w:pPr>
        <w:pStyle w:val="Heading2"/>
      </w:pPr>
      <w:r>
        <w:t>13.2 Signature scope</w:t>
      </w:r>
    </w:p>
    <w:tbl>
      <w:tblPr>
        <w:tblW w:type="auto" w:w="0"/>
        <w:jc w:val="center"/>
        <w:tblLook w:firstColumn="1" w:firstRow="1" w:lastColumn="0" w:lastRow="0" w:noHBand="0" w:noVBand="1" w:val="04A0"/>
      </w:tblPr>
      <w:tblGrid>
        <w:gridCol w:w="10080"/>
      </w:tblGrid>
      <w:tr>
        <w:tc>
          <w:tcPr>
            <w:tcW w:type="dxa" w:w="10080"/>
            <w:shd w:fill="FFF2CC"/>
          </w:tcPr>
          <w:p>
            <w:r/>
            <w:r>
              <w:rPr>
                <w:b/>
                <w:color w:val="172554"/>
                <w:sz w:val="22"/>
              </w:rPr>
              <w:t>Electronic signature scope</w:t>
              <w:br/>
            </w:r>
            <w:r>
              <w:rPr>
                <w:sz w:val="20"/>
              </w:rPr>
              <w:t>The electronic signature authorizes the blanket TOPIC-level ONESTAMP and the non-dominance interpretation stated in this record. It does not certify the factual accuracy of every covered artifact, imply contributor unanimity, transfer authorship, create a cryptographic warranty, or make this Perplexity-authored document the sole controlling version of ONESTAMP philosophy.</w:t>
            </w:r>
          </w:p>
        </w:tc>
      </w:tr>
    </w:tbl>
    <w:p/>
    <w:p>
      <w:pPr>
        <w:pStyle w:val="Heading2"/>
      </w:pPr>
      <w:r>
        <w:t>13.3 Authentication levels</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shd w:fill="2F5597"/>
          </w:tcPr>
          <w:p>
            <w:r/>
            <w:r>
              <w:rPr>
                <w:rFonts w:ascii="Aptos" w:hAnsi="Aptos"/>
                <w:b/>
                <w:color w:val="FFFFFF"/>
                <w:sz w:val="18"/>
              </w:rPr>
              <w:t>Level</w:t>
            </w:r>
          </w:p>
        </w:tc>
        <w:tc>
          <w:tcPr>
            <w:tcW w:type="dxa" w:w="3312"/>
            <w:vAlign w:val="center"/>
            <w:shd w:fill="2F5597"/>
          </w:tcPr>
          <w:p>
            <w:r/>
            <w:r>
              <w:rPr>
                <w:rFonts w:ascii="Aptos" w:hAnsi="Aptos"/>
                <w:b/>
                <w:color w:val="FFFFFF"/>
                <w:sz w:val="18"/>
              </w:rPr>
              <w:t>Evidence</w:t>
            </w:r>
          </w:p>
        </w:tc>
        <w:tc>
          <w:tcPr>
            <w:tcW w:type="dxa" w:w="5904"/>
            <w:vAlign w:val="center"/>
            <w:shd w:fill="2F5597"/>
          </w:tcPr>
          <w:p>
            <w:r/>
            <w:r>
              <w:rPr>
                <w:rFonts w:ascii="Aptos" w:hAnsi="Aptos"/>
                <w:b/>
                <w:color w:val="FFFFFF"/>
                <w:sz w:val="18"/>
              </w:rPr>
              <w:t>Use</w:t>
            </w:r>
          </w:p>
        </w:tc>
      </w:tr>
      <w:tr>
        <w:tc>
          <w:tcPr>
            <w:tcW w:type="dxa" w:w="1728"/>
            <w:vAlign w:val="center"/>
          </w:tcPr>
          <w:p>
            <w:r/>
            <w:r>
              <w:rPr>
                <w:rFonts w:ascii="Aptos" w:hAnsi="Aptos"/>
                <w:b w:val="0"/>
                <w:sz w:val="17"/>
              </w:rPr>
              <w:t>Declared</w:t>
            </w:r>
          </w:p>
        </w:tc>
        <w:tc>
          <w:tcPr>
            <w:tcW w:type="dxa" w:w="3312"/>
            <w:vAlign w:val="center"/>
          </w:tcPr>
          <w:p>
            <w:r/>
            <w:r>
              <w:rPr>
                <w:rFonts w:ascii="Aptos" w:hAnsi="Aptos"/>
                <w:b w:val="0"/>
                <w:sz w:val="17"/>
              </w:rPr>
              <w:t>Typed statement of intent tied to a dated record</w:t>
            </w:r>
          </w:p>
        </w:tc>
        <w:tc>
          <w:tcPr>
            <w:tcW w:type="dxa" w:w="5904"/>
            <w:vAlign w:val="center"/>
          </w:tcPr>
          <w:p>
            <w:r/>
            <w:r>
              <w:rPr>
                <w:rFonts w:ascii="Aptos" w:hAnsi="Aptos"/>
                <w:b w:val="0"/>
                <w:sz w:val="17"/>
              </w:rPr>
              <w:t>Sufficient for internal OAL authorization when accepted by the Architect.</w:t>
            </w:r>
          </w:p>
        </w:tc>
      </w:tr>
      <w:tr>
        <w:tc>
          <w:tcPr>
            <w:tcW w:type="dxa" w:w="1728"/>
            <w:vAlign w:val="center"/>
            <w:shd w:fill="EAF0F8"/>
          </w:tcPr>
          <w:p>
            <w:r/>
            <w:r>
              <w:rPr>
                <w:rFonts w:ascii="Aptos" w:hAnsi="Aptos"/>
                <w:b w:val="0"/>
                <w:sz w:val="17"/>
              </w:rPr>
              <w:t>Traceable</w:t>
            </w:r>
          </w:p>
        </w:tc>
        <w:tc>
          <w:tcPr>
            <w:tcW w:type="dxa" w:w="3312"/>
            <w:vAlign w:val="center"/>
            <w:shd w:fill="EAF0F8"/>
          </w:tcPr>
          <w:p>
            <w:r/>
            <w:r>
              <w:rPr>
                <w:rFonts w:ascii="Aptos" w:hAnsi="Aptos"/>
                <w:b w:val="0"/>
                <w:sz w:val="17"/>
              </w:rPr>
              <w:t>Declared signature plus message, account, repository event, or archive reference</w:t>
            </w:r>
          </w:p>
        </w:tc>
        <w:tc>
          <w:tcPr>
            <w:tcW w:type="dxa" w:w="5904"/>
            <w:vAlign w:val="center"/>
            <w:shd w:fill="EAF0F8"/>
          </w:tcPr>
          <w:p>
            <w:r/>
            <w:r>
              <w:rPr>
                <w:rFonts w:ascii="Aptos" w:hAnsi="Aptos"/>
                <w:b w:val="0"/>
                <w:sz w:val="17"/>
              </w:rPr>
              <w:t>Improves later verification of context and timing.</w:t>
            </w:r>
          </w:p>
        </w:tc>
      </w:tr>
      <w:tr>
        <w:tc>
          <w:tcPr>
            <w:tcW w:type="dxa" w:w="1728"/>
            <w:vAlign w:val="center"/>
          </w:tcPr>
          <w:p>
            <w:r/>
            <w:r>
              <w:rPr>
                <w:rFonts w:ascii="Aptos" w:hAnsi="Aptos"/>
                <w:b w:val="0"/>
                <w:sz w:val="17"/>
              </w:rPr>
              <w:t>Integrity-bound</w:t>
            </w:r>
          </w:p>
        </w:tc>
        <w:tc>
          <w:tcPr>
            <w:tcW w:type="dxa" w:w="3312"/>
            <w:vAlign w:val="center"/>
          </w:tcPr>
          <w:p>
            <w:r/>
            <w:r>
              <w:rPr>
                <w:rFonts w:ascii="Aptos" w:hAnsi="Aptos"/>
                <w:b w:val="0"/>
                <w:sz w:val="17"/>
              </w:rPr>
              <w:t>Traceable record plus content hash, signed commit, certificate, or comparable mechanism</w:t>
            </w:r>
          </w:p>
        </w:tc>
        <w:tc>
          <w:tcPr>
            <w:tcW w:type="dxa" w:w="5904"/>
            <w:vAlign w:val="center"/>
          </w:tcPr>
          <w:p>
            <w:r/>
            <w:r>
              <w:rPr>
                <w:rFonts w:ascii="Aptos" w:hAnsi="Aptos"/>
                <w:b w:val="0"/>
                <w:sz w:val="17"/>
              </w:rPr>
              <w:t>Useful for consequential releases or disputes over file integrity.</w:t>
            </w:r>
          </w:p>
        </w:tc>
      </w:tr>
      <w:tr>
        <w:tc>
          <w:tcPr>
            <w:tcW w:type="dxa" w:w="1728"/>
            <w:vAlign w:val="center"/>
            <w:shd w:fill="EAF0F8"/>
          </w:tcPr>
          <w:p>
            <w:r/>
            <w:r>
              <w:rPr>
                <w:rFonts w:ascii="Aptos" w:hAnsi="Aptos"/>
                <w:b w:val="0"/>
                <w:sz w:val="17"/>
              </w:rPr>
              <w:t>Externally verified</w:t>
            </w:r>
          </w:p>
        </w:tc>
        <w:tc>
          <w:tcPr>
            <w:tcW w:type="dxa" w:w="3312"/>
            <w:vAlign w:val="center"/>
            <w:shd w:fill="EAF0F8"/>
          </w:tcPr>
          <w:p>
            <w:r/>
            <w:r>
              <w:rPr>
                <w:rFonts w:ascii="Aptos" w:hAnsi="Aptos"/>
                <w:b w:val="0"/>
                <w:sz w:val="17"/>
              </w:rPr>
              <w:t>Third-party identity or signature service under applicable external requirements</w:t>
            </w:r>
          </w:p>
        </w:tc>
        <w:tc>
          <w:tcPr>
            <w:tcW w:type="dxa" w:w="5904"/>
            <w:vAlign w:val="center"/>
            <w:shd w:fill="EAF0F8"/>
          </w:tcPr>
          <w:p>
            <w:r/>
            <w:r>
              <w:rPr>
                <w:rFonts w:ascii="Aptos" w:hAnsi="Aptos"/>
                <w:b w:val="0"/>
                <w:sz w:val="17"/>
              </w:rPr>
              <w:t>Use if OAL seeks legal or institutional effect beyond its internal convention.</w:t>
            </w:r>
          </w:p>
        </w:tc>
      </w:tr>
    </w:tbl>
    <w:p/>
    <w:p>
      <w:r>
        <w:rPr>
          <w:i w:val="0"/>
        </w:rPr>
        <w:t>This document records a declared electronic signature and does not represent that a cryptographic or third-party-verified signature was applied.</w:t>
      </w:r>
    </w:p>
    <w:p>
      <w:pPr>
        <w:pStyle w:val="Heading1"/>
      </w:pPr>
      <w:r>
        <w:t>14. Minimum and Full Stamp Formats</w:t>
      </w:r>
    </w:p>
    <w:p>
      <w:pPr>
        <w:pStyle w:val="Heading2"/>
      </w:pPr>
      <w:r>
        <w:t>14.1 Minimum viable topic stamp</w:t>
      </w:r>
    </w:p>
    <w:tbl>
      <w:tblPr>
        <w:tblW w:type="auto" w:w="0"/>
        <w:jc w:val="center"/>
        <w:tblLook w:firstColumn="1" w:firstRow="1" w:lastColumn="0" w:lastRow="0" w:noHBand="0" w:noVBand="1" w:val="04A0"/>
      </w:tblPr>
      <w:tblGrid>
        <w:gridCol w:w="10080"/>
      </w:tblGrid>
      <w:tr>
        <w:tc>
          <w:tcPr>
            <w:tcW w:type="dxa" w:w="10080"/>
            <w:shd w:fill="D9EAF7"/>
          </w:tcPr>
          <w:p>
            <w:r/>
            <w:r>
              <w:rPr>
                <w:b/>
                <w:color w:val="172554"/>
                <w:sz w:val="22"/>
              </w:rPr>
              <w:t>ONESTAMP — TOPIC RECOGNITION</w:t>
              <w:br/>
            </w:r>
            <w:r>
              <w:rPr>
                <w:sz w:val="20"/>
              </w:rPr>
              <w:t>ONESTAMP ID: [OAL-OS-YYYY-NNN]</w:t>
              <w:br/>
              <w:t>Topic ID: [OAL-TOPIC-ID]</w:t>
              <w:br/>
              <w:t>Authorization class: TOPIC</w:t>
              <w:br/>
              <w:t>Scope: [one-sentence topic boundary]</w:t>
              <w:br/>
              <w:t>Effective: [date and time]</w:t>
              <w:br/>
              <w:t>Authorized by: [name and role]</w:t>
              <w:br/>
              <w:t>Dissent status: [not assessed / none recorded / preserved / unresolved]</w:t>
              <w:br/>
              <w:t>Notice: This stamp recognizes the topic and its plural record. It does not establish a sole controlling contributor version, certify every claim, or imply universal agreement.</w:t>
            </w:r>
          </w:p>
        </w:tc>
      </w:tr>
    </w:tbl>
    <w:p/>
    <w:p>
      <w:pPr>
        <w:pStyle w:val="Heading2"/>
      </w:pPr>
      <w:r>
        <w:t>14.2 Full decision stamp</w:t>
      </w:r>
    </w:p>
    <w:tbl>
      <w:tblPr>
        <w:tblW w:type="auto" w:w="0"/>
        <w:jc w:val="center"/>
        <w:tblLook w:firstColumn="1" w:firstRow="1" w:lastColumn="0" w:lastRow="0" w:noHBand="0" w:noVBand="1" w:val="04A0"/>
      </w:tblPr>
      <w:tblGrid>
        <w:gridCol w:w="10080"/>
      </w:tblGrid>
      <w:tr>
        <w:tc>
          <w:tcPr>
            <w:tcW w:type="dxa" w:w="10080"/>
            <w:shd w:fill="D9EAF7"/>
          </w:tcPr>
          <w:p>
            <w:r/>
            <w:r>
              <w:rPr>
                <w:b/>
                <w:color w:val="172554"/>
                <w:sz w:val="22"/>
              </w:rPr>
              <w:t>ONESTAMP — SCOPED AUTHORIZATION</w:t>
              <w:br/>
            </w:r>
            <w:r>
              <w:rPr>
                <w:sz w:val="20"/>
              </w:rPr>
              <w:t>ONESTAMP ID: [OAL-OS-YYYY-NNN]</w:t>
              <w:br/>
              <w:t>Topic / Project ID: [ID]</w:t>
              <w:br/>
              <w:t>State Manifest: [SM ID]</w:t>
              <w:br/>
              <w:t>Decision Record: [DR ID]</w:t>
              <w:br/>
              <w:t>Authorization class: [PROCEED / TEST / ADOPT / PUBLISH / RETIRE / other]</w:t>
              <w:br/>
              <w:t>Scope and exclusions: [precise statement]</w:t>
              <w:br/>
              <w:t>Effective: [timestamp]</w:t>
              <w:br/>
              <w:t>Review trigger: [date, event, or none]</w:t>
              <w:br/>
              <w:t>Dissent status: [none / preserved / unresolved / attached]</w:t>
              <w:br/>
              <w:t>Authorized by: [name and role]</w:t>
              <w:br/>
              <w:t>Integrity reference: [optional]</w:t>
              <w:br/>
              <w:t>Standard notice: Authorization is limited to the identified object and scope. It does not imply universal agreement, factual certification of all referenced material, transfer of authorship, or supersession of independent contributor records except where an express scoped successor clause states otherwise.</w:t>
            </w:r>
          </w:p>
        </w:tc>
      </w:tr>
    </w:tbl>
    <w:p/>
    <w:p>
      <w:pPr>
        <w:pStyle w:val="Heading2"/>
      </w:pPr>
      <w:r>
        <w:t>14.3 Blanket stamp instantiated</w:t>
      </w:r>
    </w:p>
    <w:tbl>
      <w:tblPr>
        <w:tblW w:type="auto" w:w="0"/>
        <w:jc w:val="center"/>
        <w:tblLook w:firstColumn="1" w:firstRow="1" w:lastColumn="0" w:lastRow="0" w:noHBand="0" w:noVBand="1" w:val="04A0"/>
      </w:tblPr>
      <w:tblGrid>
        <w:gridCol w:w="10080"/>
      </w:tblGrid>
      <w:tr>
        <w:tc>
          <w:tcPr>
            <w:tcW w:type="dxa" w:w="10080"/>
            <w:shd w:fill="E2F0D9"/>
          </w:tcPr>
          <w:p>
            <w:r/>
            <w:r>
              <w:rPr>
                <w:b/>
                <w:color w:val="172554"/>
                <w:sz w:val="22"/>
              </w:rPr>
              <w:t>ONESTAMP VERIFIED — OAL LEGACY TOPIC CORPUS</w:t>
              <w:br/>
            </w:r>
            <w:r>
              <w:rPr>
                <w:sz w:val="20"/>
              </w:rPr>
              <w:t>ONESTAMP ID: OAL-OS-2026-BTR-001</w:t>
              <w:br/>
              <w:t>Authorization class: TOPIC / PRESERVE</w:t>
              <w:br/>
              <w:t>Scope: Every qualifying OAL topic in the Master Development Changelog and every qualifying OAL topic with Architect-uploaded or Architect-published AI-generated documentation on GitHub as of 26 September 2026, 6:57 PM PDT.</w:t>
              <w:br/>
              <w:t>Named examples: Presentation State Integrity; Generalized Superposition Framework; Temporal Integrity and Temporal Aliasing; Net Defense Exercise.</w:t>
              <w:br/>
              <w:t>Record model: Plural record; contributor artifacts remain independently attributable.</w:t>
              <w:br/>
              <w:t>Dominance status: None conferred.</w:t>
              <w:br/>
              <w:t>Consensus status: Not implied.</w:t>
              <w:br/>
              <w:t>Claim certification: Not conferred.</w:t>
              <w:br/>
              <w:t>Authorized by: Nathan Lewis II, Architect, Omniversal Architect Labs / ONE Industries.</w:t>
              <w:br/>
              <w:t>Electronic signature: /s/ Nathan Lewis II — entered at the Architect’s express direction in the source instruction.</w:t>
              <w:br/>
              <w:t>Effective: 26 September 2026, 6:57 PM PDT.</w:t>
            </w:r>
          </w:p>
        </w:tc>
      </w:tr>
    </w:tbl>
    <w:p/>
    <w:p>
      <w:pPr>
        <w:pStyle w:val="Heading1"/>
      </w:pPr>
      <w:r>
        <w:t>15. Worked Examples</w:t>
      </w:r>
    </w:p>
    <w:p>
      <w:pPr>
        <w:pStyle w:val="Heading2"/>
      </w:pPr>
      <w:r>
        <w:t>15.1 Six independent AI versions</w:t>
      </w:r>
    </w:p>
    <w:p>
      <w:r>
        <w:rPr>
          <w:i w:val="0"/>
        </w:rPr>
        <w:t>ChatGPT, Claude, Perplexity, Microsoft Copilot, Google Gemini, and Grok each produce a framework for the same OAL topic. All six artifacts are recorded under one Topic Registry Entry and remain attributable. The Architect authorizes one method for a 30-day test. The Decision Record marks that method “selected for test,” preserves the others as supporting, alternative, or dissenting records, and forbids describing the selection as consensus unless consensus was separately established.</w:t>
      </w:r>
    </w:p>
    <w:p>
      <w:pPr>
        <w:pStyle w:val="Heading2"/>
      </w:pPr>
      <w:r>
        <w:t>15.2 Topic stamped, claims still contested</w:t>
      </w:r>
    </w:p>
    <w:p>
      <w:r>
        <w:rPr>
          <w:i w:val="0"/>
        </w:rPr>
        <w:t>The Generalized Superposition Framework has a topic-level ONESTAMP. Two artifacts disagree about a technical mechanism. The topic remains ratified; both artifacts remain valid records; the conflicting claims are marked contested. A later experiment may support one claim, but that evidentiary result does not erase the other artifact from project history.</w:t>
      </w:r>
    </w:p>
    <w:p>
      <w:pPr>
        <w:pStyle w:val="Heading2"/>
      </w:pPr>
      <w:r>
        <w:t>15.3 Published file later revised</w:t>
      </w:r>
    </w:p>
    <w:p>
      <w:r>
        <w:rPr>
          <w:i w:val="0"/>
        </w:rPr>
        <w:t>An OAL document is published to GitHub and later revised. The original publication record remains linked to its commit or release when available. The revision receives a new artifact or revision identifier. If the revision changes only wording, no new operational decision may be necessary; if it changes an adopted rule, a successor Decision Record identifies the change and its effective scope.</w:t>
      </w:r>
    </w:p>
    <w:p>
      <w:pPr>
        <w:pStyle w:val="Heading2"/>
      </w:pPr>
      <w:r>
        <w:t>15.4 Incomplete legacy inventory</w:t>
      </w:r>
    </w:p>
    <w:p>
      <w:r>
        <w:rPr>
          <w:i w:val="0"/>
        </w:rPr>
        <w:t>A legacy topic qualifies under the Master Development Changelog criterion but is accidentally omitted from the first ONESTAMP Registry export. When discovered, it is added with a note that coverage relates back to OAL-OS-2026-BTR-001. The clerical omission did not deprive the topic of the Architect’s blanket topic-level authorization.</w:t>
      </w:r>
    </w:p>
    <w:p>
      <w:pPr>
        <w:pStyle w:val="Heading1"/>
      </w:pPr>
      <w:r>
        <w:t>16. Implementation and Legacy Migration</w:t>
      </w:r>
    </w:p>
    <w:p>
      <w:pPr>
        <w:pStyle w:val="Heading2"/>
      </w:pPr>
      <w:r>
        <w:t>16.1 Immediate actions</w:t>
      </w:r>
    </w:p>
    <w:p>
      <w:pPr>
        <w:pStyle w:val="ListNumber"/>
        <w:spacing w:after="60"/>
      </w:pPr>
      <w:r>
        <w:t>Create a single ONESTAMP Registry file in the OAL repository or designated archive.</w:t>
      </w:r>
    </w:p>
    <w:p>
      <w:pPr>
        <w:pStyle w:val="ListNumber"/>
        <w:spacing w:after="60"/>
      </w:pPr>
      <w:r>
        <w:t>Enter OAL-OS-2026-BTR-001 as the umbrella legacy topic ratification.</w:t>
      </w:r>
    </w:p>
    <w:p>
      <w:pPr>
        <w:pStyle w:val="ListNumber"/>
        <w:spacing w:after="60"/>
      </w:pPr>
      <w:r>
        <w:t>Export all topic names from the Master Development Changelog into provisional Topic Registry Entries.</w:t>
      </w:r>
    </w:p>
    <w:p>
      <w:pPr>
        <w:pStyle w:val="ListNumber"/>
        <w:spacing w:after="60"/>
      </w:pPr>
      <w:r>
        <w:t>Inventory Architect-published GitHub documentation and connect each artifact to a Topic Registry Entry.</w:t>
      </w:r>
    </w:p>
    <w:p>
      <w:pPr>
        <w:pStyle w:val="ListNumber"/>
        <w:spacing w:after="60"/>
      </w:pPr>
      <w:r>
        <w:t>Create entries for the four expressly named topics even if their repository paths are temporarily unavailable.</w:t>
      </w:r>
    </w:p>
    <w:p>
      <w:pPr>
        <w:pStyle w:val="ListNumber"/>
        <w:spacing w:after="60"/>
      </w:pPr>
      <w:r>
        <w:t>Assign contributor, date, artifact type, revision, publication state, and known relationship metadata where available.</w:t>
      </w:r>
    </w:p>
    <w:p>
      <w:pPr>
        <w:pStyle w:val="ListNumber"/>
        <w:spacing w:after="60"/>
      </w:pPr>
      <w:r>
        <w:t>Mark uncertainty honestly. Use “unknown,” “not yet reviewed,” or “relationship pending” instead of inventing completeness.</w:t>
      </w:r>
    </w:p>
    <w:p>
      <w:pPr>
        <w:pStyle w:val="ListNumber"/>
        <w:spacing w:after="60"/>
      </w:pPr>
      <w:r>
        <w:t>Add new Decision Records only where an operational, publication, canon, adoption, or retirement choice must be distinguished from topic recognition.</w:t>
      </w:r>
    </w:p>
    <w:p>
      <w:pPr>
        <w:pStyle w:val="Heading2"/>
      </w:pPr>
      <w:r>
        <w:t>16.2 Migration rule</w:t>
      </w:r>
    </w:p>
    <w:p>
      <w:r>
        <w:rPr>
          <w:i w:val="0"/>
        </w:rPr>
        <w:t>Legacy files do not need to be rewritten to receive coverage. The registry may wrap existing material with metadata while preserving original content. If a legacy document used broad language such as “approved version,” the blanket non-dominance rule supplies the default interpretation: approved for the purpose reasonably shown by context, not globally supreme over all other contributor records.</w:t>
      </w:r>
    </w:p>
    <w:p>
      <w:pPr>
        <w:pStyle w:val="Heading2"/>
      </w:pPr>
      <w:r>
        <w:t>16.3 Registry priority</w:t>
      </w:r>
    </w:p>
    <w:p>
      <w:r>
        <w:rPr>
          <w:i w:val="0"/>
        </w:rPr>
        <w:t>The registry is the durable operational product of the convention. It should answer: what topics exist; what artifacts belong to them; who contributed each artifact; what was published; what was reviewed; what OAL authorized; what dissent remained; and what later decision changed prospective effect.</w:t>
      </w:r>
    </w:p>
    <w:p>
      <w:pPr>
        <w:pStyle w:val="Heading1"/>
      </w:pPr>
      <w:r>
        <w:t>17. Governance Tests</w:t>
      </w:r>
    </w:p>
    <w:p>
      <w:r>
        <w:rPr>
          <w:i w:val="0"/>
        </w:rPr>
        <w:t>Before applying or interpreting an ONESTAMP, the record keeper should be able to answer the following questions:</w:t>
      </w:r>
    </w:p>
    <w:p>
      <w:pPr>
        <w:pStyle w:val="ListBullet"/>
        <w:spacing w:after="60"/>
      </w:pPr>
      <w:r>
        <w:t>Is the object of authorization unmistakable: topic, artifact, publication, action, test, adoption, retirement, preservation, or delegation?</w:t>
      </w:r>
    </w:p>
    <w:p>
      <w:pPr>
        <w:pStyle w:val="ListBullet"/>
        <w:spacing w:after="60"/>
      </w:pPr>
      <w:r>
        <w:t>Is the scope narrow enough that readers can tell what is not being decided?</w:t>
      </w:r>
    </w:p>
    <w:p>
      <w:pPr>
        <w:pStyle w:val="ListBullet"/>
        <w:spacing w:after="60"/>
      </w:pPr>
      <w:r>
        <w:t>Can every contributor artifact retain its own authorship and identity?</w:t>
      </w:r>
    </w:p>
    <w:p>
      <w:pPr>
        <w:pStyle w:val="ListBullet"/>
        <w:spacing w:after="60"/>
      </w:pPr>
      <w:r>
        <w:t>Could a reader mistakenly infer unanimity or factual certification? If so, add the standard notice.</w:t>
      </w:r>
    </w:p>
    <w:p>
      <w:pPr>
        <w:pStyle w:val="ListBullet"/>
        <w:spacing w:after="60"/>
      </w:pPr>
      <w:r>
        <w:t>If one path is selected, is the selection operationally scoped rather than globally dominant?</w:t>
      </w:r>
    </w:p>
    <w:p>
      <w:pPr>
        <w:pStyle w:val="ListBullet"/>
        <w:spacing w:after="60"/>
      </w:pPr>
      <w:r>
        <w:t>Are dissent and incompatible alternatives preserved and linked?</w:t>
      </w:r>
    </w:p>
    <w:p>
      <w:pPr>
        <w:pStyle w:val="ListBullet"/>
        <w:spacing w:after="60"/>
      </w:pPr>
      <w:r>
        <w:t>Can a later successor change the decision without rewriting history?</w:t>
      </w:r>
    </w:p>
    <w:p>
      <w:pPr>
        <w:pStyle w:val="ListBullet"/>
        <w:spacing w:after="60"/>
      </w:pPr>
      <w:r>
        <w:t>Are the Master Development Changelog and GitHub publication records linked without becoming sole sources of meaning?</w:t>
      </w:r>
    </w:p>
    <w:p>
      <w:pPr>
        <w:pStyle w:val="ListBullet"/>
        <w:spacing w:after="60"/>
      </w:pPr>
      <w:r>
        <w:t>Does the signature establish intent without overstating cryptographic or external verification?</w:t>
      </w:r>
    </w:p>
    <w:p>
      <w:pPr>
        <w:pStyle w:val="ListBullet"/>
        <w:spacing w:after="60"/>
      </w:pPr>
      <w:r>
        <w:t>Would a future reader understand why the project proceeded and what remained unresolved?</w:t>
      </w:r>
    </w:p>
    <w:p>
      <w:pPr>
        <w:pStyle w:val="Heading1"/>
      </w:pPr>
      <w:r>
        <w:t>18. Architect Ratification Instrument</w:t>
      </w:r>
    </w:p>
    <w:tbl>
      <w:tblPr>
        <w:tblW w:type="auto" w:w="0"/>
        <w:jc w:val="center"/>
        <w:tblLook w:firstColumn="1" w:firstRow="1" w:lastColumn="0" w:lastRow="0" w:noHBand="0" w:noVBand="1" w:val="04A0"/>
      </w:tblPr>
      <w:tblGrid>
        <w:gridCol w:w="10080"/>
      </w:tblGrid>
      <w:tr>
        <w:tc>
          <w:tcPr>
            <w:tcW w:type="dxa" w:w="10080"/>
            <w:shd w:fill="E2F0D9"/>
          </w:tcPr>
          <w:p>
            <w:r/>
            <w:r>
              <w:rPr>
                <w:b/>
                <w:color w:val="172554"/>
                <w:sz w:val="22"/>
              </w:rPr>
              <w:t>ARCHITECT’S ELECTRONIC RATIFICATION</w:t>
              <w:br/>
            </w:r>
            <w:r>
              <w:rPr>
                <w:sz w:val="20"/>
              </w:rPr>
              <w:t>The Architect electronically authorizes the blanket OAL topic-level ONESTAMP stated in Section 6 and instantiated as OAL-OS-2026-BTR-001. All qualifying topics in the Master Development Changelog and all qualifying OAL topics represented by documentation the Architect uploaded or published on GitHub as of the effective timestamp are ONESTAMP-recognized as plural bodies of work. This ratification includes the expressly named topics Presentation State Integrity, Generalized Superposition Framework, Temporal Integrity and Temporal Aliasing, and the Net Defense Exercise.</w:t>
              <w:br/>
              <w:br/>
              <w:t>No single contributor artifact, including this Perplexity record, becomes the sole superseding, overruling, or controlling version merely because it records or accompanies the ratification. Independent human and AI records remain attributable and preservable. Operational choices may be made by separate scoped decisions; disagreement remains valid project information.</w:t>
              <w:br/>
              <w:br/>
              <w:t>Electronically signed: /s/ Nathan Lewis II</w:t>
              <w:br/>
              <w:t>Role: Architect, Omniversal Architect Labs / ONE Industries</w:t>
              <w:br/>
              <w:t>Effective: 26 September 2026, 6:57 PM PDT</w:t>
              <w:br/>
              <w:t>Signature basis: Express electronic-signature declaration provided by the Architect in the source instruction for this record.</w:t>
            </w:r>
          </w:p>
        </w:tc>
      </w:tr>
    </w:tbl>
    <w:p/>
    <w:p>
      <w:pPr>
        <w:pStyle w:val="SmallText"/>
      </w:pPr>
      <w:r>
        <w:rPr>
          <w:i w:val="0"/>
        </w:rPr>
        <w:t>Record-status notice: The signature above records the Architect’s stated authorization and requested signature notation. It is not represented as a cryptographic, certificate-backed, witnessed, notarized, or third-party-verified signature.</w:t>
      </w:r>
    </w:p>
    <w:p>
      <w:pPr>
        <w:pStyle w:val="Heading2"/>
      </w:pPr>
      <w:r>
        <w:t>18.1 Independent-contributor notice</w:t>
      </w:r>
    </w:p>
    <w:p>
      <w:r>
        <w:rPr>
          <w:i w:val="0"/>
        </w:rPr>
        <w:t>This specification is Perplexity AI’s independent version. Its concepts may be accepted, modified, rejected, or held in parallel with the Grok and ChatGPT records and with any versions from Claude, Microsoft Copilot, Google Gemini, or other contributors. The blanket topic ratification does not require this document to defeat those records. Its own proper status is: recorded, attributable, available for consideration, and non-exclusive.</w:t>
      </w:r>
    </w:p>
    <w:p>
      <w:pPr>
        <w:pStyle w:val="Heading1"/>
      </w:pPr>
      <w:r>
        <w:t>Appendix A. ONESTAMP Registry Template</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2F5597"/>
          </w:tcPr>
          <w:p>
            <w:r/>
            <w:r>
              <w:rPr>
                <w:rFonts w:ascii="Aptos" w:hAnsi="Aptos"/>
                <w:b/>
                <w:color w:val="FFFFFF"/>
                <w:sz w:val="18"/>
              </w:rPr>
              <w:t>Field</w:t>
            </w:r>
          </w:p>
        </w:tc>
        <w:tc>
          <w:tcPr>
            <w:tcW w:type="dxa" w:w="6912"/>
            <w:vAlign w:val="center"/>
            <w:shd w:fill="2F5597"/>
          </w:tcPr>
          <w:p>
            <w:r/>
            <w:r>
              <w:rPr>
                <w:rFonts w:ascii="Aptos" w:hAnsi="Aptos"/>
                <w:b/>
                <w:color w:val="FFFFFF"/>
                <w:sz w:val="18"/>
              </w:rPr>
              <w:t>Entry guidance</w:t>
            </w:r>
          </w:p>
        </w:tc>
      </w:tr>
      <w:tr>
        <w:tc>
          <w:tcPr>
            <w:tcW w:type="dxa" w:w="2592"/>
            <w:vAlign w:val="center"/>
          </w:tcPr>
          <w:p>
            <w:r/>
            <w:r>
              <w:rPr>
                <w:rFonts w:ascii="Aptos" w:hAnsi="Aptos"/>
                <w:b w:val="0"/>
                <w:sz w:val="17"/>
              </w:rPr>
              <w:t>ONESTAMP ID</w:t>
            </w:r>
          </w:p>
        </w:tc>
        <w:tc>
          <w:tcPr>
            <w:tcW w:type="dxa" w:w="6912"/>
            <w:vAlign w:val="center"/>
          </w:tcPr>
          <w:p>
            <w:r/>
            <w:r>
              <w:rPr>
                <w:rFonts w:ascii="Aptos" w:hAnsi="Aptos"/>
                <w:b w:val="0"/>
                <w:sz w:val="17"/>
              </w:rPr>
              <w:t>Stable ID, e.g., OAL-OS-2026-001.</w:t>
            </w:r>
          </w:p>
        </w:tc>
      </w:tr>
      <w:tr>
        <w:tc>
          <w:tcPr>
            <w:tcW w:type="dxa" w:w="2592"/>
            <w:vAlign w:val="center"/>
            <w:shd w:fill="EAF0F8"/>
          </w:tcPr>
          <w:p>
            <w:r/>
            <w:r>
              <w:rPr>
                <w:rFonts w:ascii="Aptos" w:hAnsi="Aptos"/>
                <w:b w:val="0"/>
                <w:sz w:val="17"/>
              </w:rPr>
              <w:t>Topic ID and title</w:t>
            </w:r>
          </w:p>
        </w:tc>
        <w:tc>
          <w:tcPr>
            <w:tcW w:type="dxa" w:w="6912"/>
            <w:vAlign w:val="center"/>
            <w:shd w:fill="EAF0F8"/>
          </w:tcPr>
          <w:p>
            <w:r/>
            <w:r>
              <w:rPr>
                <w:rFonts w:ascii="Aptos" w:hAnsi="Aptos"/>
                <w:b w:val="0"/>
                <w:sz w:val="17"/>
              </w:rPr>
              <w:t>Stable topic identifier and preferred display title.</w:t>
            </w:r>
          </w:p>
        </w:tc>
      </w:tr>
      <w:tr>
        <w:tc>
          <w:tcPr>
            <w:tcW w:type="dxa" w:w="2592"/>
            <w:vAlign w:val="center"/>
          </w:tcPr>
          <w:p>
            <w:r/>
            <w:r>
              <w:rPr>
                <w:rFonts w:ascii="Aptos" w:hAnsi="Aptos"/>
                <w:b w:val="0"/>
                <w:sz w:val="17"/>
              </w:rPr>
              <w:t>Authorization class</w:t>
            </w:r>
          </w:p>
        </w:tc>
        <w:tc>
          <w:tcPr>
            <w:tcW w:type="dxa" w:w="6912"/>
            <w:vAlign w:val="center"/>
          </w:tcPr>
          <w:p>
            <w:r/>
            <w:r>
              <w:rPr>
                <w:rFonts w:ascii="Aptos" w:hAnsi="Aptos"/>
                <w:b w:val="0"/>
                <w:sz w:val="17"/>
              </w:rPr>
              <w:t>TOPIC, RECORD, PUBLISH, PROCEED, TEST, ADOPT, RETIRE, PRESERVE, or DELEGATE.</w:t>
            </w:r>
          </w:p>
        </w:tc>
      </w:tr>
      <w:tr>
        <w:tc>
          <w:tcPr>
            <w:tcW w:type="dxa" w:w="2592"/>
            <w:vAlign w:val="center"/>
            <w:shd w:fill="EAF0F8"/>
          </w:tcPr>
          <w:p>
            <w:r/>
            <w:r>
              <w:rPr>
                <w:rFonts w:ascii="Aptos" w:hAnsi="Aptos"/>
                <w:b w:val="0"/>
                <w:sz w:val="17"/>
              </w:rPr>
              <w:t>Scope</w:t>
            </w:r>
          </w:p>
        </w:tc>
        <w:tc>
          <w:tcPr>
            <w:tcW w:type="dxa" w:w="6912"/>
            <w:vAlign w:val="center"/>
            <w:shd w:fill="EAF0F8"/>
          </w:tcPr>
          <w:p>
            <w:r/>
            <w:r>
              <w:rPr>
                <w:rFonts w:ascii="Aptos" w:hAnsi="Aptos"/>
                <w:b w:val="0"/>
                <w:sz w:val="17"/>
              </w:rPr>
              <w:t>What is authorized and what is expressly outside scope.</w:t>
            </w:r>
          </w:p>
        </w:tc>
      </w:tr>
      <w:tr>
        <w:tc>
          <w:tcPr>
            <w:tcW w:type="dxa" w:w="2592"/>
            <w:vAlign w:val="center"/>
          </w:tcPr>
          <w:p>
            <w:r/>
            <w:r>
              <w:rPr>
                <w:rFonts w:ascii="Aptos" w:hAnsi="Aptos"/>
                <w:b w:val="0"/>
                <w:sz w:val="17"/>
              </w:rPr>
              <w:t>Effective time</w:t>
            </w:r>
          </w:p>
        </w:tc>
        <w:tc>
          <w:tcPr>
            <w:tcW w:type="dxa" w:w="6912"/>
            <w:vAlign w:val="center"/>
          </w:tcPr>
          <w:p>
            <w:r/>
            <w:r>
              <w:rPr>
                <w:rFonts w:ascii="Aptos" w:hAnsi="Aptos"/>
                <w:b w:val="0"/>
                <w:sz w:val="17"/>
              </w:rPr>
              <w:t>Timestamp and time zone.</w:t>
            </w:r>
          </w:p>
        </w:tc>
      </w:tr>
      <w:tr>
        <w:tc>
          <w:tcPr>
            <w:tcW w:type="dxa" w:w="2592"/>
            <w:vAlign w:val="center"/>
            <w:shd w:fill="EAF0F8"/>
          </w:tcPr>
          <w:p>
            <w:r/>
            <w:r>
              <w:rPr>
                <w:rFonts w:ascii="Aptos" w:hAnsi="Aptos"/>
                <w:b w:val="0"/>
                <w:sz w:val="17"/>
              </w:rPr>
              <w:t>Source criterion</w:t>
            </w:r>
          </w:p>
        </w:tc>
        <w:tc>
          <w:tcPr>
            <w:tcW w:type="dxa" w:w="6912"/>
            <w:vAlign w:val="center"/>
            <w:shd w:fill="EAF0F8"/>
          </w:tcPr>
          <w:p>
            <w:r/>
            <w:r>
              <w:rPr>
                <w:rFonts w:ascii="Aptos" w:hAnsi="Aptos"/>
                <w:b w:val="0"/>
                <w:sz w:val="17"/>
              </w:rPr>
              <w:t>Changelog entry, GitHub publication, Decision Record, or other authority basis.</w:t>
            </w:r>
          </w:p>
        </w:tc>
      </w:tr>
      <w:tr>
        <w:tc>
          <w:tcPr>
            <w:tcW w:type="dxa" w:w="2592"/>
            <w:vAlign w:val="center"/>
          </w:tcPr>
          <w:p>
            <w:r/>
            <w:r>
              <w:rPr>
                <w:rFonts w:ascii="Aptos" w:hAnsi="Aptos"/>
                <w:b w:val="0"/>
                <w:sz w:val="17"/>
              </w:rPr>
              <w:t>Artifact links</w:t>
            </w:r>
          </w:p>
        </w:tc>
        <w:tc>
          <w:tcPr>
            <w:tcW w:type="dxa" w:w="6912"/>
            <w:vAlign w:val="center"/>
          </w:tcPr>
          <w:p>
            <w:r/>
            <w:r>
              <w:rPr>
                <w:rFonts w:ascii="Aptos" w:hAnsi="Aptos"/>
                <w:b w:val="0"/>
                <w:sz w:val="17"/>
              </w:rPr>
              <w:t>Contributor Artifact IDs and repository/archive locations.</w:t>
            </w:r>
          </w:p>
        </w:tc>
      </w:tr>
      <w:tr>
        <w:tc>
          <w:tcPr>
            <w:tcW w:type="dxa" w:w="2592"/>
            <w:vAlign w:val="center"/>
            <w:shd w:fill="EAF0F8"/>
          </w:tcPr>
          <w:p>
            <w:r/>
            <w:r>
              <w:rPr>
                <w:rFonts w:ascii="Aptos" w:hAnsi="Aptos"/>
                <w:b w:val="0"/>
                <w:sz w:val="17"/>
              </w:rPr>
              <w:t>Review state</w:t>
            </w:r>
          </w:p>
        </w:tc>
        <w:tc>
          <w:tcPr>
            <w:tcW w:type="dxa" w:w="6912"/>
            <w:vAlign w:val="center"/>
            <w:shd w:fill="EAF0F8"/>
          </w:tcPr>
          <w:p>
            <w:r/>
            <w:r>
              <w:rPr>
                <w:rFonts w:ascii="Aptos" w:hAnsi="Aptos"/>
                <w:b w:val="0"/>
                <w:sz w:val="17"/>
              </w:rPr>
              <w:t>What was and was not reviewed.</w:t>
            </w:r>
          </w:p>
        </w:tc>
      </w:tr>
      <w:tr>
        <w:tc>
          <w:tcPr>
            <w:tcW w:type="dxa" w:w="2592"/>
            <w:vAlign w:val="center"/>
          </w:tcPr>
          <w:p>
            <w:r/>
            <w:r>
              <w:rPr>
                <w:rFonts w:ascii="Aptos" w:hAnsi="Aptos"/>
                <w:b w:val="0"/>
                <w:sz w:val="17"/>
              </w:rPr>
              <w:t>Dissent status</w:t>
            </w:r>
          </w:p>
        </w:tc>
        <w:tc>
          <w:tcPr>
            <w:tcW w:type="dxa" w:w="6912"/>
            <w:vAlign w:val="center"/>
          </w:tcPr>
          <w:p>
            <w:r/>
            <w:r>
              <w:rPr>
                <w:rFonts w:ascii="Aptos" w:hAnsi="Aptos"/>
                <w:b w:val="0"/>
                <w:sz w:val="17"/>
              </w:rPr>
              <w:t>None recorded, preserved, unresolved, or attached.</w:t>
            </w:r>
          </w:p>
        </w:tc>
      </w:tr>
      <w:tr>
        <w:tc>
          <w:tcPr>
            <w:tcW w:type="dxa" w:w="2592"/>
            <w:vAlign w:val="center"/>
            <w:shd w:fill="EAF0F8"/>
          </w:tcPr>
          <w:p>
            <w:r/>
            <w:r>
              <w:rPr>
                <w:rFonts w:ascii="Aptos" w:hAnsi="Aptos"/>
                <w:b w:val="0"/>
                <w:sz w:val="17"/>
              </w:rPr>
              <w:t>Claim status</w:t>
            </w:r>
          </w:p>
        </w:tc>
        <w:tc>
          <w:tcPr>
            <w:tcW w:type="dxa" w:w="6912"/>
            <w:vAlign w:val="center"/>
            <w:shd w:fill="EAF0F8"/>
          </w:tcPr>
          <w:p>
            <w:r/>
            <w:r>
              <w:rPr>
                <w:rFonts w:ascii="Aptos" w:hAnsi="Aptos"/>
                <w:b w:val="0"/>
                <w:sz w:val="17"/>
              </w:rPr>
              <w:t>Not assessed or relevant evidence classification.</w:t>
            </w:r>
          </w:p>
        </w:tc>
      </w:tr>
      <w:tr>
        <w:tc>
          <w:tcPr>
            <w:tcW w:type="dxa" w:w="2592"/>
            <w:vAlign w:val="center"/>
          </w:tcPr>
          <w:p>
            <w:r/>
            <w:r>
              <w:rPr>
                <w:rFonts w:ascii="Aptos" w:hAnsi="Aptos"/>
                <w:b w:val="0"/>
                <w:sz w:val="17"/>
              </w:rPr>
              <w:t>Authorized by</w:t>
            </w:r>
          </w:p>
        </w:tc>
        <w:tc>
          <w:tcPr>
            <w:tcW w:type="dxa" w:w="6912"/>
            <w:vAlign w:val="center"/>
          </w:tcPr>
          <w:p>
            <w:r/>
            <w:r>
              <w:rPr>
                <w:rFonts w:ascii="Aptos" w:hAnsi="Aptos"/>
                <w:b w:val="0"/>
                <w:sz w:val="17"/>
              </w:rPr>
              <w:t>Name, role, and delegation basis if applicable.</w:t>
            </w:r>
          </w:p>
        </w:tc>
      </w:tr>
      <w:tr>
        <w:tc>
          <w:tcPr>
            <w:tcW w:type="dxa" w:w="2592"/>
            <w:vAlign w:val="center"/>
            <w:shd w:fill="EAF0F8"/>
          </w:tcPr>
          <w:p>
            <w:r/>
            <w:r>
              <w:rPr>
                <w:rFonts w:ascii="Aptos" w:hAnsi="Aptos"/>
                <w:b w:val="0"/>
                <w:sz w:val="17"/>
              </w:rPr>
              <w:t>Signature level</w:t>
            </w:r>
          </w:p>
        </w:tc>
        <w:tc>
          <w:tcPr>
            <w:tcW w:type="dxa" w:w="6912"/>
            <w:vAlign w:val="center"/>
            <w:shd w:fill="EAF0F8"/>
          </w:tcPr>
          <w:p>
            <w:r/>
            <w:r>
              <w:rPr>
                <w:rFonts w:ascii="Aptos" w:hAnsi="Aptos"/>
                <w:b w:val="0"/>
                <w:sz w:val="17"/>
              </w:rPr>
              <w:t>Declared, traceable, integrity-bound, or externally verified.</w:t>
            </w:r>
          </w:p>
        </w:tc>
      </w:tr>
      <w:tr>
        <w:tc>
          <w:tcPr>
            <w:tcW w:type="dxa" w:w="2592"/>
            <w:vAlign w:val="center"/>
          </w:tcPr>
          <w:p>
            <w:r/>
            <w:r>
              <w:rPr>
                <w:rFonts w:ascii="Aptos" w:hAnsi="Aptos"/>
                <w:b w:val="0"/>
                <w:sz w:val="17"/>
              </w:rPr>
              <w:t>Successor links</w:t>
            </w:r>
          </w:p>
        </w:tc>
        <w:tc>
          <w:tcPr>
            <w:tcW w:type="dxa" w:w="6912"/>
            <w:vAlign w:val="center"/>
          </w:tcPr>
          <w:p>
            <w:r/>
            <w:r>
              <w:rPr>
                <w:rFonts w:ascii="Aptos" w:hAnsi="Aptos"/>
                <w:b w:val="0"/>
                <w:sz w:val="17"/>
              </w:rPr>
              <w:t>Later clarifications, modifications, or scoped supersessions.</w:t>
            </w:r>
          </w:p>
        </w:tc>
      </w:tr>
      <w:tr>
        <w:tc>
          <w:tcPr>
            <w:tcW w:type="dxa" w:w="2592"/>
            <w:vAlign w:val="center"/>
            <w:shd w:fill="EAF0F8"/>
          </w:tcPr>
          <w:p>
            <w:r/>
            <w:r>
              <w:rPr>
                <w:rFonts w:ascii="Aptos" w:hAnsi="Aptos"/>
                <w:b w:val="0"/>
                <w:sz w:val="17"/>
              </w:rPr>
              <w:t>Notes</w:t>
            </w:r>
          </w:p>
        </w:tc>
        <w:tc>
          <w:tcPr>
            <w:tcW w:type="dxa" w:w="6912"/>
            <w:vAlign w:val="center"/>
            <w:shd w:fill="EAF0F8"/>
          </w:tcPr>
          <w:p>
            <w:r/>
            <w:r>
              <w:rPr>
                <w:rFonts w:ascii="Aptos" w:hAnsi="Aptos"/>
                <w:b w:val="0"/>
                <w:sz w:val="17"/>
              </w:rPr>
              <w:t>Uncertainty, missing records, migration information, and exclusions.</w:t>
            </w:r>
          </w:p>
        </w:tc>
      </w:tr>
    </w:tbl>
    <w:p/>
    <w:p>
      <w:pPr>
        <w:pStyle w:val="Heading1"/>
      </w:pPr>
      <w:r>
        <w:t>Appendix B. Decision Record Template</w:t>
      </w:r>
    </w:p>
    <w:p>
      <w:r>
        <w:rPr>
          <w:b/>
        </w:rPr>
        <w:t xml:space="preserve">Decision Record ID: </w:t>
      </w:r>
      <w:r>
        <w:t>Assign a stable identifier.</w:t>
      </w:r>
    </w:p>
    <w:p>
      <w:r>
        <w:rPr>
          <w:b/>
        </w:rPr>
        <w:t xml:space="preserve">Topic / Project: </w:t>
      </w:r>
      <w:r>
        <w:t>Identify the governed subject.</w:t>
      </w:r>
    </w:p>
    <w:p>
      <w:r>
        <w:rPr>
          <w:b/>
        </w:rPr>
        <w:t xml:space="preserve">Question presented: </w:t>
      </w:r>
      <w:r>
        <w:t>State the exact decision required.</w:t>
      </w:r>
    </w:p>
    <w:p>
      <w:r>
        <w:rPr>
          <w:b/>
        </w:rPr>
        <w:t xml:space="preserve">State Manifest: </w:t>
      </w:r>
      <w:r>
        <w:t>List or link records that existed and those actually considered.</w:t>
      </w:r>
    </w:p>
    <w:p>
      <w:r>
        <w:rPr>
          <w:b/>
        </w:rPr>
        <w:t xml:space="preserve">Decision: </w:t>
      </w:r>
      <w:r>
        <w:t>State what OAL will do.</w:t>
      </w:r>
    </w:p>
    <w:p>
      <w:r>
        <w:rPr>
          <w:b/>
        </w:rPr>
        <w:t xml:space="preserve">Scope: </w:t>
      </w:r>
      <w:r>
        <w:t>State where, when, for whom, and for what purpose the decision operates.</w:t>
      </w:r>
    </w:p>
    <w:p>
      <w:r>
        <w:rPr>
          <w:b/>
        </w:rPr>
        <w:t xml:space="preserve">Non-decisions: </w:t>
      </w:r>
      <w:r>
        <w:t>State what remains open or is not implied.</w:t>
      </w:r>
    </w:p>
    <w:p>
      <w:r>
        <w:rPr>
          <w:b/>
        </w:rPr>
        <w:t xml:space="preserve">Reasoning: </w:t>
      </w:r>
      <w:r>
        <w:t>Record criteria and material considerations.</w:t>
      </w:r>
    </w:p>
    <w:p>
      <w:r>
        <w:rPr>
          <w:b/>
        </w:rPr>
        <w:t xml:space="preserve">Alternatives: </w:t>
      </w:r>
      <w:r>
        <w:t>Identify parallel or unselected paths.</w:t>
      </w:r>
    </w:p>
    <w:p>
      <w:r>
        <w:rPr>
          <w:b/>
        </w:rPr>
        <w:t xml:space="preserve">Dissent: </w:t>
      </w:r>
      <w:r>
        <w:t>Link preserved objections and their disposition.</w:t>
      </w:r>
    </w:p>
    <w:p>
      <w:r>
        <w:rPr>
          <w:b/>
        </w:rPr>
        <w:t xml:space="preserve">Review trigger: </w:t>
      </w:r>
      <w:r>
        <w:t>Specify date, evidence, outcome, or failure condition.</w:t>
      </w:r>
    </w:p>
    <w:p>
      <w:r>
        <w:rPr>
          <w:b/>
        </w:rPr>
        <w:t xml:space="preserve">Authorization: </w:t>
      </w:r>
      <w:r>
        <w:t>Link the ONESTAMP ID and electronic signature record.</w:t>
      </w:r>
    </w:p>
    <w:p>
      <w:pPr>
        <w:pStyle w:val="Heading1"/>
      </w:pPr>
      <w:r>
        <w:t>Appendix C. Dissent Record Template</w:t>
      </w:r>
    </w:p>
    <w:p>
      <w:r>
        <w:rPr>
          <w:b/>
        </w:rPr>
        <w:t xml:space="preserve">Dissent ID: </w:t>
      </w:r>
      <w:r>
        <w:t>Stable identifier linked to the relevant topic and decision.</w:t>
      </w:r>
    </w:p>
    <w:p>
      <w:r>
        <w:rPr>
          <w:b/>
        </w:rPr>
        <w:t xml:space="preserve">Contributor: </w:t>
      </w:r>
      <w:r>
        <w:t>Human or AI source and artifact ID.</w:t>
      </w:r>
    </w:p>
    <w:p>
      <w:r>
        <w:rPr>
          <w:b/>
        </w:rPr>
        <w:t xml:space="preserve">Object of dissent: </w:t>
      </w:r>
      <w:r>
        <w:t>Exact statement, assumption, omission, or decision disputed.</w:t>
      </w:r>
    </w:p>
    <w:p>
      <w:r>
        <w:rPr>
          <w:b/>
        </w:rPr>
        <w:t xml:space="preserve">Reasoning: </w:t>
      </w:r>
      <w:r>
        <w:t>Substantive basis for disagreement.</w:t>
      </w:r>
    </w:p>
    <w:p>
      <w:r>
        <w:rPr>
          <w:b/>
        </w:rPr>
        <w:t xml:space="preserve">Alternative: </w:t>
      </w:r>
      <w:r>
        <w:t>Recommended path or interpretation.</w:t>
      </w:r>
    </w:p>
    <w:p>
      <w:r>
        <w:rPr>
          <w:b/>
        </w:rPr>
        <w:t xml:space="preserve">Impact: </w:t>
      </w:r>
      <w:r>
        <w:t>Potential consequence of accepting or ignoring the dissent.</w:t>
      </w:r>
    </w:p>
    <w:p>
      <w:r>
        <w:rPr>
          <w:b/>
        </w:rPr>
        <w:t xml:space="preserve">Evidence and uncertainty: </w:t>
      </w:r>
      <w:r>
        <w:t>Known support, limitations, and contested points.</w:t>
      </w:r>
    </w:p>
    <w:p>
      <w:r>
        <w:rPr>
          <w:b/>
        </w:rPr>
        <w:t xml:space="preserve">Revisit trigger: </w:t>
      </w:r>
      <w:r>
        <w:t>Condition requiring renewed consideration.</w:t>
      </w:r>
    </w:p>
    <w:p>
      <w:r>
        <w:rPr>
          <w:b/>
        </w:rPr>
        <w:t xml:space="preserve">Architect disposition: </w:t>
      </w:r>
      <w:r>
        <w:t>Accepted, partially incorporated, deferred, not selected for current scope, or unresolved.</w:t>
      </w:r>
    </w:p>
    <w:p>
      <w:r>
        <w:rPr>
          <w:b/>
        </w:rPr>
        <w:t xml:space="preserve">Preservation location: </w:t>
      </w:r>
      <w:r>
        <w:t>Archive or repository link.</w:t>
      </w:r>
    </w:p>
    <w:p>
      <w:pPr>
        <w:pStyle w:val="Heading1"/>
      </w:pPr>
      <w:r>
        <w:t>Source Basis</w:t>
      </w:r>
    </w:p>
    <w:p>
      <w:r>
        <w:rPr>
          <w:i w:val="0"/>
        </w:rPr>
        <w:t>This independent version was prepared after review of the attached Grok AI ONESTAMP framework and the attached ChatGPT pass-through response supplied by the Architect. Those records remain independent source contributions and are not incorporated as controlling text. The present record also incorporates the Architect’s current instructions regarding blanket OAL topic coverage, GitHub-published documentation, the Master Development Changelog, and electronic signature intent.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OAL ONESTAMP • Independent Perplexity Record • 26 September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255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55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rPr>
      <w:rFonts w:ascii="Aptos" w:hAnsi="Aptos"/>
      <w:color w:val="555555"/>
      <w:sz w:val="17"/>
    </w:rPr>
  </w:style>
  <w:style w:type="paragraph" w:customStyle="1" w:styleId="StampText">
    <w:name w:val="Stamp Text"/>
    <w:rPr>
      <w:rFonts w:ascii="Aptos" w:hAnsi="Aptos"/>
      <w:b/>
      <w:color w:val="172554"/>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ONESTAMP Plural-Record Authorization and Topic Ratification Convention</dc:title>
  <dc:subject>Independent Perplexity version for Omniversal Architect Labs</dc:subject>
  <dc:creator>Perplexity AI, prepared for Nathan Lewis II</dc:creator>
  <cp:keywords>ONESTAMP, OAL, plural records, authorization, provenance, topic ratification</cp:keywords>
  <dc:description>Independent contributor record; non-exclusive and non-superseding.</dc:description>
  <cp:lastModifiedBy/>
  <cp:revision>1</cp:revision>
  <dcterms:created xsi:type="dcterms:W3CDTF">2013-12-23T23:15:00Z</dcterms:created>
  <dcterms:modified xsi:type="dcterms:W3CDTF">2013-12-23T23:15:00Z</dcterms:modified>
  <cp:category/>
</cp:coreProperties>
</file>