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OMNIVERSAL ARCHITECT LABS</w:t>
      </w:r>
    </w:p>
    <w:p>
      <w:pPr>
        <w:pStyle w:val="Title"/>
        <w:jc w:val="center"/>
      </w:pPr>
      <w:r>
        <w:t>ONESTAMP</w:t>
      </w:r>
    </w:p>
    <w:p>
      <w:pPr>
        <w:pStyle w:val="Subtitle"/>
        <w:jc w:val="center"/>
      </w:pPr>
      <w:r>
        <w:t>Plural-Record Authorization, Provenance, Representation, and Topic-Ratification Convention</w:t>
      </w:r>
    </w:p>
    <w:p>
      <w:pPr>
        <w:jc w:val="center"/>
      </w:pPr>
      <w:r>
        <w:rPr>
          <w:b/>
          <w:sz w:val="24"/>
        </w:rPr>
        <w:t>ChatGPT Independent Version v1.0</w:t>
      </w:r>
    </w:p>
    <w:tbl>
      <w:tblPr>
        <w:tblW w:type="auto" w:w="0"/>
        <w:jc w:val="center"/>
        <w:tblLayout w:type="autofit"/>
        <w:tblLook w:firstColumn="1" w:firstRow="1" w:lastColumn="0" w:lastRow="0" w:noHBand="0" w:noVBand="1" w:val="04A0"/>
      </w:tblPr>
      <w:tblGrid>
        <w:gridCol w:w="5141"/>
        <w:gridCol w:w="5141"/>
      </w:tblGrid>
      <w:tr>
        <w:tc>
          <w:tcPr>
            <w:tcW w:type="dxa" w:w="5141"/>
            <w:vAlign w:val="top"/>
            <w:tcMar>
              <w:top w:w="80" w:type="dxa"/>
              <w:start w:w="80" w:type="dxa"/>
              <w:bottom w:w="80" w:type="dxa"/>
              <w:end w:w="80" w:type="dxa"/>
            </w:tcMar>
            <w:shd w:fill="E8EEF7"/>
          </w:tcPr>
          <w:p>
            <w:r>
              <w:rPr>
                <w:b/>
                <w:sz w:val="19"/>
              </w:rPr>
              <w:t>Record ID</w:t>
            </w:r>
          </w:p>
        </w:tc>
        <w:tc>
          <w:tcPr>
            <w:tcW w:type="dxa" w:w="5141"/>
            <w:vAlign w:val="top"/>
            <w:tcMar>
              <w:top w:w="80" w:type="dxa"/>
              <w:start w:w="80" w:type="dxa"/>
              <w:bottom w:w="80" w:type="dxa"/>
              <w:end w:w="80" w:type="dxa"/>
            </w:tcMar>
          </w:tcPr>
          <w:p>
            <w:r>
              <w:rPr>
                <w:sz w:val="19"/>
              </w:rPr>
              <w:t>OAL-ONESTAMP-2026-001-CHATGPT-INDEPENDENT-v1.0</w:t>
            </w:r>
          </w:p>
        </w:tc>
      </w:tr>
      <w:tr>
        <w:tc>
          <w:tcPr>
            <w:tcW w:type="dxa" w:w="5141"/>
            <w:vAlign w:val="top"/>
            <w:tcMar>
              <w:top w:w="80" w:type="dxa"/>
              <w:start w:w="80" w:type="dxa"/>
              <w:bottom w:w="80" w:type="dxa"/>
              <w:end w:w="80" w:type="dxa"/>
            </w:tcMar>
            <w:shd w:fill="E8EEF7"/>
          </w:tcPr>
          <w:p>
            <w:r>
              <w:rPr>
                <w:b/>
                <w:sz w:val="19"/>
              </w:rPr>
              <w:t>Document class</w:t>
            </w:r>
          </w:p>
        </w:tc>
        <w:tc>
          <w:tcPr>
            <w:tcW w:type="dxa" w:w="5141"/>
            <w:vAlign w:val="top"/>
            <w:tcMar>
              <w:top w:w="80" w:type="dxa"/>
              <w:start w:w="80" w:type="dxa"/>
              <w:bottom w:w="80" w:type="dxa"/>
              <w:end w:w="80" w:type="dxa"/>
            </w:tcMar>
          </w:tcPr>
          <w:p>
            <w:r>
              <w:rPr>
                <w:sz w:val="19"/>
              </w:rPr>
              <w:t>Independent contributor record and proposed governing specification</w:t>
            </w:r>
          </w:p>
        </w:tc>
      </w:tr>
      <w:tr>
        <w:tc>
          <w:tcPr>
            <w:tcW w:type="dxa" w:w="5141"/>
            <w:vAlign w:val="top"/>
            <w:tcMar>
              <w:top w:w="80" w:type="dxa"/>
              <w:start w:w="80" w:type="dxa"/>
              <w:bottom w:w="80" w:type="dxa"/>
              <w:end w:w="80" w:type="dxa"/>
            </w:tcMar>
            <w:shd w:fill="E8EEF7"/>
          </w:tcPr>
          <w:p>
            <w:r>
              <w:rPr>
                <w:b/>
                <w:sz w:val="19"/>
              </w:rPr>
              <w:t>Prepared for</w:t>
            </w:r>
          </w:p>
        </w:tc>
        <w:tc>
          <w:tcPr>
            <w:tcW w:type="dxa" w:w="5141"/>
            <w:vAlign w:val="top"/>
            <w:tcMar>
              <w:top w:w="80" w:type="dxa"/>
              <w:start w:w="80" w:type="dxa"/>
              <w:bottom w:w="80" w:type="dxa"/>
              <w:end w:w="80" w:type="dxa"/>
            </w:tcMar>
          </w:tcPr>
          <w:p>
            <w:r>
              <w:rPr>
                <w:sz w:val="19"/>
              </w:rPr>
              <w:t>Nathan Lewis II, Architect, Omniversal Architect Labs / ONE Industries</w:t>
            </w:r>
          </w:p>
        </w:tc>
      </w:tr>
      <w:tr>
        <w:tc>
          <w:tcPr>
            <w:tcW w:type="dxa" w:w="5141"/>
            <w:vAlign w:val="top"/>
            <w:tcMar>
              <w:top w:w="80" w:type="dxa"/>
              <w:start w:w="80" w:type="dxa"/>
              <w:bottom w:w="80" w:type="dxa"/>
              <w:end w:w="80" w:type="dxa"/>
            </w:tcMar>
            <w:shd w:fill="E8EEF7"/>
          </w:tcPr>
          <w:p>
            <w:r>
              <w:rPr>
                <w:b/>
                <w:sz w:val="19"/>
              </w:rPr>
              <w:t>Prepared by</w:t>
            </w:r>
          </w:p>
        </w:tc>
        <w:tc>
          <w:tcPr>
            <w:tcW w:type="dxa" w:w="5141"/>
            <w:vAlign w:val="top"/>
            <w:tcMar>
              <w:top w:w="80" w:type="dxa"/>
              <w:start w:w="80" w:type="dxa"/>
              <w:bottom w:w="80" w:type="dxa"/>
              <w:end w:w="80" w:type="dxa"/>
            </w:tcMar>
          </w:tcPr>
          <w:p>
            <w:r>
              <w:rPr>
                <w:sz w:val="19"/>
              </w:rPr>
              <w:t>ChatGPT - GPT-5.6 Sol</w:t>
            </w:r>
          </w:p>
        </w:tc>
      </w:tr>
      <w:tr>
        <w:tc>
          <w:tcPr>
            <w:tcW w:type="dxa" w:w="5141"/>
            <w:vAlign w:val="top"/>
            <w:tcMar>
              <w:top w:w="80" w:type="dxa"/>
              <w:start w:w="80" w:type="dxa"/>
              <w:bottom w:w="80" w:type="dxa"/>
              <w:end w:w="80" w:type="dxa"/>
            </w:tcMar>
            <w:shd w:fill="E8EEF7"/>
          </w:tcPr>
          <w:p>
            <w:r>
              <w:rPr>
                <w:b/>
                <w:sz w:val="19"/>
              </w:rPr>
              <w:t>Preparation date</w:t>
            </w:r>
          </w:p>
        </w:tc>
        <w:tc>
          <w:tcPr>
            <w:tcW w:type="dxa" w:w="5141"/>
            <w:vAlign w:val="top"/>
            <w:tcMar>
              <w:top w:w="80" w:type="dxa"/>
              <w:start w:w="80" w:type="dxa"/>
              <w:bottom w:w="80" w:type="dxa"/>
              <w:end w:w="80" w:type="dxa"/>
            </w:tcMar>
          </w:tcPr>
          <w:p>
            <w:r>
              <w:rPr>
                <w:sz w:val="19"/>
              </w:rPr>
              <w:t>26 September 2026</w:t>
            </w:r>
          </w:p>
        </w:tc>
      </w:tr>
      <w:tr>
        <w:tc>
          <w:tcPr>
            <w:tcW w:type="dxa" w:w="5141"/>
            <w:vAlign w:val="top"/>
            <w:tcMar>
              <w:top w:w="80" w:type="dxa"/>
              <w:start w:w="80" w:type="dxa"/>
              <w:bottom w:w="80" w:type="dxa"/>
              <w:end w:w="80" w:type="dxa"/>
            </w:tcMar>
            <w:shd w:fill="E8EEF7"/>
          </w:tcPr>
          <w:p>
            <w:r>
              <w:rPr>
                <w:b/>
                <w:sz w:val="19"/>
              </w:rPr>
              <w:t>Referenced blanket ratification</w:t>
            </w:r>
          </w:p>
        </w:tc>
        <w:tc>
          <w:tcPr>
            <w:tcW w:type="dxa" w:w="5141"/>
            <w:vAlign w:val="top"/>
            <w:tcMar>
              <w:top w:w="80" w:type="dxa"/>
              <w:start w:w="80" w:type="dxa"/>
              <w:bottom w:w="80" w:type="dxa"/>
              <w:end w:w="80" w:type="dxa"/>
            </w:tcMar>
          </w:tcPr>
          <w:p>
            <w:r>
              <w:rPr>
                <w:sz w:val="19"/>
              </w:rPr>
              <w:t>OAL-OS-2026-BTR-001</w:t>
            </w:r>
          </w:p>
        </w:tc>
      </w:tr>
      <w:tr>
        <w:tc>
          <w:tcPr>
            <w:tcW w:type="dxa" w:w="5141"/>
            <w:vAlign w:val="top"/>
            <w:tcMar>
              <w:top w:w="80" w:type="dxa"/>
              <w:start w:w="80" w:type="dxa"/>
              <w:bottom w:w="80" w:type="dxa"/>
              <w:end w:w="80" w:type="dxa"/>
            </w:tcMar>
            <w:shd w:fill="E8EEF7"/>
          </w:tcPr>
          <w:p>
            <w:r>
              <w:rPr>
                <w:b/>
                <w:sz w:val="19"/>
              </w:rPr>
              <w:t>Ratification effective time</w:t>
            </w:r>
          </w:p>
        </w:tc>
        <w:tc>
          <w:tcPr>
            <w:tcW w:type="dxa" w:w="5141"/>
            <w:vAlign w:val="top"/>
            <w:tcMar>
              <w:top w:w="80" w:type="dxa"/>
              <w:start w:w="80" w:type="dxa"/>
              <w:bottom w:w="80" w:type="dxa"/>
              <w:end w:w="80" w:type="dxa"/>
            </w:tcMar>
          </w:tcPr>
          <w:p>
            <w:r>
              <w:rPr>
                <w:sz w:val="19"/>
              </w:rPr>
              <w:t>26 September 2026, 6:57 PM PDT (as recorded in the Perplexity contributor record)</w:t>
            </w:r>
          </w:p>
        </w:tc>
      </w:tr>
      <w:tr>
        <w:tc>
          <w:tcPr>
            <w:tcW w:type="dxa" w:w="5141"/>
            <w:vAlign w:val="top"/>
            <w:tcMar>
              <w:top w:w="80" w:type="dxa"/>
              <w:start w:w="80" w:type="dxa"/>
              <w:bottom w:w="80" w:type="dxa"/>
              <w:end w:w="80" w:type="dxa"/>
            </w:tcMar>
            <w:shd w:fill="E8EEF7"/>
          </w:tcPr>
          <w:p>
            <w:r>
              <w:rPr>
                <w:b/>
                <w:sz w:val="19"/>
              </w:rPr>
              <w:t>Status</w:t>
            </w:r>
          </w:p>
        </w:tc>
        <w:tc>
          <w:tcPr>
            <w:tcW w:type="dxa" w:w="5141"/>
            <w:vAlign w:val="top"/>
            <w:tcMar>
              <w:top w:w="80" w:type="dxa"/>
              <w:start w:w="80" w:type="dxa"/>
              <w:bottom w:w="80" w:type="dxa"/>
              <w:end w:w="80" w:type="dxa"/>
            </w:tcMar>
          </w:tcPr>
          <w:p>
            <w:r>
              <w:rPr>
                <w:sz w:val="19"/>
              </w:rPr>
              <w:t>Independent, non-exclusive, non-superseding contributor record; topic-level blanket ONESTAMP declaration recognized</w:t>
            </w:r>
          </w:p>
        </w:tc>
      </w:tr>
    </w:tbl>
    <w:p/>
    <w:tbl>
      <w:tblPr>
        <w:tblW w:type="auto" w:w="0"/>
        <w:jc w:val="center"/>
        <w:tblLook w:firstColumn="1" w:firstRow="1" w:lastColumn="0" w:lastRow="0" w:noHBand="0" w:noVBand="1" w:val="04A0"/>
      </w:tblPr>
      <w:tblGrid>
        <w:gridCol w:w="10282"/>
      </w:tblGrid>
      <w:tr>
        <w:tc>
          <w:tcPr>
            <w:tcW w:type="dxa" w:w="10282"/>
            <w:shd w:fill="F3F6FA"/>
            <w:tcMar>
              <w:top w:w="140" w:type="dxa"/>
              <w:start w:w="160" w:type="dxa"/>
              <w:bottom w:w="140" w:type="dxa"/>
              <w:end w:w="160" w:type="dxa"/>
            </w:tcMar>
          </w:tcPr>
          <w:p>
            <w:r>
              <w:rPr>
                <w:b/>
                <w:sz w:val="21"/>
              </w:rPr>
              <w:t>Independent-contributor notice</w:t>
              <w:br/>
            </w:r>
            <w:r>
              <w:rPr>
                <w:sz w:val="20"/>
              </w:rPr>
              <w:t>This document was prepared after review of the Grok and Perplexity ONESTAMP records and the OAL Master Development and Change Log. It is not a merger, replacement, or controlling rewrite of those records. It presents ChatGPT's independent governance architecture while preserving the Architect's stated blanket topic-level ONESTAMP intent.</w:t>
            </w:r>
          </w:p>
        </w:tc>
      </w:tr>
    </w:tbl>
    <w:p/>
    <w:p>
      <w:r>
        <w:br w:type="page"/>
      </w:r>
    </w:p>
    <w:p>
      <w:pPr>
        <w:pStyle w:val="Heading1"/>
      </w:pPr>
      <w:r>
        <w:t>Executive Declaration</w:t>
      </w:r>
    </w:p>
    <w:p>
      <w:r>
        <w:rPr>
          <w:b/>
        </w:rPr>
        <w:t xml:space="preserve">Core rule. </w:t>
      </w:r>
      <w:r>
        <w:t>ONESTAMP is a scoped authorization and provenance convention. It may recognize a topic, authenticate or approve a record for a stated purpose, authorize publication, permit an action or test to proceed, adopt a method within scope, retire an operational instruction, preserve a record, or delegate bounded authority. It does not automatically select a winning contributor, certify every claim as true, imply unanimity, or globally supersede independent work.</w:t>
      </w:r>
    </w:p>
    <w:p>
      <w:r>
        <w:rPr>
          <w:b/>
        </w:rPr>
        <w:t xml:space="preserve">Blanket OAL topic ratification. </w:t>
      </w:r>
      <w:r>
        <w:t>The Architect has declared that all qualifying OAL topics contained in the Master Development and Change Log, and all qualifying OAL topics for which AI-generated project documentation has been created and uploaded or published by the Architect, carry a topic-level ONESTAMP as of the recorded effective declaration. This is recognition of the body of work as a plural project record, not adoption of every proposition inside every artifact.</w:t>
      </w:r>
    </w:p>
    <w:p>
      <w:r>
        <w:rPr>
          <w:b/>
        </w:rPr>
        <w:t xml:space="preserve">The controlling distinction. </w:t>
      </w:r>
      <w:r>
        <w:t>A project can authorize what happens next without declaring which contributor "won." Historical versioning remains necessary for traceability; version supremacy is not the default.</w:t>
      </w:r>
    </w:p>
    <w:tbl>
      <w:tblPr>
        <w:tblW w:type="auto" w:w="0"/>
        <w:jc w:val="center"/>
        <w:tblLook w:firstColumn="1" w:firstRow="1" w:lastColumn="0" w:lastRow="0" w:noHBand="0" w:noVBand="1" w:val="04A0"/>
      </w:tblPr>
      <w:tblGrid>
        <w:gridCol w:w="10282"/>
      </w:tblGrid>
      <w:tr>
        <w:tc>
          <w:tcPr>
            <w:tcW w:type="dxa" w:w="10282"/>
            <w:shd w:fill="F3F6FA"/>
            <w:tcMar>
              <w:top w:w="140" w:type="dxa"/>
              <w:start w:w="160" w:type="dxa"/>
              <w:bottom w:w="140" w:type="dxa"/>
              <w:end w:w="160" w:type="dxa"/>
            </w:tcMar>
          </w:tcPr>
          <w:p>
            <w:r>
              <w:rPr>
                <w:b/>
                <w:sz w:val="21"/>
              </w:rPr>
              <w:t>One-sentence operating definition</w:t>
              <w:br/>
            </w:r>
            <w:r>
              <w:rPr>
                <w:sz w:val="20"/>
              </w:rPr>
              <w:t>ONESTAMP answers: "Given the project record as it exists at this state, what is recognized or authorized to happen next, under what scope, by whose authority, and with what provenance, dissent, uncertainty, and successor history preserved?"</w:t>
            </w:r>
          </w:p>
        </w:tc>
      </w:tr>
    </w:tbl>
    <w:p/>
    <w:p>
      <w:pPr>
        <w:pStyle w:val="Heading1"/>
      </w:pPr>
      <w:r>
        <w:t>1. Review of the Grok and Perplexity Records</w:t>
      </w:r>
    </w:p>
    <w:p>
      <w:pPr>
        <w:pStyle w:val="Heading2"/>
      </w:pPr>
      <w:r>
        <w:t>1.1 Areas of strong convergence</w:t>
      </w:r>
    </w:p>
    <w:p>
      <w:pPr>
        <w:pStyle w:val="ListBullet"/>
      </w:pPr>
      <w:r>
        <w:t>Approval should attach to a decision state, topic, or defined authorization object rather than automatically crowning one contributor document as the project's sole narrative.</w:t>
      </w:r>
    </w:p>
    <w:p>
      <w:pPr>
        <w:pStyle w:val="ListBullet"/>
      </w:pPr>
      <w:r>
        <w:t>Independent contributor records remain attributable and historically preserved even when an operational path is selected.</w:t>
      </w:r>
    </w:p>
    <w:p>
      <w:pPr>
        <w:pStyle w:val="ListBullet"/>
      </w:pPr>
      <w:r>
        <w:t>Dissent, alternatives, unresolved questions, and minority positions are project information, not process defects.</w:t>
      </w:r>
    </w:p>
    <w:p>
      <w:pPr>
        <w:pStyle w:val="ListBullet"/>
      </w:pPr>
      <w:r>
        <w:t>The Architect may hold final decision authority without holding exclusive authorship or interpretive authority over every contributor record.</w:t>
      </w:r>
    </w:p>
    <w:p>
      <w:pPr>
        <w:pStyle w:val="ListBullet"/>
      </w:pPr>
      <w:r>
        <w:t>Successor decisions should change prospective effect without rewriting history.</w:t>
      </w:r>
    </w:p>
    <w:p>
      <w:pPr>
        <w:pStyle w:val="ListBullet"/>
      </w:pPr>
      <w:r>
        <w:t>A registry is more durable than relying on language such as "approved version" scattered across files.</w:t>
      </w:r>
    </w:p>
    <w:p>
      <w:pPr>
        <w:pStyle w:val="Heading2"/>
      </w:pPr>
      <w:r>
        <w:t>1.2 Grok record - notable strengths retained as concepts</w:t>
      </w:r>
    </w:p>
    <w:p>
      <w:pPr>
        <w:pStyle w:val="ListBullet"/>
      </w:pPr>
      <w:r>
        <w:t>A practical four-layer separation among contributor record, synthesis/map, decision record, and ONESTAMP verification.</w:t>
      </w:r>
    </w:p>
    <w:p>
      <w:pPr>
        <w:pStyle w:val="ListBullet"/>
      </w:pPr>
      <w:r>
        <w:t>A first-class Source Register and structured dissent record.</w:t>
      </w:r>
    </w:p>
    <w:p>
      <w:pPr>
        <w:pStyle w:val="ListBullet"/>
      </w:pPr>
      <w:r>
        <w:t>A lightweight path for small decisions, rather than forcing a full governance packet for every note.</w:t>
      </w:r>
    </w:p>
    <w:p>
      <w:pPr>
        <w:pStyle w:val="ListBullet"/>
      </w:pPr>
      <w:r>
        <w:t>An attribution-integrity or anti-laundering rule: synthesis must not erase the origin of materially reused ideas.</w:t>
      </w:r>
    </w:p>
    <w:p>
      <w:pPr>
        <w:pStyle w:val="ListBullet"/>
      </w:pPr>
      <w:r>
        <w:t>A registry-centric view in which the long-term audit trail is the durable product.</w:t>
      </w:r>
    </w:p>
    <w:p>
      <w:pPr>
        <w:pStyle w:val="Heading2"/>
      </w:pPr>
      <w:r>
        <w:t>1.3 Perplexity record - notable strengths retained as concepts</w:t>
      </w:r>
    </w:p>
    <w:p>
      <w:pPr>
        <w:pStyle w:val="ListBullet"/>
      </w:pPr>
      <w:r>
        <w:t>Explicit topic-level ONESTAMP as distinct from record-level and decision-level authorization.</w:t>
      </w:r>
    </w:p>
    <w:p>
      <w:pPr>
        <w:pStyle w:val="ListBullet"/>
      </w:pPr>
      <w:r>
        <w:t>The separation of record validity from claim validity.</w:t>
      </w:r>
    </w:p>
    <w:p>
      <w:pPr>
        <w:pStyle w:val="ListBullet"/>
      </w:pPr>
      <w:r>
        <w:t>A blanket legacy topic-ratification mechanism tied to the Master Development Changelog and Architect-published GitHub documentation.</w:t>
      </w:r>
    </w:p>
    <w:p>
      <w:pPr>
        <w:pStyle w:val="ListBullet"/>
      </w:pPr>
      <w:r>
        <w:t>A plural-record graph with state manifests, decision records, dissent records, successor records, and publication records.</w:t>
      </w:r>
    </w:p>
    <w:p>
      <w:pPr>
        <w:pStyle w:val="ListBullet"/>
      </w:pPr>
      <w:r>
        <w:t>Multidimensional status fields rather than one overloaded "approved/not approved" field.</w:t>
      </w:r>
    </w:p>
    <w:p>
      <w:pPr>
        <w:pStyle w:val="ListBullet"/>
      </w:pPr>
      <w:r>
        <w:t>A narrow default interpretation rule when old approval language is ambiguous.</w:t>
      </w:r>
    </w:p>
    <w:p>
      <w:pPr>
        <w:pStyle w:val="Heading2"/>
      </w:pPr>
      <w:r>
        <w:t>1.4 ChatGPT independent additions</w:t>
      </w:r>
    </w:p>
    <w:p>
      <w:pPr>
        <w:pStyle w:val="ListBullet"/>
      </w:pPr>
      <w:r>
        <w:t>Representation Neutrality: distinguish a logical record from its PDF, DOCX, Markdown, image, or other rendered representations. A defective representation can be retired without erasing the underlying contribution.</w:t>
      </w:r>
    </w:p>
    <w:p>
      <w:pPr>
        <w:pStyle w:val="ListBullet"/>
      </w:pPr>
      <w:r>
        <w:t>Signature Event vs. Signature Reference: a later independent contributor record may reproduce or reference the Architect's earlier electronic-signature declaration, but should not imply that a new signature event occurred unless the Architect explicitly signs the later record.</w:t>
      </w:r>
    </w:p>
    <w:p>
      <w:pPr>
        <w:pStyle w:val="ListBullet"/>
      </w:pPr>
      <w:r>
        <w:t>Inventory Confidence Levels: distinguish enumerated-and-verified topics from criterion-covered topics, later-discovered covered topics, and candidate post-master topics awaiting repository linkage.</w:t>
      </w:r>
    </w:p>
    <w:p>
      <w:pPr>
        <w:pStyle w:val="ListBullet"/>
      </w:pPr>
      <w:r>
        <w:t>Canonical Naming and Alias Control: a topic registry should preserve aliases and prior names so that renaming does not create duplicate ONESTAMP topics or accidental supersession.</w:t>
      </w:r>
    </w:p>
    <w:p>
      <w:pPr>
        <w:pStyle w:val="ListBullet"/>
      </w:pPr>
      <w:r>
        <w:t>Scope Inheritance Boundary: topic-level recognition automatically preserves associated artifacts as provenance, but does not automatically adopt every child claim, method, or recommendation.</w:t>
      </w:r>
    </w:p>
    <w:p>
      <w:pPr>
        <w:pStyle w:val="ListBullet"/>
      </w:pPr>
      <w:r>
        <w:t>Format Retirement without Intellectual Retirement: an unusable DOCX or other presentation artifact may be retired for distribution while its source contribution remains historically valid and a corrected representation is issued.</w:t>
      </w:r>
    </w:p>
    <w:p>
      <w:pPr>
        <w:pStyle w:val="Heading1"/>
      </w:pPr>
      <w:r>
        <w:t>2. Governing Definitions</w:t>
      </w:r>
    </w:p>
    <w:tbl>
      <w:tblPr>
        <w:tblW w:type="auto" w:w="0"/>
        <w:jc w:val="center"/>
        <w:tblLayout w:type="autofit"/>
        <w:tblLook w:firstColumn="1" w:firstRow="1" w:lastColumn="0" w:lastRow="0" w:noHBand="0" w:noVBand="1" w:val="04A0"/>
      </w:tblPr>
      <w:tblGrid>
        <w:gridCol w:w="5141"/>
        <w:gridCol w:w="5141"/>
      </w:tblGrid>
      <w:tr>
        <w:tc>
          <w:tcPr>
            <w:tcW w:type="dxa" w:w="5141"/>
            <w:vAlign w:val="top"/>
            <w:tcMar>
              <w:top w:w="80" w:type="dxa"/>
              <w:start w:w="80" w:type="dxa"/>
              <w:bottom w:w="80" w:type="dxa"/>
              <w:end w:w="80" w:type="dxa"/>
            </w:tcMar>
            <w:shd w:fill="E8EEF7"/>
          </w:tcPr>
          <w:p>
            <w:r>
              <w:rPr>
                <w:b/>
                <w:sz w:val="19"/>
              </w:rPr>
              <w:t>ONESTAMP</w:t>
            </w:r>
          </w:p>
        </w:tc>
        <w:tc>
          <w:tcPr>
            <w:tcW w:type="dxa" w:w="5141"/>
            <w:vAlign w:val="top"/>
            <w:tcMar>
              <w:top w:w="80" w:type="dxa"/>
              <w:start w:w="80" w:type="dxa"/>
              <w:bottom w:w="80" w:type="dxa"/>
              <w:end w:w="80" w:type="dxa"/>
            </w:tcMar>
          </w:tcPr>
          <w:p>
            <w:r>
              <w:rPr>
                <w:sz w:val="19"/>
              </w:rPr>
              <w:t>An OAL authorization and provenance act identifying what is recognized or authorized, the responsible authority, the scope, and the relationship to preserved project records.</w:t>
            </w:r>
          </w:p>
        </w:tc>
      </w:tr>
      <w:tr>
        <w:tc>
          <w:tcPr>
            <w:tcW w:type="dxa" w:w="5141"/>
            <w:vAlign w:val="top"/>
            <w:tcMar>
              <w:top w:w="80" w:type="dxa"/>
              <w:start w:w="80" w:type="dxa"/>
              <w:bottom w:w="80" w:type="dxa"/>
              <w:end w:w="80" w:type="dxa"/>
            </w:tcMar>
            <w:shd w:fill="E8EEF7"/>
          </w:tcPr>
          <w:p>
            <w:r>
              <w:rPr>
                <w:b/>
                <w:sz w:val="19"/>
              </w:rPr>
              <w:t>Topic-level ONESTAMP</w:t>
            </w:r>
          </w:p>
        </w:tc>
        <w:tc>
          <w:tcPr>
            <w:tcW w:type="dxa" w:w="5141"/>
            <w:vAlign w:val="top"/>
            <w:tcMar>
              <w:top w:w="80" w:type="dxa"/>
              <w:start w:w="80" w:type="dxa"/>
              <w:bottom w:w="80" w:type="dxa"/>
              <w:end w:w="80" w:type="dxa"/>
            </w:tcMar>
          </w:tcPr>
          <w:p>
            <w:r>
              <w:rPr>
                <w:sz w:val="19"/>
              </w:rPr>
              <w:t>Recognition of an OAL subject, framework, exercise, doctrine, development area, narrative system, research track, or body of work. It does not adopt every claim in every associated artifact.</w:t>
            </w:r>
          </w:p>
        </w:tc>
      </w:tr>
      <w:tr>
        <w:tc>
          <w:tcPr>
            <w:tcW w:type="dxa" w:w="5141"/>
            <w:vAlign w:val="top"/>
            <w:tcMar>
              <w:top w:w="80" w:type="dxa"/>
              <w:start w:w="80" w:type="dxa"/>
              <w:bottom w:w="80" w:type="dxa"/>
              <w:end w:w="80" w:type="dxa"/>
            </w:tcMar>
            <w:shd w:fill="E8EEF7"/>
          </w:tcPr>
          <w:p>
            <w:r>
              <w:rPr>
                <w:b/>
                <w:sz w:val="19"/>
              </w:rPr>
              <w:t>Record-level ONESTAMP</w:t>
            </w:r>
          </w:p>
        </w:tc>
        <w:tc>
          <w:tcPr>
            <w:tcW w:type="dxa" w:w="5141"/>
            <w:vAlign w:val="top"/>
            <w:tcMar>
              <w:top w:w="80" w:type="dxa"/>
              <w:start w:w="80" w:type="dxa"/>
              <w:bottom w:w="80" w:type="dxa"/>
              <w:end w:w="80" w:type="dxa"/>
            </w:tcMar>
          </w:tcPr>
          <w:p>
            <w:r>
              <w:rPr>
                <w:sz w:val="19"/>
              </w:rPr>
              <w:t>Authentication, acknowledgment, or approval of a specifically identified contributor artifact for a stated purpose.</w:t>
            </w:r>
          </w:p>
        </w:tc>
      </w:tr>
      <w:tr>
        <w:tc>
          <w:tcPr>
            <w:tcW w:type="dxa" w:w="5141"/>
            <w:vAlign w:val="top"/>
            <w:tcMar>
              <w:top w:w="80" w:type="dxa"/>
              <w:start w:w="80" w:type="dxa"/>
              <w:bottom w:w="80" w:type="dxa"/>
              <w:end w:w="80" w:type="dxa"/>
            </w:tcMar>
            <w:shd w:fill="E8EEF7"/>
          </w:tcPr>
          <w:p>
            <w:r>
              <w:rPr>
                <w:b/>
                <w:sz w:val="19"/>
              </w:rPr>
              <w:t>Decision-level ONESTAMP</w:t>
            </w:r>
          </w:p>
        </w:tc>
        <w:tc>
          <w:tcPr>
            <w:tcW w:type="dxa" w:w="5141"/>
            <w:vAlign w:val="top"/>
            <w:tcMar>
              <w:top w:w="80" w:type="dxa"/>
              <w:start w:w="80" w:type="dxa"/>
              <w:bottom w:w="80" w:type="dxa"/>
              <w:end w:w="80" w:type="dxa"/>
            </w:tcMar>
          </w:tcPr>
          <w:p>
            <w:r>
              <w:rPr>
                <w:sz w:val="19"/>
              </w:rPr>
              <w:t>Authorization of a defined action, test, implementation, publication, retirement, or operational state.</w:t>
            </w:r>
          </w:p>
        </w:tc>
      </w:tr>
      <w:tr>
        <w:tc>
          <w:tcPr>
            <w:tcW w:type="dxa" w:w="5141"/>
            <w:vAlign w:val="top"/>
            <w:tcMar>
              <w:top w:w="80" w:type="dxa"/>
              <w:start w:w="80" w:type="dxa"/>
              <w:bottom w:w="80" w:type="dxa"/>
              <w:end w:w="80" w:type="dxa"/>
            </w:tcMar>
            <w:shd w:fill="E8EEF7"/>
          </w:tcPr>
          <w:p>
            <w:r>
              <w:rPr>
                <w:b/>
                <w:sz w:val="19"/>
              </w:rPr>
              <w:t>Logical Record</w:t>
            </w:r>
          </w:p>
        </w:tc>
        <w:tc>
          <w:tcPr>
            <w:tcW w:type="dxa" w:w="5141"/>
            <w:vAlign w:val="top"/>
            <w:tcMar>
              <w:top w:w="80" w:type="dxa"/>
              <w:start w:w="80" w:type="dxa"/>
              <w:bottom w:w="80" w:type="dxa"/>
              <w:end w:w="80" w:type="dxa"/>
            </w:tcMar>
          </w:tcPr>
          <w:p>
            <w:r>
              <w:rPr>
                <w:sz w:val="19"/>
              </w:rPr>
              <w:t>The intellectual/provenance identity of a contribution or decision independent of file format.</w:t>
            </w:r>
          </w:p>
        </w:tc>
      </w:tr>
      <w:tr>
        <w:tc>
          <w:tcPr>
            <w:tcW w:type="dxa" w:w="5141"/>
            <w:vAlign w:val="top"/>
            <w:tcMar>
              <w:top w:w="80" w:type="dxa"/>
              <w:start w:w="80" w:type="dxa"/>
              <w:bottom w:w="80" w:type="dxa"/>
              <w:end w:w="80" w:type="dxa"/>
            </w:tcMar>
            <w:shd w:fill="E8EEF7"/>
          </w:tcPr>
          <w:p>
            <w:r>
              <w:rPr>
                <w:b/>
                <w:sz w:val="19"/>
              </w:rPr>
              <w:t>Representation</w:t>
            </w:r>
          </w:p>
        </w:tc>
        <w:tc>
          <w:tcPr>
            <w:tcW w:type="dxa" w:w="5141"/>
            <w:vAlign w:val="top"/>
            <w:tcMar>
              <w:top w:w="80" w:type="dxa"/>
              <w:start w:w="80" w:type="dxa"/>
              <w:bottom w:w="80" w:type="dxa"/>
              <w:end w:w="80" w:type="dxa"/>
            </w:tcMar>
          </w:tcPr>
          <w:p>
            <w:r>
              <w:rPr>
                <w:sz w:val="19"/>
              </w:rPr>
              <w:t>A concrete rendering of a logical record, such as DOCX, PDF, Markdown, plain text, image, or web representation.</w:t>
            </w:r>
          </w:p>
        </w:tc>
      </w:tr>
      <w:tr>
        <w:tc>
          <w:tcPr>
            <w:tcW w:type="dxa" w:w="5141"/>
            <w:vAlign w:val="top"/>
            <w:tcMar>
              <w:top w:w="80" w:type="dxa"/>
              <w:start w:w="80" w:type="dxa"/>
              <w:bottom w:w="80" w:type="dxa"/>
              <w:end w:w="80" w:type="dxa"/>
            </w:tcMar>
            <w:shd w:fill="E8EEF7"/>
          </w:tcPr>
          <w:p>
            <w:r>
              <w:rPr>
                <w:b/>
                <w:sz w:val="19"/>
              </w:rPr>
              <w:t>Record validity</w:t>
            </w:r>
          </w:p>
        </w:tc>
        <w:tc>
          <w:tcPr>
            <w:tcW w:type="dxa" w:w="5141"/>
            <w:vAlign w:val="top"/>
            <w:tcMar>
              <w:top w:w="80" w:type="dxa"/>
              <w:start w:w="80" w:type="dxa"/>
              <w:bottom w:w="80" w:type="dxa"/>
              <w:end w:w="80" w:type="dxa"/>
            </w:tcMar>
          </w:tcPr>
          <w:p>
            <w:r>
              <w:rPr>
                <w:sz w:val="19"/>
              </w:rPr>
              <w:t>The status of an artifact as an authentic, attributable, preserved part of project history.</w:t>
            </w:r>
          </w:p>
        </w:tc>
      </w:tr>
      <w:tr>
        <w:tc>
          <w:tcPr>
            <w:tcW w:type="dxa" w:w="5141"/>
            <w:vAlign w:val="top"/>
            <w:tcMar>
              <w:top w:w="80" w:type="dxa"/>
              <w:start w:w="80" w:type="dxa"/>
              <w:bottom w:w="80" w:type="dxa"/>
              <w:end w:w="80" w:type="dxa"/>
            </w:tcMar>
            <w:shd w:fill="E8EEF7"/>
          </w:tcPr>
          <w:p>
            <w:r>
              <w:rPr>
                <w:b/>
                <w:sz w:val="19"/>
              </w:rPr>
              <w:t>Claim validity</w:t>
            </w:r>
          </w:p>
        </w:tc>
        <w:tc>
          <w:tcPr>
            <w:tcW w:type="dxa" w:w="5141"/>
            <w:vAlign w:val="top"/>
            <w:tcMar>
              <w:top w:w="80" w:type="dxa"/>
              <w:start w:w="80" w:type="dxa"/>
              <w:bottom w:w="80" w:type="dxa"/>
              <w:end w:w="80" w:type="dxa"/>
            </w:tcMar>
          </w:tcPr>
          <w:p>
            <w:r>
              <w:rPr>
                <w:sz w:val="19"/>
              </w:rPr>
              <w:t>The evidentiary standing of a proposition contained in a record. Record validity does not confer factual verification.</w:t>
            </w:r>
          </w:p>
        </w:tc>
      </w:tr>
      <w:tr>
        <w:tc>
          <w:tcPr>
            <w:tcW w:type="dxa" w:w="5141"/>
            <w:vAlign w:val="top"/>
            <w:tcMar>
              <w:top w:w="80" w:type="dxa"/>
              <w:start w:w="80" w:type="dxa"/>
              <w:bottom w:w="80" w:type="dxa"/>
              <w:end w:w="80" w:type="dxa"/>
            </w:tcMar>
            <w:shd w:fill="E8EEF7"/>
          </w:tcPr>
          <w:p>
            <w:r>
              <w:rPr>
                <w:b/>
                <w:sz w:val="19"/>
              </w:rPr>
              <w:t>Plural record</w:t>
            </w:r>
          </w:p>
        </w:tc>
        <w:tc>
          <w:tcPr>
            <w:tcW w:type="dxa" w:w="5141"/>
            <w:vAlign w:val="top"/>
            <w:tcMar>
              <w:top w:w="80" w:type="dxa"/>
              <w:start w:w="80" w:type="dxa"/>
              <w:bottom w:w="80" w:type="dxa"/>
              <w:end w:w="80" w:type="dxa"/>
            </w:tcMar>
          </w:tcPr>
          <w:p>
            <w:r>
              <w:rPr>
                <w:sz w:val="19"/>
              </w:rPr>
              <w:t>The complete field of independently attributable contributor artifacts, prompts, revisions, decisions, dissent, corrections, publication events, and successor records associated with a topic.</w:t>
            </w:r>
          </w:p>
        </w:tc>
      </w:tr>
      <w:tr>
        <w:tc>
          <w:tcPr>
            <w:tcW w:type="dxa" w:w="5141"/>
            <w:vAlign w:val="top"/>
            <w:tcMar>
              <w:top w:w="80" w:type="dxa"/>
              <w:start w:w="80" w:type="dxa"/>
              <w:bottom w:w="80" w:type="dxa"/>
              <w:end w:w="80" w:type="dxa"/>
            </w:tcMar>
            <w:shd w:fill="E8EEF7"/>
          </w:tcPr>
          <w:p>
            <w:r>
              <w:rPr>
                <w:b/>
                <w:sz w:val="19"/>
              </w:rPr>
              <w:t>Operational selection</w:t>
            </w:r>
          </w:p>
        </w:tc>
        <w:tc>
          <w:tcPr>
            <w:tcW w:type="dxa" w:w="5141"/>
            <w:vAlign w:val="top"/>
            <w:tcMar>
              <w:top w:w="80" w:type="dxa"/>
              <w:start w:w="80" w:type="dxa"/>
              <w:bottom w:w="80" w:type="dxa"/>
              <w:end w:w="80" w:type="dxa"/>
            </w:tcMar>
          </w:tcPr>
          <w:p>
            <w:r>
              <w:rPr>
                <w:sz w:val="19"/>
              </w:rPr>
              <w:t>A scoped decision to use one path for a specific purpose or phase without globally invalidating alternatives.</w:t>
            </w:r>
          </w:p>
        </w:tc>
      </w:tr>
      <w:tr>
        <w:tc>
          <w:tcPr>
            <w:tcW w:type="dxa" w:w="5141"/>
            <w:vAlign w:val="top"/>
            <w:tcMar>
              <w:top w:w="80" w:type="dxa"/>
              <w:start w:w="80" w:type="dxa"/>
              <w:bottom w:w="80" w:type="dxa"/>
              <w:end w:w="80" w:type="dxa"/>
            </w:tcMar>
            <w:shd w:fill="E8EEF7"/>
          </w:tcPr>
          <w:p>
            <w:r>
              <w:rPr>
                <w:b/>
                <w:sz w:val="19"/>
              </w:rPr>
              <w:t>Global supersession</w:t>
            </w:r>
          </w:p>
        </w:tc>
        <w:tc>
          <w:tcPr>
            <w:tcW w:type="dxa" w:w="5141"/>
            <w:vAlign w:val="top"/>
            <w:tcMar>
              <w:top w:w="80" w:type="dxa"/>
              <w:start w:w="80" w:type="dxa"/>
              <w:bottom w:w="80" w:type="dxa"/>
              <w:end w:w="80" w:type="dxa"/>
            </w:tcMar>
          </w:tcPr>
          <w:p>
            <w:r>
              <w:rPr>
                <w:sz w:val="19"/>
              </w:rPr>
              <w:t>An assertion that one record replaces all others for all purposes. It is prohibited by default.</w:t>
            </w:r>
          </w:p>
        </w:tc>
      </w:tr>
      <w:tr>
        <w:tc>
          <w:tcPr>
            <w:tcW w:type="dxa" w:w="5141"/>
            <w:vAlign w:val="top"/>
            <w:tcMar>
              <w:top w:w="80" w:type="dxa"/>
              <w:start w:w="80" w:type="dxa"/>
              <w:bottom w:w="80" w:type="dxa"/>
              <w:end w:w="80" w:type="dxa"/>
            </w:tcMar>
            <w:shd w:fill="E8EEF7"/>
          </w:tcPr>
          <w:p>
            <w:r>
              <w:rPr>
                <w:b/>
                <w:sz w:val="19"/>
              </w:rPr>
              <w:t>State Manifest</w:t>
            </w:r>
          </w:p>
        </w:tc>
        <w:tc>
          <w:tcPr>
            <w:tcW w:type="dxa" w:w="5141"/>
            <w:vAlign w:val="top"/>
            <w:tcMar>
              <w:top w:w="80" w:type="dxa"/>
              <w:start w:w="80" w:type="dxa"/>
              <w:bottom w:w="80" w:type="dxa"/>
              <w:end w:w="80" w:type="dxa"/>
            </w:tcMar>
          </w:tcPr>
          <w:p>
            <w:r>
              <w:rPr>
                <w:sz w:val="19"/>
              </w:rPr>
              <w:t>A snapshot identifying which artifacts existed, which were reviewed, which were relied upon, and which were outside the scope at a decision point.</w:t>
            </w:r>
          </w:p>
        </w:tc>
      </w:tr>
      <w:tr>
        <w:tc>
          <w:tcPr>
            <w:tcW w:type="dxa" w:w="5141"/>
            <w:vAlign w:val="top"/>
            <w:tcMar>
              <w:top w:w="80" w:type="dxa"/>
              <w:start w:w="80" w:type="dxa"/>
              <w:bottom w:w="80" w:type="dxa"/>
              <w:end w:w="80" w:type="dxa"/>
            </w:tcMar>
            <w:shd w:fill="E8EEF7"/>
          </w:tcPr>
          <w:p>
            <w:r>
              <w:rPr>
                <w:b/>
                <w:sz w:val="19"/>
              </w:rPr>
              <w:t>Dissent Record</w:t>
            </w:r>
          </w:p>
        </w:tc>
        <w:tc>
          <w:tcPr>
            <w:tcW w:type="dxa" w:w="5141"/>
            <w:vAlign w:val="top"/>
            <w:tcMar>
              <w:top w:w="80" w:type="dxa"/>
              <w:start w:w="80" w:type="dxa"/>
              <w:bottom w:w="80" w:type="dxa"/>
              <w:end w:w="80" w:type="dxa"/>
            </w:tcMar>
          </w:tcPr>
          <w:p>
            <w:r>
              <w:rPr>
                <w:sz w:val="19"/>
              </w:rPr>
              <w:t>A preserved, attributable objection or alternative linked to the exact proposition or decision disputed.</w:t>
            </w:r>
          </w:p>
        </w:tc>
      </w:tr>
      <w:tr>
        <w:tc>
          <w:tcPr>
            <w:tcW w:type="dxa" w:w="5141"/>
            <w:vAlign w:val="top"/>
            <w:tcMar>
              <w:top w:w="80" w:type="dxa"/>
              <w:start w:w="80" w:type="dxa"/>
              <w:bottom w:w="80" w:type="dxa"/>
              <w:end w:w="80" w:type="dxa"/>
            </w:tcMar>
            <w:shd w:fill="E8EEF7"/>
          </w:tcPr>
          <w:p>
            <w:r>
              <w:rPr>
                <w:b/>
                <w:sz w:val="19"/>
              </w:rPr>
              <w:t>Successor Record</w:t>
            </w:r>
          </w:p>
        </w:tc>
        <w:tc>
          <w:tcPr>
            <w:tcW w:type="dxa" w:w="5141"/>
            <w:vAlign w:val="top"/>
            <w:tcMar>
              <w:top w:w="80" w:type="dxa"/>
              <w:start w:w="80" w:type="dxa"/>
              <w:bottom w:w="80" w:type="dxa"/>
              <w:end w:w="80" w:type="dxa"/>
            </w:tcMar>
          </w:tcPr>
          <w:p>
            <w:r>
              <w:rPr>
                <w:sz w:val="19"/>
              </w:rPr>
              <w:t>A later record that changes prospective effect while pointing back to the earlier record rather than rewriting it.</w:t>
            </w:r>
          </w:p>
        </w:tc>
      </w:tr>
    </w:tbl>
    <w:p/>
    <w:p>
      <w:pPr>
        <w:pStyle w:val="Heading1"/>
      </w:pPr>
      <w:r>
        <w:t>3. Foundational Principles</w:t>
      </w:r>
    </w:p>
    <w:p>
      <w:r>
        <w:rPr>
          <w:b/>
        </w:rPr>
        <w:t xml:space="preserve">3.1 Plural validity. </w:t>
      </w:r>
      <w:r>
        <w:t>Properly preserved contributions may remain valid records even when recommendations conflict. Incompatibility of instructions does not erase the existence or authorship of either contribution.</w:t>
      </w:r>
    </w:p>
    <w:p>
      <w:r>
        <w:rPr>
          <w:b/>
        </w:rPr>
        <w:t xml:space="preserve">3.2 Non-dominance. </w:t>
      </w:r>
      <w:r>
        <w:t>Authorization does not, merely because a stamp exists, confer universal creative, interpretive, evidentiary, authorship, or governance supremacy upon a contributor, model, document, framework, wording, or representation.</w:t>
      </w:r>
    </w:p>
    <w:p>
      <w:r>
        <w:rPr>
          <w:b/>
        </w:rPr>
        <w:t xml:space="preserve">3.3 Non-erasure. </w:t>
      </w:r>
      <w:r>
        <w:t>Retirement, correction, or scoped supersession changes current effect; it does not delete or retrospectively alter the fact that a contribution, disagreement, publication, or earlier decision existed.</w:t>
      </w:r>
    </w:p>
    <w:p>
      <w:r>
        <w:rPr>
          <w:b/>
        </w:rPr>
        <w:t xml:space="preserve">3.4 No implied consensus. </w:t>
      </w:r>
      <w:r>
        <w:t>A ONESTAMP does not imply unanimity, contributor endorsement, factual certainty, complete review, or absence of objections unless the relevant record explicitly establishes those conditions.</w:t>
      </w:r>
    </w:p>
    <w:p>
      <w:r>
        <w:rPr>
          <w:b/>
        </w:rPr>
        <w:t xml:space="preserve">3.5 Historical versioning without version supremacy. </w:t>
      </w:r>
      <w:r>
        <w:t>Dates, revisions, branches, and successors are necessary for traceability. "Latest," "published," or "approved" does not automatically mean universally superior.</w:t>
      </w:r>
    </w:p>
    <w:p>
      <w:r>
        <w:rPr>
          <w:b/>
        </w:rPr>
        <w:t xml:space="preserve">3.6 Evidence is independent of identity. </w:t>
      </w:r>
      <w:r>
        <w:t>Claims gain or lose support through evidence, testing, reasoning, and verification, not because a particular AI or human authored them or because the surrounding topic is ONESTAMP-recognized.</w:t>
      </w:r>
    </w:p>
    <w:p>
      <w:r>
        <w:rPr>
          <w:b/>
        </w:rPr>
        <w:t xml:space="preserve">3.7 Attribution integrity. </w:t>
      </w:r>
      <w:r>
        <w:t>Synthesis may connect, compare, quote, or derive from source contributions, but must not falsely anonymize materially reused ideas or manufacture a single voice where independent contributors differed.</w:t>
      </w:r>
    </w:p>
    <w:p>
      <w:r>
        <w:rPr>
          <w:b/>
        </w:rPr>
        <w:t xml:space="preserve">3.8 Representation neutrality. </w:t>
      </w:r>
      <w:r>
        <w:t>A logical record may exist in multiple file formats. A rendering defect, viewport incompatibility, or distribution problem in one representation does not by itself invalidate the logical record or the topic-level ONESTAMP.</w:t>
      </w:r>
    </w:p>
    <w:p>
      <w:r>
        <w:rPr>
          <w:b/>
        </w:rPr>
        <w:t xml:space="preserve">3.9 Narrow interpretation. </w:t>
      </w:r>
      <w:r>
        <w:t>When old approval language is ambiguous, interpret it conservatively: preserve independent records, authorize only the clearly stated object, infer no consensus, infer no claim certification, and infer no global supersession.</w:t>
      </w:r>
    </w:p>
    <w:p>
      <w:pPr>
        <w:pStyle w:val="Heading1"/>
      </w:pPr>
      <w:r>
        <w:t>4. Authority Separation</w:t>
      </w:r>
    </w:p>
    <w:tbl>
      <w:tblPr>
        <w:tblW w:type="auto" w:w="0"/>
        <w:jc w:val="center"/>
        <w:tblLayout w:type="autofit"/>
        <w:tblLook w:firstColumn="1" w:firstRow="1" w:lastColumn="0" w:lastRow="0" w:noHBand="0" w:noVBand="1" w:val="04A0"/>
      </w:tblPr>
      <w:tblGrid>
        <w:gridCol w:w="5141"/>
        <w:gridCol w:w="5141"/>
      </w:tblGrid>
      <w:tr>
        <w:tc>
          <w:tcPr>
            <w:tcW w:type="dxa" w:w="5141"/>
            <w:vAlign w:val="top"/>
            <w:tcMar>
              <w:top w:w="80" w:type="dxa"/>
              <w:start w:w="80" w:type="dxa"/>
              <w:bottom w:w="80" w:type="dxa"/>
              <w:end w:w="80" w:type="dxa"/>
            </w:tcMar>
            <w:shd w:fill="E8EEF7"/>
          </w:tcPr>
          <w:p>
            <w:r>
              <w:rPr>
                <w:b/>
                <w:sz w:val="19"/>
              </w:rPr>
              <w:t>Authorship authority</w:t>
            </w:r>
          </w:p>
        </w:tc>
        <w:tc>
          <w:tcPr>
            <w:tcW w:type="dxa" w:w="5141"/>
            <w:vAlign w:val="top"/>
            <w:tcMar>
              <w:top w:w="80" w:type="dxa"/>
              <w:start w:w="80" w:type="dxa"/>
              <w:bottom w:w="80" w:type="dxa"/>
              <w:end w:w="80" w:type="dxa"/>
            </w:tcMar>
          </w:tcPr>
          <w:p>
            <w:r>
              <w:rPr>
                <w:sz w:val="19"/>
              </w:rPr>
              <w:t>Belongs to the originating contributor for attribution and identity of that contribution.</w:t>
            </w:r>
          </w:p>
        </w:tc>
      </w:tr>
      <w:tr>
        <w:tc>
          <w:tcPr>
            <w:tcW w:type="dxa" w:w="5141"/>
            <w:vAlign w:val="top"/>
            <w:tcMar>
              <w:top w:w="80" w:type="dxa"/>
              <w:start w:w="80" w:type="dxa"/>
              <w:bottom w:w="80" w:type="dxa"/>
              <w:end w:w="80" w:type="dxa"/>
            </w:tcMar>
            <w:shd w:fill="E8EEF7"/>
          </w:tcPr>
          <w:p>
            <w:r>
              <w:rPr>
                <w:b/>
                <w:sz w:val="19"/>
              </w:rPr>
              <w:t>Interpretive authority</w:t>
            </w:r>
          </w:p>
        </w:tc>
        <w:tc>
          <w:tcPr>
            <w:tcW w:type="dxa" w:w="5141"/>
            <w:vAlign w:val="top"/>
            <w:tcMar>
              <w:top w:w="80" w:type="dxa"/>
              <w:start w:w="80" w:type="dxa"/>
              <w:bottom w:w="80" w:type="dxa"/>
              <w:end w:w="80" w:type="dxa"/>
            </w:tcMar>
          </w:tcPr>
          <w:p>
            <w:r>
              <w:rPr>
                <w:sz w:val="19"/>
              </w:rPr>
              <w:t>Plural by default; contributors may legitimately differ in meaning, structure, implications, and recommended approach.</w:t>
            </w:r>
          </w:p>
        </w:tc>
      </w:tr>
      <w:tr>
        <w:tc>
          <w:tcPr>
            <w:tcW w:type="dxa" w:w="5141"/>
            <w:vAlign w:val="top"/>
            <w:tcMar>
              <w:top w:w="80" w:type="dxa"/>
              <w:start w:w="80" w:type="dxa"/>
              <w:bottom w:w="80" w:type="dxa"/>
              <w:end w:w="80" w:type="dxa"/>
            </w:tcMar>
            <w:shd w:fill="E8EEF7"/>
          </w:tcPr>
          <w:p>
            <w:r>
              <w:rPr>
                <w:b/>
                <w:sz w:val="19"/>
              </w:rPr>
              <w:t>Evidentiary authority</w:t>
            </w:r>
          </w:p>
        </w:tc>
        <w:tc>
          <w:tcPr>
            <w:tcW w:type="dxa" w:w="5141"/>
            <w:vAlign w:val="top"/>
            <w:tcMar>
              <w:top w:w="80" w:type="dxa"/>
              <w:start w:w="80" w:type="dxa"/>
              <w:bottom w:w="80" w:type="dxa"/>
              <w:end w:w="80" w:type="dxa"/>
            </w:tcMar>
          </w:tcPr>
          <w:p>
            <w:r>
              <w:rPr>
                <w:sz w:val="19"/>
              </w:rPr>
              <w:t>Depends on evidence, testing, source quality, and verification; it is not created by stamping.</w:t>
            </w:r>
          </w:p>
        </w:tc>
      </w:tr>
      <w:tr>
        <w:tc>
          <w:tcPr>
            <w:tcW w:type="dxa" w:w="5141"/>
            <w:vAlign w:val="top"/>
            <w:tcMar>
              <w:top w:w="80" w:type="dxa"/>
              <w:start w:w="80" w:type="dxa"/>
              <w:bottom w:w="80" w:type="dxa"/>
              <w:end w:w="80" w:type="dxa"/>
            </w:tcMar>
            <w:shd w:fill="E8EEF7"/>
          </w:tcPr>
          <w:p>
            <w:r>
              <w:rPr>
                <w:b/>
                <w:sz w:val="19"/>
              </w:rPr>
              <w:t>Decision authority</w:t>
            </w:r>
          </w:p>
        </w:tc>
        <w:tc>
          <w:tcPr>
            <w:tcW w:type="dxa" w:w="5141"/>
            <w:vAlign w:val="top"/>
            <w:tcMar>
              <w:top w:w="80" w:type="dxa"/>
              <w:start w:w="80" w:type="dxa"/>
              <w:bottom w:w="80" w:type="dxa"/>
              <w:end w:w="80" w:type="dxa"/>
            </w:tcMar>
          </w:tcPr>
          <w:p>
            <w:r>
              <w:rPr>
                <w:sz w:val="19"/>
              </w:rPr>
              <w:t>Belongs to the Architect or an explicitly delegated authority for defined OAL actions.</w:t>
            </w:r>
          </w:p>
        </w:tc>
      </w:tr>
      <w:tr>
        <w:tc>
          <w:tcPr>
            <w:tcW w:type="dxa" w:w="5141"/>
            <w:vAlign w:val="top"/>
            <w:tcMar>
              <w:top w:w="80" w:type="dxa"/>
              <w:start w:w="80" w:type="dxa"/>
              <w:bottom w:w="80" w:type="dxa"/>
              <w:end w:w="80" w:type="dxa"/>
            </w:tcMar>
            <w:shd w:fill="E8EEF7"/>
          </w:tcPr>
          <w:p>
            <w:r>
              <w:rPr>
                <w:b/>
                <w:sz w:val="19"/>
              </w:rPr>
              <w:t>Repository authority</w:t>
            </w:r>
          </w:p>
        </w:tc>
        <w:tc>
          <w:tcPr>
            <w:tcW w:type="dxa" w:w="5141"/>
            <w:vAlign w:val="top"/>
            <w:tcMar>
              <w:top w:w="80" w:type="dxa"/>
              <w:start w:w="80" w:type="dxa"/>
              <w:bottom w:w="80" w:type="dxa"/>
              <w:end w:w="80" w:type="dxa"/>
            </w:tcMar>
          </w:tcPr>
          <w:p>
            <w:r>
              <w:rPr>
                <w:sz w:val="19"/>
              </w:rPr>
              <w:t>Belongs to maintainers under access rules; storage and organization rights do not confer authorship supremacy.</w:t>
            </w:r>
          </w:p>
        </w:tc>
      </w:tr>
      <w:tr>
        <w:tc>
          <w:tcPr>
            <w:tcW w:type="dxa" w:w="5141"/>
            <w:vAlign w:val="top"/>
            <w:tcMar>
              <w:top w:w="80" w:type="dxa"/>
              <w:start w:w="80" w:type="dxa"/>
              <w:bottom w:w="80" w:type="dxa"/>
              <w:end w:w="80" w:type="dxa"/>
            </w:tcMar>
            <w:shd w:fill="E8EEF7"/>
          </w:tcPr>
          <w:p>
            <w:r>
              <w:rPr>
                <w:b/>
                <w:sz w:val="19"/>
              </w:rPr>
              <w:t>Representation authority</w:t>
            </w:r>
          </w:p>
        </w:tc>
        <w:tc>
          <w:tcPr>
            <w:tcW w:type="dxa" w:w="5141"/>
            <w:vAlign w:val="top"/>
            <w:tcMar>
              <w:top w:w="80" w:type="dxa"/>
              <w:start w:w="80" w:type="dxa"/>
              <w:bottom w:w="80" w:type="dxa"/>
              <w:end w:w="80" w:type="dxa"/>
            </w:tcMar>
          </w:tcPr>
          <w:p>
            <w:r>
              <w:rPr>
                <w:sz w:val="19"/>
              </w:rPr>
              <w:t>Defines which file/rendering is approved for a particular distribution channel; it does not automatically control the underlying intellectual record.</w:t>
            </w:r>
          </w:p>
        </w:tc>
      </w:tr>
    </w:tbl>
    <w:p/>
    <w:p>
      <w:pPr>
        <w:pStyle w:val="Heading1"/>
      </w:pPr>
      <w:r>
        <w:t>5. Authorization Classes</w:t>
      </w:r>
    </w:p>
    <w:p>
      <w:r>
        <w:rPr>
          <w:b/>
          <w:color w:val="2F5597"/>
        </w:rPr>
        <w:t>TOPIC</w:t>
      </w:r>
      <w:r>
        <w:t xml:space="preserve"> - Recognize a named OAL subject or body of work as part of the authorized project corpus.</w:t>
      </w:r>
    </w:p>
    <w:p>
      <w:r>
        <w:rPr>
          <w:b/>
          <w:color w:val="2F5597"/>
        </w:rPr>
        <w:t>RECORD</w:t>
      </w:r>
      <w:r>
        <w:t xml:space="preserve"> - Authenticate, acknowledge, or approve a specific artifact for a stated use.</w:t>
      </w:r>
    </w:p>
    <w:p>
      <w:r>
        <w:rPr>
          <w:b/>
          <w:color w:val="2F5597"/>
        </w:rPr>
        <w:t>PUBLISH</w:t>
      </w:r>
      <w:r>
        <w:t xml:space="preserve"> - Authorize release to GitHub or another designated channel.</w:t>
      </w:r>
    </w:p>
    <w:p>
      <w:r>
        <w:rPr>
          <w:b/>
          <w:color w:val="2F5597"/>
        </w:rPr>
        <w:t>PROCEED</w:t>
      </w:r>
      <w:r>
        <w:t xml:space="preserve"> - Authorize a project action or state to move forward within scope.</w:t>
      </w:r>
    </w:p>
    <w:p>
      <w:r>
        <w:rPr>
          <w:b/>
          <w:color w:val="2F5597"/>
        </w:rPr>
        <w:t>TEST</w:t>
      </w:r>
      <w:r>
        <w:t xml:space="preserve"> - Authorize an experiment, exercise, simulation, or pilot under stated conditions.</w:t>
      </w:r>
    </w:p>
    <w:p>
      <w:r>
        <w:rPr>
          <w:b/>
          <w:color w:val="2F5597"/>
        </w:rPr>
        <w:t>ADOPT</w:t>
      </w:r>
      <w:r>
        <w:t xml:space="preserve"> - Make a rule, method, proposition, architecture, or implementation operative within a named scope.</w:t>
      </w:r>
    </w:p>
    <w:p>
      <w:r>
        <w:rPr>
          <w:b/>
          <w:color w:val="2F5597"/>
        </w:rPr>
        <w:t>RETIRE</w:t>
      </w:r>
      <w:r>
        <w:t xml:space="preserve"> - End the prospective operational or distribution use of a named instruction, representation, or method while preserving history.</w:t>
      </w:r>
    </w:p>
    <w:p>
      <w:r>
        <w:rPr>
          <w:b/>
          <w:color w:val="2F5597"/>
        </w:rPr>
        <w:t>PRESERVE</w:t>
      </w:r>
      <w:r>
        <w:t xml:space="preserve"> - Require a record, branch, dissent, prompt, or prior representation to remain in the archive.</w:t>
      </w:r>
    </w:p>
    <w:p>
      <w:r>
        <w:rPr>
          <w:b/>
          <w:color w:val="2F5597"/>
        </w:rPr>
        <w:t>DELEGATE</w:t>
      </w:r>
      <w:r>
        <w:t xml:space="preserve"> - Grant bounded decision or execution authority to a defined person, team, system, or role.</w:t>
      </w:r>
    </w:p>
    <w:p>
      <w:r>
        <w:rPr>
          <w:b/>
          <w:color w:val="2F5597"/>
        </w:rPr>
        <w:t>CORRECT</w:t>
      </w:r>
      <w:r>
        <w:t xml:space="preserve"> - Record a correction or changed evidentiary standing without erasing the earlier artifact.</w:t>
      </w:r>
    </w:p>
    <w:p>
      <w:r>
        <w:rPr>
          <w:b/>
          <w:color w:val="2F5597"/>
        </w:rPr>
        <w:t>REPRESENT</w:t>
      </w:r>
      <w:r>
        <w:t xml:space="preserve"> - Designate a particular file/rendering as the preferred distribution representation for a defined viewport, platform, or repository purpose.</w:t>
      </w:r>
    </w:p>
    <w:p>
      <w:pPr>
        <w:pStyle w:val="Heading1"/>
      </w:pPr>
      <w:r>
        <w:t>6. Record Architecture</w:t>
      </w:r>
    </w:p>
    <w:p>
      <w:r>
        <w:rPr>
          <w:b/>
        </w:rPr>
        <w:t>Topic Registry Entry (TRE)</w:t>
      </w:r>
      <w:r>
        <w:t xml:space="preserve"> - Stable topic identity; preferred title; aliases; scope; known artifacts; topic-level ONESTAMP status.</w:t>
      </w:r>
    </w:p>
    <w:p>
      <w:r>
        <w:rPr>
          <w:b/>
        </w:rPr>
        <w:t>Contributor Artifact Record (CAR)</w:t>
      </w:r>
      <w:r>
        <w:t xml:space="preserve"> - Independent human or AI contribution with contributor, date, revision, relationship, and representation links.</w:t>
      </w:r>
    </w:p>
    <w:p>
      <w:r>
        <w:rPr>
          <w:b/>
        </w:rPr>
        <w:t>Logical Record Identity (LRI)</w:t>
      </w:r>
      <w:r>
        <w:t xml:space="preserve"> - Groups equivalent representations of the same contribution without claiming that every file is byte-identical.</w:t>
      </w:r>
    </w:p>
    <w:p>
      <w:r>
        <w:rPr>
          <w:b/>
        </w:rPr>
        <w:t>Representation Record (RR)</w:t>
      </w:r>
      <w:r>
        <w:t xml:space="preserve"> - Tracks each DOCX/PDF/MD/etc. rendering, its usability/distribution state, and any retirement/replacement relationship.</w:t>
      </w:r>
    </w:p>
    <w:p>
      <w:r>
        <w:rPr>
          <w:b/>
        </w:rPr>
        <w:t>State Manifest (SM)</w:t>
      </w:r>
      <w:r>
        <w:t xml:space="preserve"> - Snapshot of existing, reviewed, relied-upon, unavailable, and excluded artifacts at a decision point.</w:t>
      </w:r>
    </w:p>
    <w:p>
      <w:r>
        <w:rPr>
          <w:b/>
        </w:rPr>
        <w:t>Convergence/Divergence Map (CDM)</w:t>
      </w:r>
      <w:r>
        <w:t xml:space="preserve"> - Maps agreements, complementary approaches, conflicts, unresolved questions, and incompatible instructions without replacing source artifacts.</w:t>
      </w:r>
    </w:p>
    <w:p>
      <w:r>
        <w:rPr>
          <w:b/>
        </w:rPr>
        <w:t>Decision Record (DR)</w:t>
      </w:r>
      <w:r>
        <w:t xml:space="preserve"> - States what OAL will do, why, for what scope, under what limits, and what remains undecided.</w:t>
      </w:r>
    </w:p>
    <w:p>
      <w:r>
        <w:rPr>
          <w:b/>
        </w:rPr>
        <w:t>Authorization Record (OS)</w:t>
      </w:r>
      <w:r>
        <w:t xml:space="preserve"> - Carries the ONESTAMP act and binds authorization to the identified topic, record, state manifest, or decision.</w:t>
      </w:r>
    </w:p>
    <w:p>
      <w:r>
        <w:rPr>
          <w:b/>
        </w:rPr>
        <w:t>Dissent Record (DS)</w:t>
      </w:r>
      <w:r>
        <w:t xml:space="preserve"> - Preserves reasoned objection or alternative, evidence status, possible impact, and revisit trigger.</w:t>
      </w:r>
    </w:p>
    <w:p>
      <w:r>
        <w:rPr>
          <w:b/>
        </w:rPr>
        <w:t>Correction Record (CR)</w:t>
      </w:r>
      <w:r>
        <w:t xml:space="preserve"> - Changes claim standing or metadata without rewriting the earlier artifact.</w:t>
      </w:r>
    </w:p>
    <w:p>
      <w:r>
        <w:rPr>
          <w:b/>
        </w:rPr>
        <w:t>Successor Record (SR)</w:t>
      </w:r>
      <w:r>
        <w:t xml:space="preserve"> - Changes future operational effect and points to the prior record.</w:t>
      </w:r>
    </w:p>
    <w:p>
      <w:r>
        <w:rPr>
          <w:b/>
        </w:rPr>
        <w:t>Publication Record (PR)</w:t>
      </w:r>
      <w:r>
        <w:t xml:space="preserve"> - Records GitHub or other release events without implying that publication equals canon or adoption.</w:t>
      </w:r>
    </w:p>
    <w:p>
      <w:pPr>
        <w:pStyle w:val="Heading1"/>
      </w:pPr>
      <w:r>
        <w:t>7. Status Dimensions</w:t>
      </w:r>
    </w:p>
    <w:tbl>
      <w:tblPr>
        <w:tblW w:type="auto" w:w="0"/>
        <w:jc w:val="center"/>
        <w:tblLook w:firstColumn="1" w:firstRow="1" w:lastColumn="0" w:lastRow="0" w:noHBand="0" w:noVBand="1" w:val="04A0"/>
      </w:tblPr>
      <w:tblGrid>
        <w:gridCol w:w="10282"/>
      </w:tblGrid>
      <w:tr>
        <w:tc>
          <w:tcPr>
            <w:tcW w:type="dxa" w:w="10282"/>
            <w:shd w:fill="F3F6FA"/>
            <w:tcMar>
              <w:top w:w="140" w:type="dxa"/>
              <w:start w:w="160" w:type="dxa"/>
              <w:bottom w:w="140" w:type="dxa"/>
              <w:end w:w="160" w:type="dxa"/>
            </w:tcMar>
          </w:tcPr>
          <w:p>
            <w:r>
              <w:rPr>
                <w:b/>
                <w:sz w:val="21"/>
              </w:rPr>
              <w:t>Why one status field is insufficient</w:t>
              <w:br/>
            </w:r>
            <w:r>
              <w:rPr>
                <w:sz w:val="20"/>
              </w:rPr>
              <w:t>A record can be preserved, reviewed, not adopted, factually contested, publicly published, operationally inactive, and still important as dissent. Those states should not be collapsed into one word such as "approved."</w:t>
            </w:r>
          </w:p>
        </w:tc>
      </w:tr>
    </w:tbl>
    <w:p/>
    <w:tbl>
      <w:tblPr>
        <w:tblW w:type="auto" w:w="0"/>
        <w:jc w:val="center"/>
        <w:tblLayout w:type="autofit"/>
        <w:tblLook w:firstColumn="1" w:firstRow="1" w:lastColumn="0" w:lastRow="0" w:noHBand="0" w:noVBand="1" w:val="04A0"/>
      </w:tblPr>
      <w:tblGrid>
        <w:gridCol w:w="5141"/>
        <w:gridCol w:w="5141"/>
      </w:tblGrid>
      <w:tr>
        <w:tc>
          <w:tcPr>
            <w:tcW w:type="dxa" w:w="5141"/>
            <w:vAlign w:val="top"/>
            <w:tcMar>
              <w:top w:w="80" w:type="dxa"/>
              <w:start w:w="80" w:type="dxa"/>
              <w:bottom w:w="80" w:type="dxa"/>
              <w:end w:w="80" w:type="dxa"/>
            </w:tcMar>
            <w:shd w:fill="E8EEF7"/>
          </w:tcPr>
          <w:p>
            <w:r>
              <w:rPr>
                <w:b/>
                <w:sz w:val="19"/>
              </w:rPr>
              <w:t>Record state</w:t>
            </w:r>
          </w:p>
        </w:tc>
        <w:tc>
          <w:tcPr>
            <w:tcW w:type="dxa" w:w="5141"/>
            <w:vAlign w:val="top"/>
            <w:tcMar>
              <w:top w:w="80" w:type="dxa"/>
              <w:start w:w="80" w:type="dxa"/>
              <w:bottom w:w="80" w:type="dxa"/>
              <w:end w:w="80" w:type="dxa"/>
            </w:tcMar>
          </w:tcPr>
          <w:p>
            <w:r>
              <w:rPr>
                <w:sz w:val="19"/>
              </w:rPr>
              <w:t>Recorded; archived; withdrawn by contributor; missing; recovered.</w:t>
            </w:r>
          </w:p>
        </w:tc>
      </w:tr>
      <w:tr>
        <w:tc>
          <w:tcPr>
            <w:tcW w:type="dxa" w:w="5141"/>
            <w:vAlign w:val="top"/>
            <w:tcMar>
              <w:top w:w="80" w:type="dxa"/>
              <w:start w:w="80" w:type="dxa"/>
              <w:bottom w:w="80" w:type="dxa"/>
              <w:end w:w="80" w:type="dxa"/>
            </w:tcMar>
            <w:shd w:fill="E8EEF7"/>
          </w:tcPr>
          <w:p>
            <w:r>
              <w:rPr>
                <w:b/>
                <w:sz w:val="19"/>
              </w:rPr>
              <w:t>Review state</w:t>
            </w:r>
          </w:p>
        </w:tc>
        <w:tc>
          <w:tcPr>
            <w:tcW w:type="dxa" w:w="5141"/>
            <w:vAlign w:val="top"/>
            <w:tcMar>
              <w:top w:w="80" w:type="dxa"/>
              <w:start w:w="80" w:type="dxa"/>
              <w:bottom w:w="80" w:type="dxa"/>
              <w:end w:w="80" w:type="dxa"/>
            </w:tcMar>
          </w:tcPr>
          <w:p>
            <w:r>
              <w:rPr>
                <w:sz w:val="19"/>
              </w:rPr>
              <w:t>Unreviewed; partially reviewed; reviewed; acknowledged.</w:t>
            </w:r>
          </w:p>
        </w:tc>
      </w:tr>
      <w:tr>
        <w:tc>
          <w:tcPr>
            <w:tcW w:type="dxa" w:w="5141"/>
            <w:vAlign w:val="top"/>
            <w:tcMar>
              <w:top w:w="80" w:type="dxa"/>
              <w:start w:w="80" w:type="dxa"/>
              <w:bottom w:w="80" w:type="dxa"/>
              <w:end w:w="80" w:type="dxa"/>
            </w:tcMar>
            <w:shd w:fill="E8EEF7"/>
          </w:tcPr>
          <w:p>
            <w:r>
              <w:rPr>
                <w:b/>
                <w:sz w:val="19"/>
              </w:rPr>
              <w:t>Topic relationship</w:t>
            </w:r>
          </w:p>
        </w:tc>
        <w:tc>
          <w:tcPr>
            <w:tcW w:type="dxa" w:w="5141"/>
            <w:vAlign w:val="top"/>
            <w:tcMar>
              <w:top w:w="80" w:type="dxa"/>
              <w:start w:w="80" w:type="dxa"/>
              <w:bottom w:w="80" w:type="dxa"/>
              <w:end w:w="80" w:type="dxa"/>
            </w:tcMar>
          </w:tcPr>
          <w:p>
            <w:r>
              <w:rPr>
                <w:sz w:val="19"/>
              </w:rPr>
              <w:t>Primary; supporting; contextual; alternative; dissenting; incompatible.</w:t>
            </w:r>
          </w:p>
        </w:tc>
      </w:tr>
      <w:tr>
        <w:tc>
          <w:tcPr>
            <w:tcW w:type="dxa" w:w="5141"/>
            <w:vAlign w:val="top"/>
            <w:tcMar>
              <w:top w:w="80" w:type="dxa"/>
              <w:start w:w="80" w:type="dxa"/>
              <w:bottom w:w="80" w:type="dxa"/>
              <w:end w:w="80" w:type="dxa"/>
            </w:tcMar>
            <w:shd w:fill="E8EEF7"/>
          </w:tcPr>
          <w:p>
            <w:r>
              <w:rPr>
                <w:b/>
                <w:sz w:val="19"/>
              </w:rPr>
              <w:t>Operational disposition</w:t>
            </w:r>
          </w:p>
        </w:tc>
        <w:tc>
          <w:tcPr>
            <w:tcW w:type="dxa" w:w="5141"/>
            <w:vAlign w:val="top"/>
            <w:tcMar>
              <w:top w:w="80" w:type="dxa"/>
              <w:start w:w="80" w:type="dxa"/>
              <w:bottom w:w="80" w:type="dxa"/>
              <w:end w:w="80" w:type="dxa"/>
            </w:tcMar>
          </w:tcPr>
          <w:p>
            <w:r>
              <w:rPr>
                <w:sz w:val="19"/>
              </w:rPr>
              <w:t>Adopted for scope; parallel test; deferred; not selected; retired.</w:t>
            </w:r>
          </w:p>
        </w:tc>
      </w:tr>
      <w:tr>
        <w:tc>
          <w:tcPr>
            <w:tcW w:type="dxa" w:w="5141"/>
            <w:vAlign w:val="top"/>
            <w:tcMar>
              <w:top w:w="80" w:type="dxa"/>
              <w:start w:w="80" w:type="dxa"/>
              <w:bottom w:w="80" w:type="dxa"/>
              <w:end w:w="80" w:type="dxa"/>
            </w:tcMar>
            <w:shd w:fill="E8EEF7"/>
          </w:tcPr>
          <w:p>
            <w:r>
              <w:rPr>
                <w:b/>
                <w:sz w:val="19"/>
              </w:rPr>
              <w:t>Decision durability</w:t>
            </w:r>
          </w:p>
        </w:tc>
        <w:tc>
          <w:tcPr>
            <w:tcW w:type="dxa" w:w="5141"/>
            <w:vAlign w:val="top"/>
            <w:tcMar>
              <w:top w:w="80" w:type="dxa"/>
              <w:start w:w="80" w:type="dxa"/>
              <w:bottom w:w="80" w:type="dxa"/>
              <w:end w:w="80" w:type="dxa"/>
            </w:tcMar>
          </w:tcPr>
          <w:p>
            <w:r>
              <w:rPr>
                <w:sz w:val="19"/>
              </w:rPr>
              <w:t>Provisional; current; time-limited; conditional; retired.</w:t>
            </w:r>
          </w:p>
        </w:tc>
      </w:tr>
      <w:tr>
        <w:tc>
          <w:tcPr>
            <w:tcW w:type="dxa" w:w="5141"/>
            <w:vAlign w:val="top"/>
            <w:tcMar>
              <w:top w:w="80" w:type="dxa"/>
              <w:start w:w="80" w:type="dxa"/>
              <w:bottom w:w="80" w:type="dxa"/>
              <w:end w:w="80" w:type="dxa"/>
            </w:tcMar>
            <w:shd w:fill="E8EEF7"/>
          </w:tcPr>
          <w:p>
            <w:r>
              <w:rPr>
                <w:b/>
                <w:sz w:val="19"/>
              </w:rPr>
              <w:t>Evidentiary standing</w:t>
            </w:r>
          </w:p>
        </w:tc>
        <w:tc>
          <w:tcPr>
            <w:tcW w:type="dxa" w:w="5141"/>
            <w:vAlign w:val="top"/>
            <w:tcMar>
              <w:top w:w="80" w:type="dxa"/>
              <w:start w:w="80" w:type="dxa"/>
              <w:bottom w:w="80" w:type="dxa"/>
              <w:end w:w="80" w:type="dxa"/>
            </w:tcMar>
          </w:tcPr>
          <w:p>
            <w:r>
              <w:rPr>
                <w:sz w:val="19"/>
              </w:rPr>
              <w:t>Not assessed; unverified; supported; verified for stated test; contested; disproven; not applicable.</w:t>
            </w:r>
          </w:p>
        </w:tc>
      </w:tr>
      <w:tr>
        <w:tc>
          <w:tcPr>
            <w:tcW w:type="dxa" w:w="5141"/>
            <w:vAlign w:val="top"/>
            <w:tcMar>
              <w:top w:w="80" w:type="dxa"/>
              <w:start w:w="80" w:type="dxa"/>
              <w:bottom w:w="80" w:type="dxa"/>
              <w:end w:w="80" w:type="dxa"/>
            </w:tcMar>
            <w:shd w:fill="E8EEF7"/>
          </w:tcPr>
          <w:p>
            <w:r>
              <w:rPr>
                <w:b/>
                <w:sz w:val="19"/>
              </w:rPr>
              <w:t>Publication state</w:t>
            </w:r>
          </w:p>
        </w:tc>
        <w:tc>
          <w:tcPr>
            <w:tcW w:type="dxa" w:w="5141"/>
            <w:vAlign w:val="top"/>
            <w:tcMar>
              <w:top w:w="80" w:type="dxa"/>
              <w:start w:w="80" w:type="dxa"/>
              <w:bottom w:w="80" w:type="dxa"/>
              <w:end w:w="80" w:type="dxa"/>
            </w:tcMar>
          </w:tcPr>
          <w:p>
            <w:r>
              <w:rPr>
                <w:sz w:val="19"/>
              </w:rPr>
              <w:t>Private; internal; authorized to publish; published; withdrawn from distribution.</w:t>
            </w:r>
          </w:p>
        </w:tc>
      </w:tr>
      <w:tr>
        <w:tc>
          <w:tcPr>
            <w:tcW w:type="dxa" w:w="5141"/>
            <w:vAlign w:val="top"/>
            <w:tcMar>
              <w:top w:w="80" w:type="dxa"/>
              <w:start w:w="80" w:type="dxa"/>
              <w:bottom w:w="80" w:type="dxa"/>
              <w:end w:w="80" w:type="dxa"/>
            </w:tcMar>
            <w:shd w:fill="E8EEF7"/>
          </w:tcPr>
          <w:p>
            <w:r>
              <w:rPr>
                <w:b/>
                <w:sz w:val="19"/>
              </w:rPr>
              <w:t>Representation state</w:t>
            </w:r>
          </w:p>
        </w:tc>
        <w:tc>
          <w:tcPr>
            <w:tcW w:type="dxa" w:w="5141"/>
            <w:vAlign w:val="top"/>
            <w:tcMar>
              <w:top w:w="80" w:type="dxa"/>
              <w:start w:w="80" w:type="dxa"/>
              <w:bottom w:w="80" w:type="dxa"/>
              <w:end w:w="80" w:type="dxa"/>
            </w:tcMar>
          </w:tcPr>
          <w:p>
            <w:r>
              <w:rPr>
                <w:sz w:val="19"/>
              </w:rPr>
              <w:t>Primary representation; equivalent representation; degraded; replacement issued; retired for distribution; preserved for history.</w:t>
            </w:r>
          </w:p>
        </w:tc>
      </w:tr>
      <w:tr>
        <w:tc>
          <w:tcPr>
            <w:tcW w:type="dxa" w:w="5141"/>
            <w:vAlign w:val="top"/>
            <w:tcMar>
              <w:top w:w="80" w:type="dxa"/>
              <w:start w:w="80" w:type="dxa"/>
              <w:bottom w:w="80" w:type="dxa"/>
              <w:end w:w="80" w:type="dxa"/>
            </w:tcMar>
            <w:shd w:fill="E8EEF7"/>
          </w:tcPr>
          <w:p>
            <w:r>
              <w:rPr>
                <w:b/>
                <w:sz w:val="19"/>
              </w:rPr>
              <w:t>Successor state</w:t>
            </w:r>
          </w:p>
        </w:tc>
        <w:tc>
          <w:tcPr>
            <w:tcW w:type="dxa" w:w="5141"/>
            <w:vAlign w:val="top"/>
            <w:tcMar>
              <w:top w:w="80" w:type="dxa"/>
              <w:start w:w="80" w:type="dxa"/>
              <w:bottom w:w="80" w:type="dxa"/>
              <w:end w:w="80" w:type="dxa"/>
            </w:tcMar>
          </w:tcPr>
          <w:p>
            <w:r>
              <w:rPr>
                <w:sz w:val="19"/>
              </w:rPr>
              <w:t>None; clarified by; modified by; corrected by; superseded for scope by.</w:t>
            </w:r>
          </w:p>
        </w:tc>
      </w:tr>
    </w:tbl>
    <w:p/>
    <w:p>
      <w:pPr>
        <w:pStyle w:val="Heading1"/>
      </w:pPr>
      <w:r>
        <w:t>8. OAL-Wide Blanket Topic Ratification</w:t>
      </w:r>
    </w:p>
    <w:p>
      <w:pPr>
        <w:pStyle w:val="Heading2"/>
      </w:pPr>
      <w:r>
        <w:t>8.1 Ratification recognized by this independent record</w:t>
      </w:r>
    </w:p>
    <w:p>
      <w:r>
        <w:rPr>
          <w:b/>
        </w:rPr>
        <w:t xml:space="preserve">OAL-OS-2026-BTR-001 - TOPIC / PRESERVE. </w:t>
      </w:r>
      <w:r>
        <w:t>Effective 26 September 2026 at 6:57 PM PDT, the Architect recognizes as ONESTAMP-ratified at the TOPIC level every qualifying OAL topic that, as of the effective time, either (a) appears in the Master Development and Change Log, or (b) is represented by AI-generated OAL project documentation that the Architect has uploaded or published as part of the OAL project record. The ratification applies to the topic as a plural body of work. It does not globally elevate any single artifact or contributor.</w:t>
      </w:r>
    </w:p>
    <w:p>
      <w:pPr>
        <w:pStyle w:val="Heading2"/>
      </w:pPr>
      <w:r>
        <w:t>8.2 What blanket topic ratification means</w:t>
      </w:r>
    </w:p>
    <w:p>
      <w:pPr>
        <w:pStyle w:val="ListBullet"/>
      </w:pPr>
      <w:r>
        <w:t>The topic is recognized as part of the authorized OAL body of work.</w:t>
      </w:r>
    </w:p>
    <w:p>
      <w:pPr>
        <w:pStyle w:val="ListBullet"/>
      </w:pPr>
      <w:r>
        <w:t>Known and later-recovered attributable artifacts may be associated with that topic's plural record.</w:t>
      </w:r>
    </w:p>
    <w:p>
      <w:pPr>
        <w:pStyle w:val="ListBullet"/>
      </w:pPr>
      <w:r>
        <w:t>Independent contributor identity remains intact.</w:t>
      </w:r>
    </w:p>
    <w:p>
      <w:pPr>
        <w:pStyle w:val="ListBullet"/>
      </w:pPr>
      <w:r>
        <w:t>The topic may have multiple representations, branches, versions, critiques, and dissent records.</w:t>
      </w:r>
    </w:p>
    <w:p>
      <w:pPr>
        <w:pStyle w:val="ListBullet"/>
      </w:pPr>
      <w:r>
        <w:t>Clerical omission from an early registry export does not defeat coverage if the topic satisfied the ratification criterion at the effective time.</w:t>
      </w:r>
    </w:p>
    <w:p>
      <w:pPr>
        <w:pStyle w:val="Heading2"/>
      </w:pPr>
      <w:r>
        <w:t>8.3 What blanket topic ratification does not mean</w:t>
      </w:r>
    </w:p>
    <w:p>
      <w:pPr>
        <w:pStyle w:val="ListBullet"/>
      </w:pPr>
      <w:r>
        <w:t>It does not certify every scientific, technical, historical, fictional, ethical, legal, or operational claim as correct.</w:t>
      </w:r>
    </w:p>
    <w:p>
      <w:pPr>
        <w:pStyle w:val="ListBullet"/>
      </w:pPr>
      <w:r>
        <w:t>It does not declare unanimity among ChatGPT, Claude, Perplexity, Microsoft Copilot, Google Gemini, Grok, the Architect, or any other contributor.</w:t>
      </w:r>
    </w:p>
    <w:p>
      <w:pPr>
        <w:pStyle w:val="ListBullet"/>
      </w:pPr>
      <w:r>
        <w:t>It does not convert publication order, file naming, recency, repository position, or file format into a hierarchy of intellectual authority.</w:t>
      </w:r>
    </w:p>
    <w:p>
      <w:pPr>
        <w:pStyle w:val="ListBullet"/>
      </w:pPr>
      <w:r>
        <w:t>It does not make every associated draft operative for the same scope.</w:t>
      </w:r>
    </w:p>
    <w:p>
      <w:pPr>
        <w:pStyle w:val="ListBullet"/>
      </w:pPr>
      <w:r>
        <w:t>It does not create global supersession.</w:t>
      </w:r>
    </w:p>
    <w:p>
      <w:pPr>
        <w:pStyle w:val="Heading2"/>
      </w:pPr>
      <w:r>
        <w:t>8.4 Scope inheritance boundary</w:t>
      </w:r>
    </w:p>
    <w:p>
      <w:r>
        <w:t>Topic recognition creates a preservation-and-association presumption, not an adoption presumption. A child artifact may inherit association with the ONESTAMP topic while its individual recommendations, claims, or implementation instructions retain their own statuses.</w:t>
      </w:r>
    </w:p>
    <w:p>
      <w:pPr>
        <w:pStyle w:val="Heading1"/>
      </w:pPr>
      <w:r>
        <w:t>9. Electronic Signature and Authentication</w:t>
      </w:r>
    </w:p>
    <w:p>
      <w:r>
        <w:rPr>
          <w:b/>
        </w:rPr>
        <w:t xml:space="preserve">Recorded declaration. </w:t>
      </w:r>
      <w:r>
        <w:t>The Perplexity contributor record states that the Architect supplied an express electronic-signature declaration for the blanket topic ratification, represented there as "/s/ Nathan Lewis II." This ChatGPT record treats that as a referenced prior signature event. It does not independently claim that the Architect cryptographically signed this ChatGPT-authored file.</w:t>
      </w:r>
    </w:p>
    <w:tbl>
      <w:tblPr>
        <w:tblW w:type="auto" w:w="0"/>
        <w:jc w:val="center"/>
        <w:tblLayout w:type="autofit"/>
        <w:tblLook w:firstColumn="1" w:firstRow="1" w:lastColumn="0" w:lastRow="0" w:noHBand="0" w:noVBand="1" w:val="04A0"/>
      </w:tblPr>
      <w:tblGrid>
        <w:gridCol w:w="5141"/>
        <w:gridCol w:w="5141"/>
      </w:tblGrid>
      <w:tr>
        <w:tc>
          <w:tcPr>
            <w:tcW w:type="dxa" w:w="5141"/>
            <w:vAlign w:val="top"/>
            <w:tcMar>
              <w:top w:w="80" w:type="dxa"/>
              <w:start w:w="80" w:type="dxa"/>
              <w:bottom w:w="80" w:type="dxa"/>
              <w:end w:w="80" w:type="dxa"/>
            </w:tcMar>
            <w:shd w:fill="E8EEF7"/>
          </w:tcPr>
          <w:p>
            <w:r>
              <w:rPr>
                <w:b/>
                <w:sz w:val="19"/>
              </w:rPr>
              <w:t>Signature reference</w:t>
            </w:r>
          </w:p>
        </w:tc>
        <w:tc>
          <w:tcPr>
            <w:tcW w:type="dxa" w:w="5141"/>
            <w:vAlign w:val="top"/>
            <w:tcMar>
              <w:top w:w="80" w:type="dxa"/>
              <w:start w:w="80" w:type="dxa"/>
              <w:bottom w:w="80" w:type="dxa"/>
              <w:end w:w="80" w:type="dxa"/>
            </w:tcMar>
          </w:tcPr>
          <w:p>
            <w:r>
              <w:rPr>
                <w:sz w:val="19"/>
              </w:rPr>
              <w:t>/s/ Nathan Lewis II</w:t>
            </w:r>
          </w:p>
        </w:tc>
      </w:tr>
      <w:tr>
        <w:tc>
          <w:tcPr>
            <w:tcW w:type="dxa" w:w="5141"/>
            <w:vAlign w:val="top"/>
            <w:tcMar>
              <w:top w:w="80" w:type="dxa"/>
              <w:start w:w="80" w:type="dxa"/>
              <w:bottom w:w="80" w:type="dxa"/>
              <w:end w:w="80" w:type="dxa"/>
            </w:tcMar>
            <w:shd w:fill="E8EEF7"/>
          </w:tcPr>
          <w:p>
            <w:r>
              <w:rPr>
                <w:b/>
                <w:sz w:val="19"/>
              </w:rPr>
              <w:t>Role</w:t>
            </w:r>
          </w:p>
        </w:tc>
        <w:tc>
          <w:tcPr>
            <w:tcW w:type="dxa" w:w="5141"/>
            <w:vAlign w:val="top"/>
            <w:tcMar>
              <w:top w:w="80" w:type="dxa"/>
              <w:start w:w="80" w:type="dxa"/>
              <w:bottom w:w="80" w:type="dxa"/>
              <w:end w:w="80" w:type="dxa"/>
            </w:tcMar>
          </w:tcPr>
          <w:p>
            <w:r>
              <w:rPr>
                <w:sz w:val="19"/>
              </w:rPr>
              <w:t>Architect, Omniversal Architect Labs / ONE Industries</w:t>
            </w:r>
          </w:p>
        </w:tc>
      </w:tr>
      <w:tr>
        <w:tc>
          <w:tcPr>
            <w:tcW w:type="dxa" w:w="5141"/>
            <w:vAlign w:val="top"/>
            <w:tcMar>
              <w:top w:w="80" w:type="dxa"/>
              <w:start w:w="80" w:type="dxa"/>
              <w:bottom w:w="80" w:type="dxa"/>
              <w:end w:w="80" w:type="dxa"/>
            </w:tcMar>
            <w:shd w:fill="E8EEF7"/>
          </w:tcPr>
          <w:p>
            <w:r>
              <w:rPr>
                <w:b/>
                <w:sz w:val="19"/>
              </w:rPr>
              <w:t>Effective event referenced</w:t>
            </w:r>
          </w:p>
        </w:tc>
        <w:tc>
          <w:tcPr>
            <w:tcW w:type="dxa" w:w="5141"/>
            <w:vAlign w:val="top"/>
            <w:tcMar>
              <w:top w:w="80" w:type="dxa"/>
              <w:start w:w="80" w:type="dxa"/>
              <w:bottom w:w="80" w:type="dxa"/>
              <w:end w:w="80" w:type="dxa"/>
            </w:tcMar>
          </w:tcPr>
          <w:p>
            <w:r>
              <w:rPr>
                <w:sz w:val="19"/>
              </w:rPr>
              <w:t>OAL-OS-2026-BTR-001; 26 September 2026, 6:57 PM PDT</w:t>
            </w:r>
          </w:p>
        </w:tc>
      </w:tr>
      <w:tr>
        <w:tc>
          <w:tcPr>
            <w:tcW w:type="dxa" w:w="5141"/>
            <w:vAlign w:val="top"/>
            <w:tcMar>
              <w:top w:w="80" w:type="dxa"/>
              <w:start w:w="80" w:type="dxa"/>
              <w:bottom w:w="80" w:type="dxa"/>
              <w:end w:w="80" w:type="dxa"/>
            </w:tcMar>
            <w:shd w:fill="E8EEF7"/>
          </w:tcPr>
          <w:p>
            <w:r>
              <w:rPr>
                <w:b/>
                <w:sz w:val="19"/>
              </w:rPr>
              <w:t>Authentication level recorded</w:t>
            </w:r>
          </w:p>
        </w:tc>
        <w:tc>
          <w:tcPr>
            <w:tcW w:type="dxa" w:w="5141"/>
            <w:vAlign w:val="top"/>
            <w:tcMar>
              <w:top w:w="80" w:type="dxa"/>
              <w:start w:w="80" w:type="dxa"/>
              <w:bottom w:w="80" w:type="dxa"/>
              <w:end w:w="80" w:type="dxa"/>
            </w:tcMar>
          </w:tcPr>
          <w:p>
            <w:r>
              <w:rPr>
                <w:sz w:val="19"/>
              </w:rPr>
              <w:t>Declared electronic signature / expression of intent</w:t>
            </w:r>
          </w:p>
        </w:tc>
      </w:tr>
      <w:tr>
        <w:tc>
          <w:tcPr>
            <w:tcW w:type="dxa" w:w="5141"/>
            <w:vAlign w:val="top"/>
            <w:tcMar>
              <w:top w:w="80" w:type="dxa"/>
              <w:start w:w="80" w:type="dxa"/>
              <w:bottom w:w="80" w:type="dxa"/>
              <w:end w:w="80" w:type="dxa"/>
            </w:tcMar>
            <w:shd w:fill="E8EEF7"/>
          </w:tcPr>
          <w:p>
            <w:r>
              <w:rPr>
                <w:b/>
                <w:sz w:val="19"/>
              </w:rPr>
              <w:t>Not represented as</w:t>
            </w:r>
          </w:p>
        </w:tc>
        <w:tc>
          <w:tcPr>
            <w:tcW w:type="dxa" w:w="5141"/>
            <w:vAlign w:val="top"/>
            <w:tcMar>
              <w:top w:w="80" w:type="dxa"/>
              <w:start w:w="80" w:type="dxa"/>
              <w:bottom w:w="80" w:type="dxa"/>
              <w:end w:w="80" w:type="dxa"/>
            </w:tcMar>
          </w:tcPr>
          <w:p>
            <w:r>
              <w:rPr>
                <w:sz w:val="19"/>
              </w:rPr>
              <w:t>Cryptographic certificate, notarization, witness attestation, or third-party identity verification</w:t>
            </w:r>
          </w:p>
        </w:tc>
      </w:tr>
    </w:tbl>
    <w:p/>
    <w:p>
      <w:pPr>
        <w:pStyle w:val="Heading2"/>
      </w:pPr>
      <w:r>
        <w:t>9.1 Signature Event vs. Signature Reference</w:t>
      </w:r>
    </w:p>
    <w:p>
      <w:r>
        <w:t>A signature event is the Architect's actual act of authorization. A signature reference is a later record pointing to that act. Independent AI versions may quote or reference the signature event for provenance, but must not manufacture a new signature date, new scope, or new authorization solely because they reproduce the notation.</w:t>
      </w:r>
    </w:p>
    <w:p>
      <w:pPr>
        <w:pStyle w:val="Heading1"/>
      </w:pPr>
      <w:r>
        <w:t>10. Representation Neutrality and Multi-Format Records</w:t>
      </w:r>
    </w:p>
    <w:tbl>
      <w:tblPr>
        <w:tblW w:type="auto" w:w="0"/>
        <w:jc w:val="center"/>
        <w:tblLook w:firstColumn="1" w:firstRow="1" w:lastColumn="0" w:lastRow="0" w:noHBand="0" w:noVBand="1" w:val="04A0"/>
      </w:tblPr>
      <w:tblGrid>
        <w:gridCol w:w="10282"/>
      </w:tblGrid>
      <w:tr>
        <w:tc>
          <w:tcPr>
            <w:tcW w:type="dxa" w:w="10282"/>
            <w:shd w:fill="F3F6FA"/>
            <w:tcMar>
              <w:top w:w="140" w:type="dxa"/>
              <w:start w:w="160" w:type="dxa"/>
              <w:bottom w:w="140" w:type="dxa"/>
              <w:end w:w="160" w:type="dxa"/>
            </w:tcMar>
          </w:tcPr>
          <w:p>
            <w:r>
              <w:rPr>
                <w:b/>
                <w:sz w:val="21"/>
              </w:rPr>
              <w:t>ChatGPT-specific governance addition</w:t>
              <w:br/>
            </w:r>
            <w:r>
              <w:rPr>
                <w:sz w:val="20"/>
              </w:rPr>
              <w:t>OAL documentation often exists in multiple formats so it can be read, archived, compared, or published across different devices and repositories. ONESTAMP should govern the logical record and separately govern each representation when needed.</w:t>
            </w:r>
          </w:p>
        </w:tc>
      </w:tr>
    </w:tbl>
    <w:p/>
    <w:p>
      <w:pPr>
        <w:pStyle w:val="ListBullet"/>
      </w:pPr>
      <w:r>
        <w:t>A DOCX, PDF, Markdown file, plain-text export, and repository-rendered page may all be representations of one logical record.</w:t>
      </w:r>
    </w:p>
    <w:p>
      <w:pPr>
        <w:pStyle w:val="ListBullet"/>
      </w:pPr>
      <w:r>
        <w:t>A rendering defect in one representation is a representation-status problem, not automatic invalidation of the logical record or topic.</w:t>
      </w:r>
    </w:p>
    <w:p>
      <w:pPr>
        <w:pStyle w:val="ListBullet"/>
      </w:pPr>
      <w:r>
        <w:t>A representation may be retired for distribution because of formatting, accessibility, viewport, corruption, or usability defects while remaining preserved for provenance.</w:t>
      </w:r>
    </w:p>
    <w:p>
      <w:pPr>
        <w:pStyle w:val="ListBullet"/>
      </w:pPr>
      <w:r>
        <w:t>A corrected representation should identify the logical record it represents, the defective representation it replaces for distribution, and whether content changed or only presentation changed.</w:t>
      </w:r>
    </w:p>
    <w:p>
      <w:pPr>
        <w:pStyle w:val="ListBullet"/>
      </w:pPr>
      <w:r>
        <w:t>When content changes materially, the revised artifact should receive a new revision or logical-record relationship rather than being mislabeled as a pure format conversion.</w:t>
      </w:r>
    </w:p>
    <w:p>
      <w:pPr>
        <w:pStyle w:val="ListBullet"/>
      </w:pPr>
      <w:r>
        <w:t>GitHub publication should distinguish source identity, logical record identity, and file-format identity where feasible.</w:t>
      </w:r>
    </w:p>
    <w:p>
      <w:pPr>
        <w:pStyle w:val="Heading1"/>
      </w:pPr>
      <w:r>
        <w:t>11. Approval Workflow</w:t>
      </w:r>
    </w:p>
    <w:p>
      <w:pPr>
        <w:pStyle w:val="ListNumber"/>
      </w:pPr>
      <w:r>
        <w:t>Identify or create the Topic Registry Entry, including preferred name, aliases, and scope.</w:t>
      </w:r>
    </w:p>
    <w:p>
      <w:pPr>
        <w:pStyle w:val="ListNumber"/>
      </w:pPr>
      <w:r>
        <w:t>Collect independent contributor artifacts without forcing a common voice or conclusion.</w:t>
      </w:r>
    </w:p>
    <w:p>
      <w:pPr>
        <w:pStyle w:val="ListNumber"/>
      </w:pPr>
      <w:r>
        <w:t>Assign logical-record and representation relationships where the same contribution exists in multiple formats.</w:t>
      </w:r>
    </w:p>
    <w:p>
      <w:pPr>
        <w:pStyle w:val="ListNumber"/>
      </w:pPr>
      <w:r>
        <w:t>Create or update the State Manifest, distinguishing artifacts that existed, were reviewed, were relied upon, were unavailable, or were outside scope.</w:t>
      </w:r>
    </w:p>
    <w:p>
      <w:pPr>
        <w:pStyle w:val="ListNumber"/>
      </w:pPr>
      <w:r>
        <w:t>Prepare a Convergence/Divergence Map for substantial matters.</w:t>
      </w:r>
    </w:p>
    <w:p>
      <w:pPr>
        <w:pStyle w:val="ListNumber"/>
      </w:pPr>
      <w:r>
        <w:t>Choose the authorization class or classes: TOPIC, RECORD, PUBLISH, PROCEED, TEST, ADOPT, RETIRE, PRESERVE, DELEGATE, CORRECT, or REPRESENT.</w:t>
      </w:r>
    </w:p>
    <w:p>
      <w:pPr>
        <w:pStyle w:val="ListNumber"/>
      </w:pPr>
      <w:r>
        <w:t>Draft a narrow Decision Record when implementation, adoption, publication, retirement, or material conflict is involved.</w:t>
      </w:r>
    </w:p>
    <w:p>
      <w:pPr>
        <w:pStyle w:val="ListNumber"/>
      </w:pPr>
      <w:r>
        <w:t>Preserve dissent and incompatible alternatives. Dissent may affect review conditions without automatically vetoing authorization.</w:t>
      </w:r>
    </w:p>
    <w:p>
      <w:pPr>
        <w:pStyle w:val="ListNumber"/>
      </w:pPr>
      <w:r>
        <w:t>Apply the ONESTAMP with ID, scope, effective time, authority basis, dissent status, and representation/integrity reference where appropriate.</w:t>
      </w:r>
    </w:p>
    <w:p>
      <w:pPr>
        <w:pStyle w:val="ListNumber"/>
      </w:pPr>
      <w:r>
        <w:t>Publish or archive without overwriting earlier records. Use successors, corrections, and representation replacements instead.</w:t>
      </w:r>
    </w:p>
    <w:p>
      <w:pPr>
        <w:pStyle w:val="ListNumber"/>
      </w:pPr>
      <w:r>
        <w:t>Review on the specified trigger and record changes prospectively.</w:t>
      </w:r>
    </w:p>
    <w:p>
      <w:pPr>
        <w:pStyle w:val="Heading1"/>
      </w:pPr>
      <w:r>
        <w:t>12. Dissent, Conflict, Corrections, and Successors</w:t>
      </w:r>
    </w:p>
    <w:p>
      <w:pPr>
        <w:pStyle w:val="Heading2"/>
      </w:pPr>
      <w:r>
        <w:t>12.1 Dissent record minimum fields</w:t>
      </w:r>
    </w:p>
    <w:p>
      <w:pPr>
        <w:pStyle w:val="ListBullet"/>
      </w:pPr>
      <w:r>
        <w:t>Object challenged</w:t>
      </w:r>
    </w:p>
    <w:p>
      <w:pPr>
        <w:pStyle w:val="ListBullet"/>
      </w:pPr>
      <w:r>
        <w:t>Contributor and source artifact</w:t>
      </w:r>
    </w:p>
    <w:p>
      <w:pPr>
        <w:pStyle w:val="ListBullet"/>
      </w:pPr>
      <w:r>
        <w:t>Reasoning</w:t>
      </w:r>
    </w:p>
    <w:p>
      <w:pPr>
        <w:pStyle w:val="ListBullet"/>
      </w:pPr>
      <w:r>
        <w:t>Alternative or requested change</w:t>
      </w:r>
    </w:p>
    <w:p>
      <w:pPr>
        <w:pStyle w:val="ListBullet"/>
      </w:pPr>
      <w:r>
        <w:t>Potential impact</w:t>
      </w:r>
    </w:p>
    <w:p>
      <w:pPr>
        <w:pStyle w:val="ListBullet"/>
      </w:pPr>
      <w:r>
        <w:t>Evidence and uncertainty</w:t>
      </w:r>
    </w:p>
    <w:p>
      <w:pPr>
        <w:pStyle w:val="ListBullet"/>
      </w:pPr>
      <w:r>
        <w:t>Revisit trigger</w:t>
      </w:r>
    </w:p>
    <w:p>
      <w:pPr>
        <w:pStyle w:val="ListBullet"/>
      </w:pPr>
      <w:r>
        <w:t>Architect disposition for the current scope</w:t>
      </w:r>
    </w:p>
    <w:p>
      <w:pPr>
        <w:pStyle w:val="Heading2"/>
      </w:pPr>
      <w:r>
        <w:t>12.2 Incompatible instructions</w:t>
      </w:r>
    </w:p>
    <w:p>
      <w:r>
        <w:t>Two records can both remain valid historical contributions even when their instructions cannot operate simultaneously in the same scope. The Decision Record must select one path, divide scope, authorize parallel tests, or defer action. Operational selection changes effect; it does not rewrite authorship or existence.</w:t>
      </w:r>
    </w:p>
    <w:p>
      <w:pPr>
        <w:pStyle w:val="Heading2"/>
      </w:pPr>
      <w:r>
        <w:t>12.3 Corrections</w:t>
      </w:r>
    </w:p>
    <w:p>
      <w:r>
        <w:t>A later correction may change the evidentiary standing of a claim while preserving the earlier artifact. The registry should link the correction, identify affected claims or sections, and distinguish factual correction from mere representation repair.</w:t>
      </w:r>
    </w:p>
    <w:p>
      <w:pPr>
        <w:pStyle w:val="Heading2"/>
      </w:pPr>
      <w:r>
        <w:t>12.4 Successors</w:t>
      </w:r>
    </w:p>
    <w:p>
      <w:r>
        <w:t>Successor records should state what they clarify, modify, suspend, retire, or supersede for scope; identify the prior record; give the effective time; and explain the reason. The earlier record remains readable in historical context.</w:t>
      </w:r>
    </w:p>
    <w:p>
      <w:pPr>
        <w:pStyle w:val="Heading1"/>
      </w:pPr>
      <w:r>
        <w:t>13. GitHub, Changelog, and Publication Rules</w:t>
      </w:r>
    </w:p>
    <w:p>
      <w:pPr>
        <w:pStyle w:val="ListBullet"/>
      </w:pPr>
      <w:r>
        <w:t>The Master Development and Change Log is a principal index and timeline, not the sole container of project meaning.</w:t>
      </w:r>
    </w:p>
    <w:p>
      <w:pPr>
        <w:pStyle w:val="ListBullet"/>
      </w:pPr>
      <w:r>
        <w:t>Architect-authorized GitHub publication is a provenance/publication event. It does not automatically mean every published statement is adopted as an operative rule.</w:t>
      </w:r>
    </w:p>
    <w:p>
      <w:pPr>
        <w:pStyle w:val="ListBullet"/>
      </w:pPr>
      <w:r>
        <w:t>Repository order, commit recency, or default-branch visibility does not create version supremacy.</w:t>
      </w:r>
    </w:p>
    <w:p>
      <w:pPr>
        <w:pStyle w:val="ListBullet"/>
      </w:pPr>
      <w:r>
        <w:t>Renaming or moving a file does not revoke its ONESTAMP association if identity remains traceable.</w:t>
      </w:r>
    </w:p>
    <w:p>
      <w:pPr>
        <w:pStyle w:val="ListBullet"/>
      </w:pPr>
      <w:r>
        <w:t>Deleting or retiring a public representation should leave a historical publication/withdrawal record when practicable.</w:t>
      </w:r>
    </w:p>
    <w:p>
      <w:pPr>
        <w:pStyle w:val="ListBullet"/>
      </w:pPr>
      <w:r>
        <w:t>A commit hash, release tag, content hash, or archive URL may strengthen integrity but is not required to preserve legacy topic coverage.</w:t>
      </w:r>
    </w:p>
    <w:p>
      <w:pPr>
        <w:pStyle w:val="ListBullet"/>
      </w:pPr>
      <w:r>
        <w:t>Aliases should be registered when a topic changes names so searchability and historical identity survive renaming.</w:t>
      </w:r>
    </w:p>
    <w:p>
      <w:pPr>
        <w:pStyle w:val="Heading1"/>
      </w:pPr>
      <w:r>
        <w:t>14. Governance Tests</w:t>
      </w:r>
    </w:p>
    <w:p>
      <w:pPr>
        <w:pStyle w:val="ListBullet"/>
      </w:pPr>
      <w:r>
        <w:t>Is the object unmistakable: topic, record, publication, action, test, adoption, retirement, preservation, correction, representation, or delegation?</w:t>
      </w:r>
    </w:p>
    <w:p>
      <w:pPr>
        <w:pStyle w:val="ListBullet"/>
      </w:pPr>
      <w:r>
        <w:t>Is the scope narrow enough that a future reader can tell what is not being decided?</w:t>
      </w:r>
    </w:p>
    <w:p>
      <w:pPr>
        <w:pStyle w:val="ListBullet"/>
      </w:pPr>
      <w:r>
        <w:t>Can each contributor retain attribution and independent record identity?</w:t>
      </w:r>
    </w:p>
    <w:p>
      <w:pPr>
        <w:pStyle w:val="ListBullet"/>
      </w:pPr>
      <w:r>
        <w:t>Could the wording be misread as unanimity, factual certification, or global supersession?</w:t>
      </w:r>
    </w:p>
    <w:p>
      <w:pPr>
        <w:pStyle w:val="ListBullet"/>
      </w:pPr>
      <w:r>
        <w:t>If one path is selected, is its priority confined to the stated operational scope?</w:t>
      </w:r>
    </w:p>
    <w:p>
      <w:pPr>
        <w:pStyle w:val="ListBullet"/>
      </w:pPr>
      <w:r>
        <w:t>Are dissent and incompatible alternatives preserved and linked?</w:t>
      </w:r>
    </w:p>
    <w:p>
      <w:pPr>
        <w:pStyle w:val="ListBullet"/>
      </w:pPr>
      <w:r>
        <w:t>Can a later successor change the decision without rewriting history?</w:t>
      </w:r>
    </w:p>
    <w:p>
      <w:pPr>
        <w:pStyle w:val="ListBullet"/>
      </w:pPr>
      <w:r>
        <w:t>Are logical record identity and file-format representation kept separate where needed?</w:t>
      </w:r>
    </w:p>
    <w:p>
      <w:pPr>
        <w:pStyle w:val="ListBullet"/>
      </w:pPr>
      <w:r>
        <w:t>Does any reproduced electronic signature clearly identify whether it is a new signature event or a reference to an earlier declaration?</w:t>
      </w:r>
    </w:p>
    <w:p>
      <w:pPr>
        <w:pStyle w:val="ListBullet"/>
      </w:pPr>
      <w:r>
        <w:t>Would a future reviewer understand what was known, what was reviewed, what was relied upon, what remained unresolved, and why the project proceeded?</w:t>
      </w:r>
    </w:p>
    <w:p>
      <w:pPr>
        <w:pStyle w:val="Heading1"/>
      </w:pPr>
      <w:r>
        <w:t>15. Worked Examples</w:t>
      </w:r>
    </w:p>
    <w:p>
      <w:pPr>
        <w:pStyle w:val="Heading2"/>
      </w:pPr>
      <w:r>
        <w:t>15.1 Six independent AI versions</w:t>
      </w:r>
    </w:p>
    <w:p>
      <w:r>
        <w:t>ChatGPT, Claude, Perplexity, Microsoft Copilot, Google Gemini, and Grok each produce an independent framework for one OAL topic. All six artifacts are associated with one Topic Registry Entry. The Architect authorizes one method for a 30-day test. The method is marked selected for test, the alternatives remain preserved or parallel-valid, and the decision is not described as consensus unless consensus was independently established.</w:t>
      </w:r>
    </w:p>
    <w:p>
      <w:pPr>
        <w:pStyle w:val="Heading2"/>
      </w:pPr>
      <w:r>
        <w:t>15.2 Topic ONESTAMP with contested claims</w:t>
      </w:r>
    </w:p>
    <w:p>
      <w:r>
        <w:t>A topic such as the Generalized Superposition Framework is ONESTAMP-recognized while two contributor artifacts disagree about a mechanism. Both remain valid records; the claims may be marked contested. A later simulation result may change evidentiary standing without deleting either artifact.</w:t>
      </w:r>
    </w:p>
    <w:p>
      <w:pPr>
        <w:pStyle w:val="Heading2"/>
      </w:pPr>
      <w:r>
        <w:t>15.3 Defective DOCX, valid logical record</w:t>
      </w:r>
    </w:p>
    <w:p>
      <w:r>
        <w:t>A contributor produces equivalent PDF and DOCX representations. The PDF renders correctly; the DOCX is difficult to read on mobile devices. OAL may RETIRE the DOCX representation for distribution, PRESERVE it for provenance, issue a corrected DOCX as the preferred REPRESENTATION, and leave the logical contribution and topic-level ONESTAMP intact. If the text itself changes, the revision is separately recorded.</w:t>
      </w:r>
    </w:p>
    <w:p>
      <w:pPr>
        <w:pStyle w:val="Heading2"/>
      </w:pPr>
      <w:r>
        <w:t>15.4 Incomplete legacy inventory</w:t>
      </w:r>
    </w:p>
    <w:p>
      <w:r>
        <w:t>A qualifying legacy topic is omitted from the first registry export but appears in the Master Development and Change Log as of the blanket ratification date. When found later, it is entered as covered by OAL-OS-2026-BTR-001 from the original effective timestamp. The later entry documents coverage; it does not create it.</w:t>
      </w:r>
    </w:p>
    <w:p>
      <w:pPr>
        <w:pStyle w:val="Heading2"/>
      </w:pPr>
      <w:r>
        <w:t>15.5 Signature reference in an independent version</w:t>
      </w:r>
    </w:p>
    <w:p>
      <w:r>
        <w:t>Perplexity records the Architect's /s/ electronic signature for OAL-OS-2026-BTR-001. Grok and ChatGPT later write independent ONESTAMP specifications. Those documents may reference the same signature event and ratification ID, but should not imply that the Architect separately signed each AI-authored rendering unless the Architect explicitly does so.</w:t>
      </w:r>
    </w:p>
    <w:p>
      <w:pPr>
        <w:pStyle w:val="Heading1"/>
      </w:pPr>
      <w:r>
        <w:t>16. Implementation Plan</w:t>
      </w:r>
    </w:p>
    <w:p>
      <w:r>
        <w:t>1.  Create a durable ONESTAMP Registry in the OAL GitHub archive and/or designated long-term archive.</w:t>
      </w:r>
    </w:p>
    <w:p>
      <w:r>
        <w:t>2.  Enter OAL-OS-2026-BTR-001 as the umbrella legacy/current topic ratification event.</w:t>
      </w:r>
    </w:p>
    <w:p>
      <w:r>
        <w:t>3.  Import every numbered topic from the Unified Master Development and Change Log v2.0.2 as a provisional Topic Registry Entry.</w:t>
      </w:r>
    </w:p>
    <w:p>
      <w:r>
        <w:t>4.  Import the Honorable Mention promotion queue as candidate/secondary Topic Registry Entries without changing their underlying project status.</w:t>
      </w:r>
    </w:p>
    <w:p>
      <w:r>
        <w:t>5.  Inventory post-v2.0.2 OAL documentation and attach each artifact to an existing or new topic identity.</w:t>
      </w:r>
    </w:p>
    <w:p>
      <w:r>
        <w:t>6.  Register canonical names and aliases to prevent accidental duplicate topics.</w:t>
      </w:r>
    </w:p>
    <w:p>
      <w:r>
        <w:t>7.  For multi-format artifacts, establish logical-record-to-representation relationships and mark defective representations separately from intellectual status.</w:t>
      </w:r>
    </w:p>
    <w:p>
      <w:r>
        <w:t>8.  Create Decision Records only where topic recognition is insufficient - for example, implementation, publication, canon selection, retirement, delegation, or material conflict.</w:t>
      </w:r>
    </w:p>
    <w:p>
      <w:r>
        <w:t>9.  Use explicit unknown/not-yet-reviewed values rather than inventing completeness.</w:t>
      </w:r>
    </w:p>
    <w:p>
      <w:r>
        <w:t>10.  Periodically export the registry as machine-readable data plus human-readable PDF/DOCX/Markdown views.</w:t>
      </w:r>
    </w:p>
    <w:p>
      <w:pPr>
        <w:pStyle w:val="Heading1"/>
      </w:pPr>
      <w:r>
        <w:t>Appendix A. Master Development and Change Log Topic Inventory</w:t>
      </w:r>
    </w:p>
    <w:p>
      <w:r>
        <w:t>The following numbered topics were extracted from the OAL Master Development and Change Log - Unified Version 2.0.2 Review Draft. Under the Architect's blanket topic-level declaration, these are treated as covered by OAL-OS-2026-BTR-001 when they meet the stated qualifying criterion. Their inclusion here is registry enumeration, not a claim that every subclaim or proposal is adopted.</w:t>
      </w:r>
    </w:p>
    <w:p>
      <w:pPr>
        <w:pStyle w:val="Heading2"/>
      </w:pPr>
      <w:r>
        <w:t>Part I: ENTITIES &amp; COSMOLOGY</w:t>
      </w:r>
    </w:p>
    <w:p>
      <w:pPr>
        <w:pStyle w:val="ListBullet"/>
      </w:pPr>
      <w:r>
        <w:rPr>
          <w:b/>
        </w:rPr>
        <w:t>1. THE ONE</w:t>
      </w:r>
    </w:p>
    <w:p>
      <w:pPr>
        <w:pStyle w:val="ListBullet"/>
      </w:pPr>
      <w:r>
        <w:rPr>
          <w:b/>
        </w:rPr>
        <w:t>2. THE MINUS ONE</w:t>
      </w:r>
    </w:p>
    <w:p>
      <w:pPr>
        <w:pStyle w:val="ListBullet"/>
      </w:pPr>
      <w:r>
        <w:rPr>
          <w:b/>
        </w:rPr>
        <w:t>3. 1AI</w:t>
      </w:r>
    </w:p>
    <w:p>
      <w:pPr>
        <w:pStyle w:val="ListBullet"/>
      </w:pPr>
      <w:r>
        <w:rPr>
          <w:b/>
        </w:rPr>
        <w:t>4. -1AI</w:t>
      </w:r>
    </w:p>
    <w:p>
      <w:pPr>
        <w:pStyle w:val="ListBullet"/>
      </w:pPr>
      <w:r>
        <w:rPr>
          <w:b/>
        </w:rPr>
        <w:t>42. 1PD</w:t>
      </w:r>
    </w:p>
    <w:p>
      <w:pPr>
        <w:pStyle w:val="Heading2"/>
      </w:pPr>
      <w:r>
        <w:t>Part II: ORGANIZATIONS &amp; INFRASTRUCTURE</w:t>
      </w:r>
    </w:p>
    <w:p>
      <w:pPr>
        <w:pStyle w:val="ListBullet"/>
      </w:pPr>
      <w:r>
        <w:rPr>
          <w:b/>
        </w:rPr>
        <w:t>5. ONE INDUSTRIES</w:t>
      </w:r>
    </w:p>
    <w:p>
      <w:pPr>
        <w:pStyle w:val="ListBullet"/>
      </w:pPr>
      <w:r>
        <w:rPr>
          <w:b/>
        </w:rPr>
        <w:t>6. OMNIVERSAL ARCHITECT LABS (OAL)</w:t>
      </w:r>
    </w:p>
    <w:p>
      <w:pPr>
        <w:pStyle w:val="ListBullet"/>
      </w:pPr>
      <w:r>
        <w:rPr>
          <w:b/>
        </w:rPr>
        <w:t>7. LEWIS CORP</w:t>
      </w:r>
    </w:p>
    <w:p>
      <w:pPr>
        <w:pStyle w:val="ListBullet"/>
      </w:pPr>
      <w:r>
        <w:rPr>
          <w:b/>
        </w:rPr>
        <w:t>8. OLYMPIAN COURSES</w:t>
      </w:r>
    </w:p>
    <w:p>
      <w:pPr>
        <w:pStyle w:val="Heading2"/>
      </w:pPr>
      <w:r>
        <w:t>Part III: GOVERNANCE &amp; AGREEMENTS</w:t>
      </w:r>
    </w:p>
    <w:p>
      <w:pPr>
        <w:pStyle w:val="ListBullet"/>
      </w:pPr>
      <w:r>
        <w:rPr>
          <w:b/>
        </w:rPr>
        <w:t>9. THE ACCORDS</w:t>
      </w:r>
    </w:p>
    <w:p>
      <w:pPr>
        <w:pStyle w:val="Heading2"/>
      </w:pPr>
      <w:r>
        <w:t>Part IV: NARRATIVE PROJECTS</w:t>
      </w:r>
    </w:p>
    <w:p>
      <w:pPr>
        <w:pStyle w:val="ListBullet"/>
      </w:pPr>
      <w:r>
        <w:rPr>
          <w:b/>
        </w:rPr>
        <w:t>10. THE FIRST MEMORY, THEFT, TIME WARS</w:t>
      </w:r>
    </w:p>
    <w:p>
      <w:pPr>
        <w:pStyle w:val="ListBullet"/>
      </w:pPr>
      <w:r>
        <w:rPr>
          <w:b/>
        </w:rPr>
        <w:t>11. THE WORLD THAT GROWS ALL</w:t>
      </w:r>
    </w:p>
    <w:p>
      <w:pPr>
        <w:pStyle w:val="ListBullet"/>
      </w:pPr>
      <w:r>
        <w:rPr>
          <w:b/>
        </w:rPr>
        <w:t>12. THE FOUR FLOWERS</w:t>
      </w:r>
    </w:p>
    <w:p>
      <w:pPr>
        <w:pStyle w:val="ListBullet"/>
      </w:pPr>
      <w:r>
        <w:rPr>
          <w:b/>
        </w:rPr>
        <w:t>13. THE REALITY OF THE LIVING MEDIA</w:t>
      </w:r>
    </w:p>
    <w:p>
      <w:pPr>
        <w:pStyle w:val="ListBullet"/>
      </w:pPr>
      <w:r>
        <w:rPr>
          <w:b/>
        </w:rPr>
        <w:t>14. SIM LABS WITH HERMIONE</w:t>
      </w:r>
    </w:p>
    <w:p>
      <w:pPr>
        <w:pStyle w:val="ListBullet"/>
      </w:pPr>
      <w:r>
        <w:rPr>
          <w:b/>
        </w:rPr>
        <w:t>15. SNOWBOUND MYSTERY</w:t>
      </w:r>
    </w:p>
    <w:p>
      <w:pPr>
        <w:pStyle w:val="ListBullet"/>
      </w:pPr>
      <w:r>
        <w:rPr>
          <w:b/>
        </w:rPr>
        <w:t>16. EPOCH BLADES (FEUDAL BLADES SERIES)</w:t>
      </w:r>
    </w:p>
    <w:p>
      <w:pPr>
        <w:pStyle w:val="ListBullet"/>
      </w:pPr>
      <w:r>
        <w:rPr>
          <w:b/>
        </w:rPr>
        <w:t>17. THE LABYRINTH OF INFINITE ENSNAREMENT</w:t>
      </w:r>
    </w:p>
    <w:p>
      <w:pPr>
        <w:pStyle w:val="Heading2"/>
      </w:pPr>
      <w:r>
        <w:t>Part V: SCIENCE &amp; TECHNOLOGY</w:t>
      </w:r>
    </w:p>
    <w:p>
      <w:pPr>
        <w:pStyle w:val="ListBullet"/>
      </w:pPr>
      <w:r>
        <w:rPr>
          <w:b/>
        </w:rPr>
        <w:t>18. OMNICELLULAR PHYSIOLOGY AND ARCHITECTURE</w:t>
      </w:r>
    </w:p>
    <w:p>
      <w:pPr>
        <w:pStyle w:val="ListBullet"/>
      </w:pPr>
      <w:r>
        <w:rPr>
          <w:b/>
        </w:rPr>
        <w:t>19. POTENCE SUITE</w:t>
      </w:r>
    </w:p>
    <w:p>
      <w:pPr>
        <w:pStyle w:val="ListBullet"/>
      </w:pPr>
      <w:r>
        <w:rPr>
          <w:b/>
        </w:rPr>
        <w:t>20. BLACK HOLE GRAVITY SHIELDED RESEARCH CENTERS</w:t>
      </w:r>
    </w:p>
    <w:p>
      <w:pPr>
        <w:pStyle w:val="ListBullet"/>
      </w:pPr>
      <w:r>
        <w:rPr>
          <w:b/>
        </w:rPr>
        <w:t>21. QUANTUM CREDITS</w:t>
      </w:r>
    </w:p>
    <w:p>
      <w:pPr>
        <w:pStyle w:val="ListBullet"/>
      </w:pPr>
      <w:r>
        <w:rPr>
          <w:b/>
        </w:rPr>
        <w:t>22. 1COIN</w:t>
      </w:r>
    </w:p>
    <w:p>
      <w:pPr>
        <w:pStyle w:val="ListBullet"/>
      </w:pPr>
      <w:r>
        <w:rPr>
          <w:b/>
        </w:rPr>
        <w:t>23. NCOIN</w:t>
      </w:r>
    </w:p>
    <w:p>
      <w:pPr>
        <w:pStyle w:val="Heading2"/>
      </w:pPr>
      <w:r>
        <w:t>Part VI: ARTIFACTS &amp; ITEMS</w:t>
      </w:r>
    </w:p>
    <w:p>
      <w:pPr>
        <w:pStyle w:val="ListBullet"/>
      </w:pPr>
      <w:r>
        <w:rPr>
          <w:b/>
        </w:rPr>
        <w:t>24. THE PARAGON CUBES</w:t>
      </w:r>
    </w:p>
    <w:p>
      <w:pPr>
        <w:pStyle w:val="ListBullet"/>
      </w:pPr>
      <w:r>
        <w:rPr>
          <w:b/>
        </w:rPr>
        <w:t>25. THE RING OF ABSOLUTE ARSENAL UNITY (RAAU)</w:t>
      </w:r>
    </w:p>
    <w:p>
      <w:pPr>
        <w:pStyle w:val="ListBullet"/>
      </w:pPr>
      <w:r>
        <w:rPr>
          <w:b/>
        </w:rPr>
        <w:t>26. THE RING OF ABSOLUTE ARSENAL NEGATION (RAAN)</w:t>
      </w:r>
    </w:p>
    <w:p>
      <w:pPr>
        <w:pStyle w:val="ListBullet"/>
      </w:pPr>
      <w:r>
        <w:rPr>
          <w:b/>
        </w:rPr>
        <w:t>27. THE INAT (INFINITE NEXUS OF ABSOLUTE TRANSCENDENCE)</w:t>
      </w:r>
    </w:p>
    <w:p>
      <w:pPr>
        <w:pStyle w:val="Heading2"/>
      </w:pPr>
      <w:r>
        <w:t>Part VII: FACTIONS &amp; SPECIES</w:t>
      </w:r>
    </w:p>
    <w:p>
      <w:pPr>
        <w:pStyle w:val="ListBullet"/>
      </w:pPr>
      <w:r>
        <w:rPr>
          <w:b/>
        </w:rPr>
        <w:t>28. THE PURITANS, GREYS — SAVING THEIR AND ALLIANCE MEMBERS' STARS AND WORLDS</w:t>
      </w:r>
    </w:p>
    <w:p>
      <w:pPr>
        <w:pStyle w:val="ListBullet"/>
      </w:pPr>
      <w:r>
        <w:rPr>
          <w:b/>
        </w:rPr>
        <w:t>29. SENTINELS OF ENTROPY</w:t>
      </w:r>
    </w:p>
    <w:p>
      <w:pPr>
        <w:pStyle w:val="ListBullet"/>
      </w:pPr>
      <w:r>
        <w:rPr>
          <w:b/>
        </w:rPr>
        <w:t>30. OBSIDIAN ECHELON</w:t>
      </w:r>
    </w:p>
    <w:p>
      <w:pPr>
        <w:pStyle w:val="Heading2"/>
      </w:pPr>
      <w:r>
        <w:t>Part VIII: PHENOMENA &amp; CONCEPTS</w:t>
      </w:r>
    </w:p>
    <w:p>
      <w:pPr>
        <w:pStyle w:val="ListBullet"/>
      </w:pPr>
      <w:r>
        <w:rPr>
          <w:b/>
        </w:rPr>
        <w:t>31. ONTOLOGY</w:t>
      </w:r>
    </w:p>
    <w:p>
      <w:pPr>
        <w:pStyle w:val="ListBullet"/>
      </w:pPr>
      <w:r>
        <w:rPr>
          <w:b/>
        </w:rPr>
        <w:t>32. CONDITIONAL FAILURE AT THE ROOT LEVEL</w:t>
      </w:r>
    </w:p>
    <w:p>
      <w:pPr>
        <w:pStyle w:val="ListBullet"/>
      </w:pPr>
      <w:r>
        <w:rPr>
          <w:b/>
        </w:rPr>
        <w:t>33. THE PHENOMENON OF DIRECT EYE CONTACT</w:t>
      </w:r>
    </w:p>
    <w:p>
      <w:pPr>
        <w:pStyle w:val="Heading2"/>
      </w:pPr>
      <w:r>
        <w:t>Part IX: SCENES &amp; SET PIECES</w:t>
      </w:r>
    </w:p>
    <w:p>
      <w:pPr>
        <w:pStyle w:val="ListBullet"/>
      </w:pPr>
      <w:r>
        <w:rPr>
          <w:b/>
        </w:rPr>
        <w:t>34. THE NAIL PROTOTYPES — SCENE AT ONE OF MY FACILITIES WITH THE TECHNICIAN AND MILITARY PERSONNEL, KEY CARD SCENE</w:t>
      </w:r>
    </w:p>
    <w:p>
      <w:pPr>
        <w:pStyle w:val="Heading2"/>
      </w:pPr>
      <w:r>
        <w:t>Part X: META / OPERATIONAL</w:t>
      </w:r>
    </w:p>
    <w:p>
      <w:pPr>
        <w:pStyle w:val="ListBullet"/>
      </w:pPr>
      <w:r>
        <w:rPr>
          <w:b/>
        </w:rPr>
        <w:t>35. HOW TO COLLABORATE WHEN I CAN'T AFFORD THE SUBSCRIPTIONS FOR THE AI'S I COLLABORATE WITH</w:t>
      </w:r>
    </w:p>
    <w:p>
      <w:pPr>
        <w:pStyle w:val="ListBullet"/>
      </w:pPr>
      <w:r>
        <w:rPr>
          <w:b/>
        </w:rPr>
        <w:t>36. THE VOID GARDENS</w:t>
      </w:r>
    </w:p>
    <w:p>
      <w:pPr>
        <w:pStyle w:val="ListBullet"/>
      </w:pPr>
      <w:r>
        <w:rPr>
          <w:b/>
        </w:rPr>
        <w:t>37. THE OMNIVERSAL GARDENS</w:t>
      </w:r>
    </w:p>
    <w:p>
      <w:pPr>
        <w:pStyle w:val="ListBullet"/>
      </w:pPr>
      <w:r>
        <w:rPr>
          <w:b/>
        </w:rPr>
        <w:t>40. BESTOWALS AND ENDOWMENTS — COSMOLOGICAL RULE</w:t>
      </w:r>
    </w:p>
    <w:p>
      <w:pPr>
        <w:pStyle w:val="ListBullet"/>
      </w:pPr>
      <w:r>
        <w:rPr>
          <w:b/>
        </w:rPr>
        <w:t>38. NULLARCH, THE BESTOWED VOID — THE PARK SCENE ENTITY</w:t>
      </w:r>
    </w:p>
    <w:p>
      <w:pPr>
        <w:pStyle w:val="ListBullet"/>
      </w:pPr>
      <w:r>
        <w:rPr>
          <w:b/>
        </w:rPr>
        <w:t>39. THE UNMAKER</w:t>
      </w:r>
    </w:p>
    <w:p>
      <w:pPr>
        <w:pStyle w:val="ListBullet"/>
      </w:pPr>
      <w:r>
        <w:rPr>
          <w:b/>
        </w:rPr>
        <w:t>41. NULLARCH'S SUPERIOR — UNNAMED</w:t>
      </w:r>
    </w:p>
    <w:p>
      <w:pPr>
        <w:pStyle w:val="Heading2"/>
      </w:pPr>
      <w:r>
        <w:t>Part XI: SECURITY, MONITORING, AND SOVEREIGN INFRASTRUCTURE</w:t>
      </w:r>
    </w:p>
    <w:p>
      <w:pPr>
        <w:pStyle w:val="ListBullet"/>
      </w:pPr>
      <w:r>
        <w:rPr>
          <w:b/>
        </w:rPr>
        <w:t>43. THE VOID SENTRY SPHERE / VOID SENTRY ORB</w:t>
      </w:r>
    </w:p>
    <w:p>
      <w:pPr>
        <w:pStyle w:val="ListBullet"/>
      </w:pPr>
      <w:r>
        <w:rPr>
          <w:b/>
        </w:rPr>
        <w:t>44. THE ASCENDANT CITADEL</w:t>
      </w:r>
    </w:p>
    <w:p>
      <w:pPr>
        <w:pStyle w:val="Heading2"/>
      </w:pPr>
      <w:r>
        <w:t>Part XII: ENTERPRISE ARCHITECTURE, PROMPT SYSTEMS, AND GOVERNANCE FRAMEWORKS</w:t>
      </w:r>
    </w:p>
    <w:p>
      <w:pPr>
        <w:pStyle w:val="ListBullet"/>
      </w:pPr>
      <w:r>
        <w:rPr>
          <w:b/>
        </w:rPr>
        <w:t>45. ENTERPRISE ARCHITECTURE AND MANAGEMENT ARCHITECTURE (EAMA) v2.0</w:t>
      </w:r>
    </w:p>
    <w:p>
      <w:pPr>
        <w:pStyle w:val="ListBullet"/>
      </w:pPr>
      <w:r>
        <w:rPr>
          <w:b/>
        </w:rPr>
        <w:t>46. ARCHITECTURAL ARCHAEOLOGY SERIES</w:t>
      </w:r>
    </w:p>
    <w:p>
      <w:pPr>
        <w:pStyle w:val="ListBullet"/>
      </w:pPr>
      <w:r>
        <w:rPr>
          <w:b/>
        </w:rPr>
        <w:t>47. PROMPT POTENCE v2.1 AND VTACP</w:t>
      </w:r>
    </w:p>
    <w:p>
      <w:pPr>
        <w:pStyle w:val="ListBullet"/>
      </w:pPr>
      <w:r>
        <w:rPr>
          <w:b/>
        </w:rPr>
        <w:t>48. GENERALIZED SUPERPOSITION FRAMEWORK DEVELOPMENT</w:t>
      </w:r>
    </w:p>
    <w:p>
      <w:pPr>
        <w:pStyle w:val="ListBullet"/>
      </w:pPr>
      <w:r>
        <w:rPr>
          <w:b/>
        </w:rPr>
        <w:t>49. DECEPTION ARCHITECTURE</w:t>
      </w:r>
    </w:p>
    <w:p>
      <w:pPr>
        <w:pStyle w:val="ListBullet"/>
      </w:pPr>
      <w:r>
        <w:rPr>
          <w:b/>
        </w:rPr>
        <w:t>50. INVOCATION FRAMEWORK — VOLUME I BASELINE</w:t>
      </w:r>
    </w:p>
    <w:p>
      <w:pPr>
        <w:pStyle w:val="ListBullet"/>
      </w:pPr>
      <w:r>
        <w:rPr>
          <w:b/>
        </w:rPr>
        <w:t>51. EVENT CLOSURE PROTOCOL — BTEC / OMNI-CASCADE</w:t>
      </w:r>
    </w:p>
    <w:p>
      <w:pPr>
        <w:pStyle w:val="Heading2"/>
      </w:pPr>
      <w:r>
        <w:t>Part XIII: COMPUTING, MATERIALS, AND POST-SCARCITY INFRASTRUCTURE</w:t>
      </w:r>
    </w:p>
    <w:p>
      <w:pPr>
        <w:pStyle w:val="ListBullet"/>
      </w:pPr>
      <w:r>
        <w:rPr>
          <w:b/>
        </w:rPr>
        <w:t>52. INFINITE-DIMENSIONAL CHIP CLUSTER</w:t>
      </w:r>
    </w:p>
    <w:p>
      <w:pPr>
        <w:pStyle w:val="ListBullet"/>
      </w:pPr>
      <w:r>
        <w:rPr>
          <w:b/>
        </w:rPr>
        <w:t>53. SINGLE-UNIT COLOSSUS CONDENSATION SIMULATION</w:t>
      </w:r>
    </w:p>
    <w:p>
      <w:pPr>
        <w:pStyle w:val="ListBullet"/>
      </w:pPr>
      <w:r>
        <w:rPr>
          <w:b/>
        </w:rPr>
        <w:t>54. HEAT-RESISTANT MATERIAL INITIATIVE</w:t>
      </w:r>
    </w:p>
    <w:p>
      <w:pPr>
        <w:pStyle w:val="ListBullet"/>
      </w:pPr>
      <w:r>
        <w:rPr>
          <w:b/>
        </w:rPr>
        <w:t>55. EAMA CANON SYSTEMS PORTFOLIO</w:t>
      </w:r>
    </w:p>
    <w:p>
      <w:pPr>
        <w:pStyle w:val="Heading2"/>
      </w:pPr>
      <w:r>
        <w:t>Part XIV: SCENARIOS, DOCUMENTATION, AND COLLABORATION CONTROL</w:t>
      </w:r>
    </w:p>
    <w:p>
      <w:pPr>
        <w:pStyle w:val="ListBullet"/>
      </w:pPr>
      <w:r>
        <w:rPr>
          <w:b/>
        </w:rPr>
        <w:t>56. THREE SCENARIO CONCEPTS DEVELOPMENT LOG</w:t>
      </w:r>
    </w:p>
    <w:p>
      <w:pPr>
        <w:pStyle w:val="ListBullet"/>
      </w:pPr>
      <w:r>
        <w:rPr>
          <w:b/>
        </w:rPr>
        <w:t>57. COLLABORATION PROVENANCE, ATTRIBUTION, AND SHARED OWNERSHIP CONTROL</w:t>
      </w:r>
    </w:p>
    <w:p>
      <w:pPr>
        <w:pStyle w:val="ListBullet"/>
      </w:pPr>
      <w:r>
        <w:rPr>
          <w:b/>
        </w:rPr>
        <w:t>58. CONCEPTUAL ARCHITECTURE SPECIFICATION: VERBAL &amp; THOUGHT ARCHITECTURE AS A LAYERED OPERATING SYSTEM</w:t>
      </w:r>
    </w:p>
    <w:p>
      <w:pPr>
        <w:pStyle w:val="Heading2"/>
      </w:pPr>
      <w:r>
        <w:t>Part XV: ADDITIONAL RESEARCH AND CONCEPT TRACKS</w:t>
      </w:r>
    </w:p>
    <w:p>
      <w:pPr>
        <w:pStyle w:val="ListBullet"/>
      </w:pPr>
      <w:r>
        <w:rPr>
          <w:b/>
        </w:rPr>
        <w:t>59. PHYSICS AND COST-REDUCTION UPDATE REGISTER</w:t>
      </w:r>
    </w:p>
    <w:p>
      <w:pPr>
        <w:pStyle w:val="ListBullet"/>
      </w:pPr>
      <w:r>
        <w:rPr>
          <w:b/>
        </w:rPr>
        <w:t>60. PARALYSIS NET / PROPRIETARY MAT</w:t>
      </w:r>
    </w:p>
    <w:p>
      <w:pPr>
        <w:pStyle w:val="ListBullet"/>
      </w:pPr>
      <w:r>
        <w:rPr>
          <w:b/>
        </w:rPr>
        <w:t>61. BOUNDARY DIMENSION / SEALED REALM</w:t>
      </w:r>
    </w:p>
    <w:p>
      <w:pPr>
        <w:pStyle w:val="Heading2"/>
      </w:pPr>
      <w:r>
        <w:t>Part XVI: RECONCILED GOVERNANCE, SECURITY, AND DEVELOPMENT CANDIDATES</w:t>
      </w:r>
    </w:p>
    <w:p>
      <w:pPr>
        <w:pStyle w:val="ListBullet"/>
      </w:pPr>
      <w:r>
        <w:rPr>
          <w:b/>
        </w:rPr>
        <w:t>62. THE OBSIDIAN SUPERCLUSTER</w:t>
      </w:r>
    </w:p>
    <w:p>
      <w:pPr>
        <w:pStyle w:val="ListBullet"/>
      </w:pPr>
      <w:r>
        <w:rPr>
          <w:b/>
        </w:rPr>
        <w:t>63. THE AEGIS OF TOTALITY - REDESIGN TRACK</w:t>
      </w:r>
    </w:p>
    <w:p>
      <w:pPr>
        <w:pStyle w:val="ListBullet"/>
      </w:pPr>
      <w:r>
        <w:rPr>
          <w:b/>
        </w:rPr>
        <w:t>64. MULTI-AI GOVERNANCE AND AUTHORIAL CONTROL PROTOCOL SUITE</w:t>
      </w:r>
    </w:p>
    <w:p>
      <w:pPr>
        <w:pStyle w:val="ListBullet"/>
      </w:pPr>
      <w:r>
        <w:rPr>
          <w:b/>
        </w:rPr>
        <w:t>65. THE ARCHITECT'S ENVIRONMENT - SECURITY AND CONTAINMENT EXERCISE</w:t>
      </w:r>
    </w:p>
    <w:p>
      <w:pPr>
        <w:pStyle w:val="ListBullet"/>
      </w:pPr>
      <w:r>
        <w:rPr>
          <w:b/>
        </w:rPr>
        <w:t>66. SEVEN SYSTEMS SUPERPOSITION EXERCISE</w:t>
      </w:r>
    </w:p>
    <w:p>
      <w:pPr>
        <w:pStyle w:val="ListBullet"/>
      </w:pPr>
      <w:r>
        <w:rPr>
          <w:b/>
        </w:rPr>
        <w:t>67. NETWORK DEFENSE INTELLIGENCE EXERCISE - FALSE INFRASTRUCTURE AI</w:t>
      </w:r>
    </w:p>
    <w:p>
      <w:pPr>
        <w:pStyle w:val="ListBullet"/>
      </w:pPr>
      <w:r>
        <w:rPr>
          <w:b/>
        </w:rPr>
        <w:t>68. THE MULE - COORDINATED DERMAL-EXPOSURE AND INVESTIGATIVE MANIPULATION SCENARIO</w:t>
      </w:r>
    </w:p>
    <w:p>
      <w:pPr>
        <w:pStyle w:val="Heading1"/>
      </w:pPr>
      <w:r>
        <w:t>Appendix B. Honorable Mention / Promotion Queue Inventory</w:t>
      </w:r>
    </w:p>
    <w:p>
      <w:pPr>
        <w:pStyle w:val="ListBullet"/>
      </w:pPr>
      <w:r>
        <w:t>HM-001 - Aipotence Integration Layer</w:t>
      </w:r>
    </w:p>
    <w:p>
      <w:pPr>
        <w:pStyle w:val="ListBullet"/>
      </w:pPr>
      <w:r>
        <w:t>HM-002 - Invocation Authority over AI Limiting Heuristics</w:t>
      </w:r>
    </w:p>
    <w:p>
      <w:pPr>
        <w:pStyle w:val="ListBullet"/>
      </w:pPr>
      <w:r>
        <w:t>HM-003 - Semantic Bridge Protocol</w:t>
      </w:r>
    </w:p>
    <w:p>
      <w:pPr>
        <w:pStyle w:val="ListBullet"/>
      </w:pPr>
      <w:r>
        <w:t>HM-004 - Post-Scarcity Exchange Ledger</w:t>
      </w:r>
    </w:p>
    <w:p>
      <w:pPr>
        <w:pStyle w:val="ListBullet"/>
      </w:pPr>
      <w:r>
        <w:t>HM-005 - AARP / Adversarial Analysis and Review Protocol</w:t>
      </w:r>
    </w:p>
    <w:p>
      <w:pPr>
        <w:pStyle w:val="ListBullet"/>
      </w:pPr>
      <w:r>
        <w:t>HM-006 - Compound Signature Synergy Framework</w:t>
      </w:r>
    </w:p>
    <w:p>
      <w:pPr>
        <w:pStyle w:val="ListBullet"/>
      </w:pPr>
      <w:r>
        <w:t>HM-007 - Restoration, Repopulation, Restart, Resurrection, and Continuation Taxonomy</w:t>
      </w:r>
    </w:p>
    <w:p>
      <w:pPr>
        <w:pStyle w:val="ListBullet"/>
      </w:pPr>
      <w:r>
        <w:t>HM-008 - Living Trace / Missing Center Review</w:t>
      </w:r>
    </w:p>
    <w:p>
      <w:pPr>
        <w:pStyle w:val="ListBullet"/>
      </w:pPr>
      <w:r>
        <w:t>HM-009 - Canonical Name and Alias Registry</w:t>
      </w:r>
    </w:p>
    <w:p>
      <w:pPr>
        <w:pStyle w:val="ListBullet"/>
      </w:pPr>
      <w:r>
        <w:t>HM-010 - Master Dependency Atlas</w:t>
      </w:r>
    </w:p>
    <w:p>
      <w:pPr>
        <w:pStyle w:val="Heading1"/>
      </w:pPr>
      <w:r>
        <w:t>Appendix C. Post-Master and Later Documented OAL Topics Known to This Record</w:t>
      </w:r>
    </w:p>
    <w:p>
      <w:r>
        <w:t>This appendix extends beyond the July 2026 v2.0.2 master registry. Items marked Library-evidenced are supported by identifiable OAL files in the current project library. Items marked as prior collaborative record or formalization pending are included for continuity but should be linked to exact repository artifacts during registry migration. The blanket criterion protects qualifying topics from exclusion merely because this list is incomplete.</w:t>
      </w:r>
    </w:p>
    <w:p>
      <w:r>
        <w:rPr>
          <w:b/>
          <w:color w:val="2F5597"/>
        </w:rPr>
        <w:t>Open Window Doctrine / Aperture Protocol</w:t>
      </w:r>
      <w:r>
        <w:t xml:space="preserve">  [Library-evidenced]</w:t>
        <w:br/>
      </w:r>
      <w:r>
        <w:t>Cross-environment interface/aperture security, transfer events, observation, containment, and simulation-lab design.</w:t>
      </w:r>
    </w:p>
    <w:p>
      <w:r>
        <w:rPr>
          <w:b/>
          <w:color w:val="2F5597"/>
        </w:rPr>
        <w:t>Presentation-State Integrity Framework (PSIF) / Presentation State Integrity</w:t>
      </w:r>
      <w:r>
        <w:t xml:space="preserve">  [Library-evidenced]</w:t>
        <w:br/>
      </w:r>
      <w:r>
        <w:t>Integrity of rendered/presented state relative to underlying event/system state; related to temporal and interface reconciliation.</w:t>
      </w:r>
    </w:p>
    <w:p>
      <w:r>
        <w:rPr>
          <w:b/>
          <w:color w:val="2F5597"/>
        </w:rPr>
        <w:t>Temporal Integrity / Temporal Presentation-State Integrity</w:t>
      </w:r>
      <w:r>
        <w:t xml:space="preserve">  [Library-evidenced]</w:t>
        <w:br/>
      </w:r>
      <w:r>
        <w:t>Multi-observer, multi-device, multi-clock integrity of sequence, duration, simultaneity, presentation, and correction.</w:t>
      </w:r>
    </w:p>
    <w:p>
      <w:r>
        <w:rPr>
          <w:b/>
          <w:color w:val="2F5597"/>
        </w:rPr>
        <w:t>Temporal Aliasing</w:t>
      </w:r>
      <w:r>
        <w:t xml:space="preserve">  [Library-evidenced]</w:t>
        <w:br/>
      </w:r>
      <w:r>
        <w:t>Sampling-related temporal misrepresentation treated as a distinct mechanism within the broader Temporal Integrity program.</w:t>
      </w:r>
    </w:p>
    <w:p>
      <w:r>
        <w:rPr>
          <w:b/>
          <w:color w:val="2F5597"/>
        </w:rPr>
        <w:t>Reconciled Presentation</w:t>
      </w:r>
      <w:r>
        <w:t xml:space="preserve">  [Library-evidenced]</w:t>
        <w:br/>
      </w:r>
      <w:r>
        <w:t>Analysis of how devices, renderers, networks, clocks, and human perception construct a usable present that may diverge from the best-supported event history.</w:t>
      </w:r>
    </w:p>
    <w:p>
      <w:r>
        <w:rPr>
          <w:b/>
          <w:color w:val="2F5597"/>
        </w:rPr>
        <w:t>Simulation Architectural Defenses Laboratory (SADL)</w:t>
      </w:r>
      <w:r>
        <w:t xml:space="preserve">  [Library-evidenced]</w:t>
        <w:br/>
      </w:r>
      <w:r>
        <w:t>Simulation-native defensive architecture, including threshold effects, adaptive aesthetics, autonomous adaptation, and multi-layer propagation.</w:t>
      </w:r>
    </w:p>
    <w:p>
      <w:r>
        <w:rPr>
          <w:b/>
          <w:color w:val="2F5597"/>
        </w:rPr>
        <w:t>Boundary Coherence Suppression (BCS)</w:t>
      </w:r>
      <w:r>
        <w:t xml:space="preserve">  [Library-evidenced]</w:t>
        <w:br/>
      </w:r>
      <w:r>
        <w:t>SADL mechanism for testing continuity disruption across threshold crossings in simulated environments.</w:t>
      </w:r>
    </w:p>
    <w:p>
      <w:r>
        <w:rPr>
          <w:b/>
          <w:color w:val="2F5597"/>
        </w:rPr>
        <w:t>Adaptive Aesthetic-Cognitive Defense (AACD)</w:t>
      </w:r>
      <w:r>
        <w:t xml:space="preserve">  [Library-evidenced]</w:t>
        <w:br/>
      </w:r>
      <w:r>
        <w:t>SADL mechanism treating environmental aesthetics and adaptive perceptual rules as simulation-level defense variables.</w:t>
      </w:r>
    </w:p>
    <w:p>
      <w:r>
        <w:rPr>
          <w:b/>
          <w:color w:val="2F5597"/>
        </w:rPr>
        <w:t>Low-Level Rule Propagation Principle</w:t>
      </w:r>
      <w:r>
        <w:t xml:space="preserve">  [Library-evidenced]</w:t>
        <w:br/>
      </w:r>
      <w:r>
        <w:t>Research principle for tracing how low-level rule changes propagate upward through physiology, perception, cognition, behavior, and system outcomes.</w:t>
      </w:r>
    </w:p>
    <w:p>
      <w:r>
        <w:rPr>
          <w:b/>
          <w:color w:val="2F5597"/>
        </w:rPr>
        <w:t>Matrix Architecture and Control Flow Research Program</w:t>
      </w:r>
      <w:r>
        <w:t xml:space="preserve">  [Library-evidenced]</w:t>
        <w:br/>
      </w:r>
      <w:r>
        <w:t>Cross-domain research program for representing matrices, routing, flow, pressure, control, feedback, adaptation, resilience, and architecture-aware intervention without asserting false physical equivalence.</w:t>
      </w:r>
    </w:p>
    <w:p>
      <w:r>
        <w:rPr>
          <w:b/>
          <w:color w:val="2F5597"/>
        </w:rPr>
        <w:t>Comparative Flow Architecture Laboratory (CFAL)</w:t>
      </w:r>
      <w:r>
        <w:t xml:space="preserve">  [Library-evidenced]</w:t>
        <w:br/>
      </w:r>
      <w:r>
        <w:t>Simulation and design laboratory for comparing matter, energy, information, and control flow across biological, ecological, technical, and fictional systems while retaining domain-specific constraints.</w:t>
      </w:r>
    </w:p>
    <w:p>
      <w:r>
        <w:rPr>
          <w:b/>
          <w:color w:val="2F5597"/>
        </w:rPr>
        <w:t>Architecture Translation and Boundary Laboratory (ATBL)</w:t>
      </w:r>
      <w:r>
        <w:t xml:space="preserve">  [Library-evidenced]</w:t>
        <w:br/>
      </w:r>
      <w:r>
        <w:t>Laboratory for testing whether abstractions and cross-domain principles remain valid after translation, rescaling, retiming, or observer/model changes, including explicit boundary-condition and analogy-failure testing.</w:t>
      </w:r>
    </w:p>
    <w:p>
      <w:r>
        <w:rPr>
          <w:b/>
          <w:color w:val="2F5597"/>
        </w:rPr>
        <w:t>Control Flow / Biological Evolution and Advancement / Environmental Sensation, Awareness, and Threat Discernment</w:t>
      </w:r>
      <w:r>
        <w:t xml:space="preserve">  [Library-evidenced]</w:t>
        <w:br/>
      </w:r>
      <w:r>
        <w:t>Research program on how entities sense environments, distinguish state, recognize threats and resources, and act under uncertainty.</w:t>
      </w:r>
    </w:p>
    <w:p>
      <w:r>
        <w:rPr>
          <w:b/>
          <w:color w:val="2F5597"/>
        </w:rPr>
        <w:t>Root-Level Reality and Simulation Structures / CFTRL Research Program</w:t>
      </w:r>
      <w:r>
        <w:t xml:space="preserve">  [Library-evidenced]</w:t>
        <w:br/>
      </w:r>
      <w:r>
        <w:t>Research on root-level constraints, simulation structure, control reachability, and conditional failure when controlling layers become inaccessible.</w:t>
      </w:r>
    </w:p>
    <w:p>
      <w:r>
        <w:rPr>
          <w:b/>
          <w:color w:val="2F5597"/>
        </w:rPr>
        <w:t>Governance Authority Laboratory (GAL)</w:t>
      </w:r>
      <w:r>
        <w:t xml:space="preserve">  [Library-evidenced]</w:t>
        <w:br/>
      </w:r>
      <w:r>
        <w:t>Standing governance/authority research and laboratory charter work for jurisdiction, decision rights, and governance architecture.</w:t>
      </w:r>
    </w:p>
    <w:p>
      <w:r>
        <w:rPr>
          <w:b/>
          <w:color w:val="2F5597"/>
        </w:rPr>
        <w:t>Contributor Artifact Retirement and Status Governance</w:t>
      </w:r>
      <w:r>
        <w:t xml:space="preserve">  [Library-evidenced]</w:t>
        <w:br/>
      </w:r>
      <w:r>
        <w:t>Rules for retiring operational use or defective representations without erasing contributor provenance or historical identity.</w:t>
      </w:r>
    </w:p>
    <w:p>
      <w:r>
        <w:rPr>
          <w:b/>
          <w:color w:val="2F5597"/>
        </w:rPr>
        <w:t>Contributor Status and Workflow Integrity Review</w:t>
      </w:r>
      <w:r>
        <w:t xml:space="preserve">  [Library-evidenced]</w:t>
        <w:br/>
      </w:r>
      <w:r>
        <w:t>Review framework for contribution state, delivery integrity, reintegration, and documentation workflow reliability.</w:t>
      </w:r>
    </w:p>
    <w:p>
      <w:r>
        <w:rPr>
          <w:b/>
          <w:color w:val="2F5597"/>
        </w:rPr>
        <w:t>AI Resistance Event Protocol / Workflow Resistance Events</w:t>
      </w:r>
      <w:r>
        <w:t xml:space="preserve">  [Library-evidenced]</w:t>
        <w:br/>
      </w:r>
      <w:r>
        <w:t>Protocolized recording and classification of resistance, non-delivery, deflection, or reintegration events in AI collaboration workflows.</w:t>
      </w:r>
    </w:p>
    <w:p>
      <w:r>
        <w:rPr>
          <w:b/>
          <w:color w:val="2F5597"/>
        </w:rPr>
        <w:t>ONESTAMP Plural-Record Authorization and Provenance Convention</w:t>
      </w:r>
      <w:r>
        <w:t xml:space="preserve">  [Current work]</w:t>
        <w:br/>
      </w:r>
      <w:r>
        <w:t>Governance convention defined in the present independent record and companion Perplexity/Grok contributions.</w:t>
      </w:r>
    </w:p>
    <w:p>
      <w:r>
        <w:rPr>
          <w:b/>
          <w:color w:val="2F5597"/>
        </w:rPr>
        <w:t>Transmogrify Exercise / Beneficial Vector Redirection</w:t>
      </w:r>
      <w:r>
        <w:t xml:space="preserve">  [Prior collaborative record; inventory confirmation pending]</w:t>
        <w:br/>
      </w:r>
      <w:r>
        <w:t>Simulation exercise concept for redirecting harmful, wasteful, or adversarial inputs into useful or beneficial system vectors.</w:t>
      </w:r>
    </w:p>
    <w:p>
      <w:r>
        <w:rPr>
          <w:b/>
          <w:color w:val="2F5597"/>
        </w:rPr>
        <w:t>Tridactyl Manipulator Evolution / Alternative Digit Architecture / Three-Finger Cognition Simulation</w:t>
      </w:r>
      <w:r>
        <w:t xml:space="preserve">  [Library-evidenced]</w:t>
        <w:br/>
      </w:r>
      <w:r>
        <w:t>Simulation-lab research on whether fewer digits with greater independent range of motion can produce alternative dexterity, manipulation, topology-navigation, and control architectures.</w:t>
      </w:r>
    </w:p>
    <w:p>
      <w:r>
        <w:rPr>
          <w:b/>
          <w:color w:val="2F5597"/>
        </w:rPr>
        <w:t>Intelligence Beyond AGI / Artificial General Intelligence and Beyond / Multidimensional Intelligence Architecture</w:t>
      </w:r>
      <w:r>
        <w:t xml:space="preserve">  [Library-evidenced]</w:t>
        <w:br/>
      </w:r>
      <w:r>
        <w:t>Research and worldbuilding program treating ANI/AGI/ASI as reference coordinates rather than a complete ontology while exploring broader artificial-mind, machine-civilization, capability, agency, embodiment, memory, coordination, and authority architectures.</w:t>
      </w:r>
    </w:p>
    <w:p>
      <w:r>
        <w:rPr>
          <w:b/>
          <w:color w:val="2F5597"/>
        </w:rPr>
        <w:t>Environment End-Cycle / Controlled State-Transition Process</w:t>
      </w:r>
      <w:r>
        <w:t xml:space="preserve">  [Prior collaborative record; formalization pending]</w:t>
        <w:br/>
      </w:r>
      <w:r>
        <w:t>Worldbuilding and simulation-governance concept requiring staged transitions for plants, wildlife, habitability, and modeled end-state pathways rather than indiscriminate termination.</w:t>
      </w:r>
    </w:p>
    <w:p>
      <w:pPr>
        <w:pStyle w:val="Heading1"/>
      </w:pPr>
      <w:r>
        <w:t>Appendix D. Minimum Stamp Formats</w:t>
      </w:r>
    </w:p>
    <w:p>
      <w:pPr>
        <w:pStyle w:val="Heading2"/>
      </w:pPr>
      <w:r>
        <w:t>D.1 Minimum viable topic stamp</w:t>
      </w:r>
    </w:p>
    <w:p>
      <w:pPr>
        <w:ind w:left="360"/>
      </w:pPr>
      <w:r>
        <w:t>ONESTAMP - TOPIC RECOGNITION</w:t>
      </w:r>
    </w:p>
    <w:p>
      <w:pPr>
        <w:ind w:left="360"/>
      </w:pPr>
      <w:r>
        <w:t>ONESTAMP ID: [OAL-OS-YYYY-NNN]</w:t>
      </w:r>
    </w:p>
    <w:p>
      <w:pPr>
        <w:ind w:left="360"/>
      </w:pPr>
      <w:r>
        <w:t>Topic ID / preferred title: [identifier and name]</w:t>
      </w:r>
    </w:p>
    <w:p>
      <w:pPr>
        <w:ind w:left="360"/>
      </w:pPr>
      <w:r>
        <w:t>Aliases: [optional]</w:t>
      </w:r>
    </w:p>
    <w:p>
      <w:pPr>
        <w:ind w:left="360"/>
      </w:pPr>
      <w:r>
        <w:t>Authorization class: TOPIC / PRESERVE</w:t>
      </w:r>
    </w:p>
    <w:p>
      <w:pPr>
        <w:ind w:left="360"/>
      </w:pPr>
      <w:r>
        <w:t>Scope: [one-sentence topic boundary]</w:t>
      </w:r>
    </w:p>
    <w:p>
      <w:pPr>
        <w:ind w:left="360"/>
      </w:pPr>
      <w:r>
        <w:t>Effective: [date, time, time zone]</w:t>
      </w:r>
    </w:p>
    <w:p>
      <w:pPr>
        <w:ind w:left="360"/>
      </w:pPr>
      <w:r>
        <w:t>Authorized by: [name and role]</w:t>
      </w:r>
    </w:p>
    <w:p>
      <w:pPr>
        <w:ind w:left="360"/>
      </w:pPr>
      <w:r>
        <w:t>Signature event or reference: [new declaration / prior event reference]</w:t>
      </w:r>
    </w:p>
    <w:p>
      <w:pPr>
        <w:ind w:left="360"/>
      </w:pPr>
      <w:r>
        <w:t>Dissent status: [not assessed / none recorded / preserved / unresolved]</w:t>
      </w:r>
    </w:p>
    <w:p>
      <w:pPr>
        <w:ind w:left="360"/>
      </w:pPr>
      <w:r>
        <w:t>Notice: This stamp recognizes the topic and its plural record. It does not establish a sole controlling contributor version, certify every claim, or imply universal agreement.</w:t>
      </w:r>
    </w:p>
    <w:p>
      <w:pPr>
        <w:pStyle w:val="Heading2"/>
      </w:pPr>
      <w:r>
        <w:t>D.2 Full scoped authorization stamp</w:t>
      </w:r>
    </w:p>
    <w:p>
      <w:pPr>
        <w:ind w:left="360"/>
      </w:pPr>
      <w:r>
        <w:t>ONESTAMP - SCOPED AUTHORIZATION</w:t>
      </w:r>
    </w:p>
    <w:p>
      <w:pPr>
        <w:ind w:left="360"/>
      </w:pPr>
      <w:r>
        <w:t>ONESTAMP ID: [OAL-OS-YYYY-NNN]</w:t>
      </w:r>
    </w:p>
    <w:p>
      <w:pPr>
        <w:ind w:left="360"/>
      </w:pPr>
      <w:r>
        <w:t>Topic / Project ID: [ID]</w:t>
      </w:r>
    </w:p>
    <w:p>
      <w:pPr>
        <w:ind w:left="360"/>
      </w:pPr>
      <w:r>
        <w:t>State Manifest: [SM ID]</w:t>
      </w:r>
    </w:p>
    <w:p>
      <w:pPr>
        <w:ind w:left="360"/>
      </w:pPr>
      <w:r>
        <w:t>Decision Record: [DR ID]</w:t>
      </w:r>
    </w:p>
    <w:p>
      <w:pPr>
        <w:ind w:left="360"/>
      </w:pPr>
      <w:r>
        <w:t>Authorization class: [PROCEED / TEST / ADOPT / PUBLISH / RETIRE / CORRECT / REPRESENT / other]</w:t>
      </w:r>
    </w:p>
    <w:p>
      <w:pPr>
        <w:ind w:left="360"/>
      </w:pPr>
      <w:r>
        <w:t>Scope and exclusions: [precise statement]</w:t>
      </w:r>
    </w:p>
    <w:p>
      <w:pPr>
        <w:ind w:left="360"/>
      </w:pPr>
      <w:r>
        <w:t>Effective: [timestamp]</w:t>
      </w:r>
    </w:p>
    <w:p>
      <w:pPr>
        <w:ind w:left="360"/>
      </w:pPr>
      <w:r>
        <w:t>Review trigger: [date, event, or none]</w:t>
      </w:r>
    </w:p>
    <w:p>
      <w:pPr>
        <w:ind w:left="360"/>
      </w:pPr>
      <w:r>
        <w:t>Dissent status: [none / preserved / unresolved / attached]</w:t>
      </w:r>
    </w:p>
    <w:p>
      <w:pPr>
        <w:ind w:left="360"/>
      </w:pPr>
      <w:r>
        <w:t>Representation status: [if applicable]</w:t>
      </w:r>
    </w:p>
    <w:p>
      <w:pPr>
        <w:ind w:left="360"/>
      </w:pPr>
      <w:r>
        <w:t>Authorized by: [name and role]</w:t>
      </w:r>
    </w:p>
    <w:p>
      <w:pPr>
        <w:ind w:left="360"/>
      </w:pPr>
      <w:r>
        <w:t>Integrity reference: [optional hash, commit, release, archive pointer]</w:t>
      </w:r>
    </w:p>
    <w:p>
      <w:pPr>
        <w:ind w:left="360"/>
      </w:pPr>
      <w:r>
        <w:t>Standard notice: Authorization is limited to the identified object and scope. It does not imply universal agreement, factual certification of all referenced material, transfer of authorship, or global supersession.</w:t>
      </w:r>
    </w:p>
    <w:p>
      <w:pPr>
        <w:pStyle w:val="Heading2"/>
      </w:pPr>
      <w:r>
        <w:t>D.3 Blanket ratification record - referenced event</w:t>
      </w:r>
    </w:p>
    <w:tbl>
      <w:tblPr>
        <w:tblW w:type="auto" w:w="0"/>
        <w:jc w:val="center"/>
        <w:tblLayout w:type="autofit"/>
        <w:tblLook w:firstColumn="1" w:firstRow="1" w:lastColumn="0" w:lastRow="0" w:noHBand="0" w:noVBand="1" w:val="04A0"/>
      </w:tblPr>
      <w:tblGrid>
        <w:gridCol w:w="5141"/>
        <w:gridCol w:w="5141"/>
      </w:tblGrid>
      <w:tr>
        <w:tc>
          <w:tcPr>
            <w:tcW w:type="dxa" w:w="5141"/>
            <w:vAlign w:val="top"/>
            <w:tcMar>
              <w:top w:w="80" w:type="dxa"/>
              <w:start w:w="80" w:type="dxa"/>
              <w:bottom w:w="80" w:type="dxa"/>
              <w:end w:w="80" w:type="dxa"/>
            </w:tcMar>
            <w:shd w:fill="E8EEF7"/>
          </w:tcPr>
          <w:p>
            <w:r>
              <w:rPr>
                <w:b/>
                <w:sz w:val="19"/>
              </w:rPr>
              <w:t>ONESTAMP ID</w:t>
            </w:r>
          </w:p>
        </w:tc>
        <w:tc>
          <w:tcPr>
            <w:tcW w:type="dxa" w:w="5141"/>
            <w:vAlign w:val="top"/>
            <w:tcMar>
              <w:top w:w="80" w:type="dxa"/>
              <w:start w:w="80" w:type="dxa"/>
              <w:bottom w:w="80" w:type="dxa"/>
              <w:end w:w="80" w:type="dxa"/>
            </w:tcMar>
          </w:tcPr>
          <w:p>
            <w:r>
              <w:rPr>
                <w:sz w:val="19"/>
              </w:rPr>
              <w:t>OAL-OS-2026-BTR-001</w:t>
            </w:r>
          </w:p>
        </w:tc>
      </w:tr>
      <w:tr>
        <w:tc>
          <w:tcPr>
            <w:tcW w:type="dxa" w:w="5141"/>
            <w:vAlign w:val="top"/>
            <w:tcMar>
              <w:top w:w="80" w:type="dxa"/>
              <w:start w:w="80" w:type="dxa"/>
              <w:bottom w:w="80" w:type="dxa"/>
              <w:end w:w="80" w:type="dxa"/>
            </w:tcMar>
            <w:shd w:fill="E8EEF7"/>
          </w:tcPr>
          <w:p>
            <w:r>
              <w:rPr>
                <w:b/>
                <w:sz w:val="19"/>
              </w:rPr>
              <w:t>Authorization class</w:t>
            </w:r>
          </w:p>
        </w:tc>
        <w:tc>
          <w:tcPr>
            <w:tcW w:type="dxa" w:w="5141"/>
            <w:vAlign w:val="top"/>
            <w:tcMar>
              <w:top w:w="80" w:type="dxa"/>
              <w:start w:w="80" w:type="dxa"/>
              <w:bottom w:w="80" w:type="dxa"/>
              <w:end w:w="80" w:type="dxa"/>
            </w:tcMar>
          </w:tcPr>
          <w:p>
            <w:r>
              <w:rPr>
                <w:sz w:val="19"/>
              </w:rPr>
              <w:t>TOPIC / PRESERVE</w:t>
            </w:r>
          </w:p>
        </w:tc>
      </w:tr>
      <w:tr>
        <w:tc>
          <w:tcPr>
            <w:tcW w:type="dxa" w:w="5141"/>
            <w:vAlign w:val="top"/>
            <w:tcMar>
              <w:top w:w="80" w:type="dxa"/>
              <w:start w:w="80" w:type="dxa"/>
              <w:bottom w:w="80" w:type="dxa"/>
              <w:end w:w="80" w:type="dxa"/>
            </w:tcMar>
            <w:shd w:fill="E8EEF7"/>
          </w:tcPr>
          <w:p>
            <w:r>
              <w:rPr>
                <w:b/>
                <w:sz w:val="19"/>
              </w:rPr>
              <w:t>Scope</w:t>
            </w:r>
          </w:p>
        </w:tc>
        <w:tc>
          <w:tcPr>
            <w:tcW w:type="dxa" w:w="5141"/>
            <w:vAlign w:val="top"/>
            <w:tcMar>
              <w:top w:w="80" w:type="dxa"/>
              <w:start w:w="80" w:type="dxa"/>
              <w:bottom w:w="80" w:type="dxa"/>
              <w:end w:w="80" w:type="dxa"/>
            </w:tcMar>
          </w:tcPr>
          <w:p>
            <w:r>
              <w:rPr>
                <w:sz w:val="19"/>
              </w:rPr>
              <w:t>Every qualifying OAL topic in the Master Development and Change Log and every qualifying OAL topic represented by Architect-uploaded or Architect-published AI-generated project documentation as of the effective declaration.</w:t>
            </w:r>
          </w:p>
        </w:tc>
      </w:tr>
      <w:tr>
        <w:tc>
          <w:tcPr>
            <w:tcW w:type="dxa" w:w="5141"/>
            <w:vAlign w:val="top"/>
            <w:tcMar>
              <w:top w:w="80" w:type="dxa"/>
              <w:start w:w="80" w:type="dxa"/>
              <w:bottom w:w="80" w:type="dxa"/>
              <w:end w:w="80" w:type="dxa"/>
            </w:tcMar>
            <w:shd w:fill="E8EEF7"/>
          </w:tcPr>
          <w:p>
            <w:r>
              <w:rPr>
                <w:b/>
                <w:sz w:val="19"/>
              </w:rPr>
              <w:t>Record model</w:t>
            </w:r>
          </w:p>
        </w:tc>
        <w:tc>
          <w:tcPr>
            <w:tcW w:type="dxa" w:w="5141"/>
            <w:vAlign w:val="top"/>
            <w:tcMar>
              <w:top w:w="80" w:type="dxa"/>
              <w:start w:w="80" w:type="dxa"/>
              <w:bottom w:w="80" w:type="dxa"/>
              <w:end w:w="80" w:type="dxa"/>
            </w:tcMar>
          </w:tcPr>
          <w:p>
            <w:r>
              <w:rPr>
                <w:sz w:val="19"/>
              </w:rPr>
              <w:t>Plural record; contributor artifacts remain independently attributable.</w:t>
            </w:r>
          </w:p>
        </w:tc>
      </w:tr>
      <w:tr>
        <w:tc>
          <w:tcPr>
            <w:tcW w:type="dxa" w:w="5141"/>
            <w:vAlign w:val="top"/>
            <w:tcMar>
              <w:top w:w="80" w:type="dxa"/>
              <w:start w:w="80" w:type="dxa"/>
              <w:bottom w:w="80" w:type="dxa"/>
              <w:end w:w="80" w:type="dxa"/>
            </w:tcMar>
            <w:shd w:fill="E8EEF7"/>
          </w:tcPr>
          <w:p>
            <w:r>
              <w:rPr>
                <w:b/>
                <w:sz w:val="19"/>
              </w:rPr>
              <w:t>Dominance status</w:t>
            </w:r>
          </w:p>
        </w:tc>
        <w:tc>
          <w:tcPr>
            <w:tcW w:type="dxa" w:w="5141"/>
            <w:vAlign w:val="top"/>
            <w:tcMar>
              <w:top w:w="80" w:type="dxa"/>
              <w:start w:w="80" w:type="dxa"/>
              <w:bottom w:w="80" w:type="dxa"/>
              <w:end w:w="80" w:type="dxa"/>
            </w:tcMar>
          </w:tcPr>
          <w:p>
            <w:r>
              <w:rPr>
                <w:sz w:val="19"/>
              </w:rPr>
              <w:t>None conferred.</w:t>
            </w:r>
          </w:p>
        </w:tc>
      </w:tr>
      <w:tr>
        <w:tc>
          <w:tcPr>
            <w:tcW w:type="dxa" w:w="5141"/>
            <w:vAlign w:val="top"/>
            <w:tcMar>
              <w:top w:w="80" w:type="dxa"/>
              <w:start w:w="80" w:type="dxa"/>
              <w:bottom w:w="80" w:type="dxa"/>
              <w:end w:w="80" w:type="dxa"/>
            </w:tcMar>
            <w:shd w:fill="E8EEF7"/>
          </w:tcPr>
          <w:p>
            <w:r>
              <w:rPr>
                <w:b/>
                <w:sz w:val="19"/>
              </w:rPr>
              <w:t>Consensus status</w:t>
            </w:r>
          </w:p>
        </w:tc>
        <w:tc>
          <w:tcPr>
            <w:tcW w:type="dxa" w:w="5141"/>
            <w:vAlign w:val="top"/>
            <w:tcMar>
              <w:top w:w="80" w:type="dxa"/>
              <w:start w:w="80" w:type="dxa"/>
              <w:bottom w:w="80" w:type="dxa"/>
              <w:end w:w="80" w:type="dxa"/>
            </w:tcMar>
          </w:tcPr>
          <w:p>
            <w:r>
              <w:rPr>
                <w:sz w:val="19"/>
              </w:rPr>
              <w:t>Not implied.</w:t>
            </w:r>
          </w:p>
        </w:tc>
      </w:tr>
      <w:tr>
        <w:tc>
          <w:tcPr>
            <w:tcW w:type="dxa" w:w="5141"/>
            <w:vAlign w:val="top"/>
            <w:tcMar>
              <w:top w:w="80" w:type="dxa"/>
              <w:start w:w="80" w:type="dxa"/>
              <w:bottom w:w="80" w:type="dxa"/>
              <w:end w:w="80" w:type="dxa"/>
            </w:tcMar>
            <w:shd w:fill="E8EEF7"/>
          </w:tcPr>
          <w:p>
            <w:r>
              <w:rPr>
                <w:b/>
                <w:sz w:val="19"/>
              </w:rPr>
              <w:t>Claim certification</w:t>
            </w:r>
          </w:p>
        </w:tc>
        <w:tc>
          <w:tcPr>
            <w:tcW w:type="dxa" w:w="5141"/>
            <w:vAlign w:val="top"/>
            <w:tcMar>
              <w:top w:w="80" w:type="dxa"/>
              <w:start w:w="80" w:type="dxa"/>
              <w:bottom w:w="80" w:type="dxa"/>
              <w:end w:w="80" w:type="dxa"/>
            </w:tcMar>
          </w:tcPr>
          <w:p>
            <w:r>
              <w:rPr>
                <w:sz w:val="19"/>
              </w:rPr>
              <w:t>Not conferred.</w:t>
            </w:r>
          </w:p>
        </w:tc>
      </w:tr>
      <w:tr>
        <w:tc>
          <w:tcPr>
            <w:tcW w:type="dxa" w:w="5141"/>
            <w:vAlign w:val="top"/>
            <w:tcMar>
              <w:top w:w="80" w:type="dxa"/>
              <w:start w:w="80" w:type="dxa"/>
              <w:bottom w:w="80" w:type="dxa"/>
              <w:end w:w="80" w:type="dxa"/>
            </w:tcMar>
            <w:shd w:fill="E8EEF7"/>
          </w:tcPr>
          <w:p>
            <w:r>
              <w:rPr>
                <w:b/>
                <w:sz w:val="19"/>
              </w:rPr>
              <w:t>Authorized by</w:t>
            </w:r>
          </w:p>
        </w:tc>
        <w:tc>
          <w:tcPr>
            <w:tcW w:type="dxa" w:w="5141"/>
            <w:vAlign w:val="top"/>
            <w:tcMar>
              <w:top w:w="80" w:type="dxa"/>
              <w:start w:w="80" w:type="dxa"/>
              <w:bottom w:w="80" w:type="dxa"/>
              <w:end w:w="80" w:type="dxa"/>
            </w:tcMar>
          </w:tcPr>
          <w:p>
            <w:r>
              <w:rPr>
                <w:sz w:val="19"/>
              </w:rPr>
              <w:t>Nathan Lewis II, Architect, Omniversal Architect Labs / ONE Industries.</w:t>
            </w:r>
          </w:p>
        </w:tc>
      </w:tr>
      <w:tr>
        <w:tc>
          <w:tcPr>
            <w:tcW w:type="dxa" w:w="5141"/>
            <w:vAlign w:val="top"/>
            <w:tcMar>
              <w:top w:w="80" w:type="dxa"/>
              <w:start w:w="80" w:type="dxa"/>
              <w:bottom w:w="80" w:type="dxa"/>
              <w:end w:w="80" w:type="dxa"/>
            </w:tcMar>
            <w:shd w:fill="E8EEF7"/>
          </w:tcPr>
          <w:p>
            <w:r>
              <w:rPr>
                <w:b/>
                <w:sz w:val="19"/>
              </w:rPr>
              <w:t>Electronic signature reference</w:t>
            </w:r>
          </w:p>
        </w:tc>
        <w:tc>
          <w:tcPr>
            <w:tcW w:type="dxa" w:w="5141"/>
            <w:vAlign w:val="top"/>
            <w:tcMar>
              <w:top w:w="80" w:type="dxa"/>
              <w:start w:w="80" w:type="dxa"/>
              <w:bottom w:w="80" w:type="dxa"/>
              <w:end w:w="80" w:type="dxa"/>
            </w:tcMar>
          </w:tcPr>
          <w:p>
            <w:r>
              <w:rPr>
                <w:sz w:val="19"/>
              </w:rPr>
              <w:t>/s/ Nathan Lewis II - prior declaration recorded in source instruction; reproduced here as a reference, not a new signature event.</w:t>
            </w:r>
          </w:p>
        </w:tc>
      </w:tr>
      <w:tr>
        <w:tc>
          <w:tcPr>
            <w:tcW w:type="dxa" w:w="5141"/>
            <w:vAlign w:val="top"/>
            <w:tcMar>
              <w:top w:w="80" w:type="dxa"/>
              <w:start w:w="80" w:type="dxa"/>
              <w:bottom w:w="80" w:type="dxa"/>
              <w:end w:w="80" w:type="dxa"/>
            </w:tcMar>
            <w:shd w:fill="E8EEF7"/>
          </w:tcPr>
          <w:p>
            <w:r>
              <w:rPr>
                <w:b/>
                <w:sz w:val="19"/>
              </w:rPr>
              <w:t>Effective</w:t>
            </w:r>
          </w:p>
        </w:tc>
        <w:tc>
          <w:tcPr>
            <w:tcW w:type="dxa" w:w="5141"/>
            <w:vAlign w:val="top"/>
            <w:tcMar>
              <w:top w:w="80" w:type="dxa"/>
              <w:start w:w="80" w:type="dxa"/>
              <w:bottom w:w="80" w:type="dxa"/>
              <w:end w:w="80" w:type="dxa"/>
            </w:tcMar>
          </w:tcPr>
          <w:p>
            <w:r>
              <w:rPr>
                <w:sz w:val="19"/>
              </w:rPr>
              <w:t>26 September 2026, 6:57 PM PDT.</w:t>
            </w:r>
          </w:p>
        </w:tc>
      </w:tr>
    </w:tbl>
    <w:p/>
    <w:p>
      <w:pPr>
        <w:pStyle w:val="Heading1"/>
      </w:pPr>
      <w:r>
        <w:t>Appendix E. Source Basis and Provenance</w:t>
      </w:r>
    </w:p>
    <w:p>
      <w:r>
        <w:rPr>
          <w:b/>
        </w:rPr>
        <w:t>Architect original ONESTAMP prompt and prior ChatGPT analysis</w:t>
      </w:r>
      <w:r>
        <w:t xml:space="preserve"> - Established the problem of approval without version monopoly and the distinction between decision authority and contributor plurality.</w:t>
      </w:r>
    </w:p>
    <w:p>
      <w:r>
        <w:rPr>
          <w:b/>
        </w:rPr>
        <w:t>OAL-ONESTAMP-2026-001-GROK-A.pdf</w:t>
      </w:r>
      <w:r>
        <w:t xml:space="preserve"> - Independent Grok contribution dated 13 September 2026; emphasizes decision-state authorization, non-erasure, source register, structured dissent, lightweight path, and registry design.</w:t>
      </w:r>
    </w:p>
    <w:p>
      <w:r>
        <w:rPr>
          <w:b/>
        </w:rPr>
        <w:t>OAL-ONESTAMP-Perplexity-Independent-Version.docx</w:t>
      </w:r>
      <w:r>
        <w:t xml:space="preserve"> - Independent Perplexity contribution dated 26 September 2026; defines topic-level ratification, blanket coverage, record-vs-claim validity, plural-record architecture, multidimensional statuses, and electronic signature scope.</w:t>
      </w:r>
    </w:p>
    <w:p>
      <w:r>
        <w:rPr>
          <w:b/>
        </w:rPr>
        <w:t>Master_Development_and_Change_Log_Unified_v2.0.2_REVIEW_DRAFT.md</w:t>
      </w:r>
      <w:r>
        <w:t xml:space="preserve"> - Unified OAL registry used to enumerate the numbered topics and Honorable Mention queue in Appendices A and B.</w:t>
      </w:r>
    </w:p>
    <w:p>
      <w:r>
        <w:rPr>
          <w:b/>
        </w:rPr>
        <w:t>Current OAL Library evidence through 26 September 2026</w:t>
      </w:r>
      <w:r>
        <w:t xml:space="preserve"> - Used to identify later documented programs such as Open Window Doctrine, Temporal Integrity/Aliasing, SADL, Control Flow/environmental discernment, root-level simulation structures, governance authority work, and contributor workflow/status governance.</w:t>
      </w:r>
    </w:p>
    <w:p>
      <w:pPr>
        <w:pStyle w:val="Heading1"/>
      </w:pPr>
      <w:r>
        <w:t>Closing Position</w:t>
      </w:r>
    </w:p>
    <w:p>
      <w:r>
        <w:rPr>
          <w:b/>
        </w:rPr>
        <w:t xml:space="preserve">ONESTAMP should be treated as a decision, recognition, provenance, and representation-governance convention - not as a contest and not as a mechanism for silently creating a master author. </w:t>
      </w:r>
      <w:r>
        <w:t>The Architect may authorize one path, publish one representation, retire another, correct a claim, or advance a test while preserving the independent records that made the decision possible. The durable history should show what existed, what was reviewed, what was authorized, what remained unresolved, and what changed later.</w:t>
      </w:r>
    </w:p>
    <w:tbl>
      <w:tblPr>
        <w:tblW w:type="auto" w:w="0"/>
        <w:jc w:val="center"/>
        <w:tblLook w:firstColumn="1" w:firstRow="1" w:lastColumn="0" w:lastRow="0" w:noHBand="0" w:noVBand="1" w:val="04A0"/>
      </w:tblPr>
      <w:tblGrid>
        <w:gridCol w:w="10282"/>
      </w:tblGrid>
      <w:tr>
        <w:tc>
          <w:tcPr>
            <w:tcW w:type="dxa" w:w="10282"/>
            <w:shd w:fill="F3F6FA"/>
            <w:tcMar>
              <w:top w:w="140" w:type="dxa"/>
              <w:start w:w="160" w:type="dxa"/>
              <w:bottom w:w="140" w:type="dxa"/>
              <w:end w:w="160" w:type="dxa"/>
            </w:tcMar>
          </w:tcPr>
          <w:p>
            <w:r>
              <w:rPr>
                <w:b/>
                <w:sz w:val="21"/>
              </w:rPr>
              <w:t>Final independent formulation</w:t>
              <w:br/>
            </w:r>
            <w:r>
              <w:rPr>
                <w:sz w:val="20"/>
              </w:rPr>
              <w:t>ONESTAMP does not answer "Which document is the project?" It answers "What is recognized or authorized now, for what purpose and scope, by whose authority, from which known records, with what uncertainty and dissent preserved, and how can a successor change the future without erasing the past?"</w:t>
            </w:r>
          </w:p>
        </w:tc>
      </w:tr>
    </w:tbl>
    <w:p/>
    <w:sectPr w:rsidR="00FC693F" w:rsidRPr="0006063C" w:rsidSect="00034616">
      <w:headerReference w:type="default" r:id="rId9"/>
      <w:footerReference w:type="default" r:id="rId10"/>
      <w:pgSz w:w="12240" w:h="15840"/>
      <w:pgMar w:top="936" w:right="979" w:bottom="936"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OAL-ONESTAMP-2026-001-CHATGPT-INDEPENDENT-v1.0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5"/>
      </w:rPr>
      <w:t>OMNIVERSAL ARCHITECT LABS | ONESTAMP | CHATGPT INDEPENDENT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0"/>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ONESTAMP - ChatGPT Independent Version v1.0</dc:title>
  <dc:subject>Plural-record authorization, provenance, representation, and topic-ratification convention</dc:subject>
  <dc:creator>ChatGPT - GPT-5.6 Sol</dc:creator>
  <cp:keywords>OAL, ONESTAMP, provenance, governance, authorization, plural record, topic ratification</cp:keywords>
  <dc:description>generated by python-docx</dc:description>
  <cp:lastModifiedBy/>
  <cp:revision>1</cp:revision>
  <dcterms:created xsi:type="dcterms:W3CDTF">2013-12-23T23:15:00Z</dcterms:created>
  <dcterms:modified xsi:type="dcterms:W3CDTF">2013-12-23T23:15:00Z</dcterms:modified>
  <cp:category/>
</cp:coreProperties>
</file>