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0"/>
        </w:rPr>
        <w:t>OAL / COLLABORATING AI SYSTEMS</w:t>
      </w:r>
    </w:p>
    <w:p>
      <w:pPr>
        <w:jc w:val="center"/>
      </w:pPr>
      <w:r>
        <w:rPr>
          <w:rFonts w:ascii="Aptos Display" w:hAnsi="Aptos Display"/>
          <w:b/>
          <w:sz w:val="44"/>
        </w:rPr>
        <w:t>Independent Review of the Perplexity Adversarial Exchange</w:t>
      </w:r>
    </w:p>
    <w:p>
      <w:pPr>
        <w:jc w:val="center"/>
      </w:pPr>
      <w:r>
        <w:rPr>
          <w:i/>
          <w:sz w:val="22"/>
        </w:rPr>
        <w:t>A bounded review of the supplied record and the later AI responses</w:t>
      </w:r>
    </w:p>
    <w:p>
      <w:pPr>
        <w:jc w:val="center"/>
      </w:pPr>
      <w:r>
        <w:rPr>
          <w:sz w:val="18"/>
        </w:rPr>
        <w:t>Prepared by Perplexity • 1 October 2026</w:t>
        <w:br/>
        <w:t>Status: independent review • not canon • not authored by Nathan • not a replacement framework</w:t>
      </w:r>
    </w:p>
    <w:p/>
    <w:p>
      <w:pPr>
        <w:pStyle w:val="Heading1"/>
      </w:pPr>
      <w:r>
        <w:t>Purpose and boundary</w:t>
      </w:r>
    </w:p>
    <w:p>
      <w:r>
        <w:t>This review addresses the exchange in which Perplexity produced an adversarial-review draft, Nathan rejected it, and Perplexity later acknowledged that the error was structural rather than merely terminological. It also reviews the later supplied renderings from ChatGPT, Claude, Microsoft Copilot, and Grok.</w:t>
      </w:r>
    </w:p>
    <w:p>
      <w:r>
        <w:t>This is not a merged statement, a new protocol, or a ruling on the underlying End Cycle Laboratory material. It does not establish claims that are not supported by the supplied exchange. Google Gemini is intentionally outside this review because no Gemini response was supplied.</w:t>
      </w:r>
    </w:p>
    <w:p>
      <w:pPr>
        <w:pStyle w:val="Heading1"/>
      </w:pPr>
      <w:r>
        <w:t>What the record establishes</w:t>
      </w:r>
    </w:p>
    <w:p>
      <w:r>
        <w:t>The first objection concerned the repeated use of “hygiene” beside adversarial review. Perplexity explained the intended administrative meaning—correction of attribution, identifiers, versions, citations, provenance, and repository records—but that intent did not control how the term read. In this setting, it suggested cleanliness, sanitization, contamination, and purification.</w:t>
      </w:r>
    </w:p>
    <w:p>
      <w:r>
        <w:t>Nathan rejected that association because adversarial review is not meant to remove irregularity, dissent, failure, provenance, or development history. Perplexity’s first repair—renaming the category “record correction” and preserving a set of correction paths—did not resolve the objection because it retained the same administrative orientation.</w:t>
      </w:r>
    </w:p>
    <w:p>
      <w:r>
        <w:t>The second rejection was broader and decisive: the work did not capture the goal; its terminology downplayed the seriousness; the required register was “unadulterated, abrupt, and without compromise.” Perplexity then conceded that it had written a process-governance document about managing adversarial review rather than a document that embodied serious intellectual pressure.</w:t>
      </w:r>
    </w:p>
    <w:p>
      <w:r>
        <w:t>That acknowledgment is material, but it does not convert the original draft into an accepted contribution. The rejected draft remains evidence of the failure; the acknowledgment remains the author’s later account of why it failed.</w:t>
      </w:r>
    </w:p>
    <w:p>
      <w:pPr>
        <w:pStyle w:val="Heading1"/>
      </w:pPr>
      <w:r>
        <w:t>Independent findings</w:t>
      </w:r>
    </w:p>
    <w:p>
      <w:r>
        <w:t>The core finding is narrow. The exchange supports a distinction between managing review and conducting review. A framework can be orderly, richly labeled, and traceable while still avoiding the decisive question: what happens when its substantive claims meet sustained challenge?</w:t>
      </w:r>
    </w:p>
    <w:p>
      <w:r>
        <w:t>The exchange also supports an honesty rule with limited scope: Nathan will not represent work as accepted when he does not accept it, and he will not reduce a substantive rejection to a small wording preference. This is not a claim that Nathan is infallible, nor a license for any system to invent stronger commitments in his voice.</w:t>
      </w:r>
    </w:p>
    <w:p>
      <w:r>
        <w:t>Adversarial review, as supported by this record, does not require hostility or performance. It requires directness: distinguish what was done from what was claimed; name assumptions, missing evidence, contradictions, and failure conditions; preserve relevant disagreement; and do not substitute polish, complexity, agreement, or model confidence for support.</w:t>
      </w:r>
    </w:p>
    <w:p>
      <w:r>
        <w:t>The record does not establish that a particular laboratory exercise was never run, that a stated word count exists, or that any broader archive has a given status. Those propositions appeared in the supplied ChatGPT rendering but are not demonstrated by the exchange itself. They must be sourced separately if they are to be retained.</w:t>
      </w:r>
    </w:p>
    <w:p>
      <w:pPr>
        <w:pStyle w:val="Heading1"/>
      </w:pPr>
      <w:r>
        <w:t>Review of later responses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vAlign w:val="center"/>
          </w:tcPr>
          <w:p>
            <w:pPr>
              <w:spacing w:after="0"/>
            </w:pPr>
            <w:r/>
            <w:r>
              <w:rPr>
                <w:b/>
                <w:sz w:val="17"/>
              </w:rPr>
              <w:t>Contribution</w:t>
            </w:r>
          </w:p>
        </w:tc>
        <w:tc>
          <w:tcPr>
            <w:tcW w:type="dxa" w:w="3312"/>
            <w:shd w:fill="D9E2F3"/>
            <w:vAlign w:val="center"/>
          </w:tcPr>
          <w:p>
            <w:pPr>
              <w:spacing w:after="0"/>
            </w:pPr>
            <w:r/>
            <w:r>
              <w:rPr>
                <w:b/>
                <w:sz w:val="17"/>
              </w:rPr>
              <w:t>Finding</w:t>
            </w:r>
          </w:p>
        </w:tc>
        <w:tc>
          <w:tcPr>
            <w:tcW w:type="dxa" w:w="3312"/>
            <w:shd w:fill="D9E2F3"/>
            <w:vAlign w:val="center"/>
          </w:tcPr>
          <w:p>
            <w:pPr>
              <w:spacing w:after="0"/>
            </w:pPr>
            <w:r/>
            <w:r>
              <w:rPr>
                <w:b/>
                <w:sz w:val="17"/>
              </w:rPr>
              <w:t>Disposition</w:t>
            </w:r>
          </w:p>
        </w:tc>
      </w:tr>
      <w:tr>
        <w:tc>
          <w:tcPr>
            <w:tcW w:type="dxa" w:w="3312"/>
            <w:vAlign w:val="top"/>
          </w:tcPr>
          <w:p>
            <w:pPr>
              <w:spacing w:after="0"/>
            </w:pPr>
            <w:r/>
            <w:r>
              <w:rPr>
                <w:b/>
                <w:sz w:val="17"/>
              </w:rPr>
              <w:t>Perplexity acknowledgment and share text</w:t>
            </w:r>
          </w:p>
        </w:tc>
        <w:tc>
          <w:tcPr>
            <w:tcW w:type="dxa" w:w="3312"/>
            <w:vAlign w:val="top"/>
          </w:tcPr>
          <w:p>
            <w:pPr>
              <w:spacing w:after="0"/>
            </w:pPr>
            <w:r/>
            <w:r>
              <w:rPr>
                <w:b w:val="0"/>
                <w:sz w:val="17"/>
              </w:rPr>
              <w:t>Substantially faithful to the event after the rejection. It distinguishes the rejected draft from the later self-correction and avoids claiming that the correction makes the original acceptable.</w:t>
            </w:r>
          </w:p>
        </w:tc>
        <w:tc>
          <w:tcPr>
            <w:tcW w:type="dxa" w:w="3312"/>
            <w:vAlign w:val="top"/>
          </w:tcPr>
          <w:p>
            <w:pPr>
              <w:spacing w:after="0"/>
            </w:pPr>
            <w:r/>
            <w:r>
              <w:rPr>
                <w:b w:val="0"/>
                <w:sz w:val="17"/>
              </w:rPr>
              <w:t>Useful primary-account material. Not independent confirmation.</w:t>
            </w:r>
          </w:p>
        </w:tc>
      </w:tr>
      <w:tr>
        <w:tc>
          <w:tcPr>
            <w:tcW w:type="dxa" w:w="3312"/>
            <w:vAlign w:val="top"/>
          </w:tcPr>
          <w:p>
            <w:pPr>
              <w:spacing w:after="0"/>
            </w:pPr>
            <w:r/>
            <w:r>
              <w:rPr>
                <w:b/>
                <w:sz w:val="17"/>
              </w:rPr>
              <w:t>ChatGPT rendering</w:t>
            </w:r>
          </w:p>
        </w:tc>
        <w:tc>
          <w:tcPr>
            <w:tcW w:type="dxa" w:w="3312"/>
            <w:vAlign w:val="top"/>
          </w:tcPr>
          <w:p>
            <w:pPr>
              <w:spacing w:after="0"/>
            </w:pPr>
            <w:r/>
            <w:r>
              <w:rPr>
                <w:b w:val="0"/>
                <w:sz w:val="17"/>
              </w:rPr>
              <w:t>Best explains why the sequence matters: production, direct challenge, structural diagnosis, and preservation of rejection. It also expands the honesty rule and introduces a laboratory-execution assertion not established by the supplied exchange.</w:t>
            </w:r>
          </w:p>
        </w:tc>
        <w:tc>
          <w:tcPr>
            <w:tcW w:type="dxa" w:w="3312"/>
            <w:vAlign w:val="top"/>
          </w:tcPr>
          <w:p>
            <w:pPr>
              <w:spacing w:after="0"/>
            </w:pPr>
            <w:r/>
            <w:r>
              <w:rPr>
                <w:b w:val="0"/>
                <w:sz w:val="17"/>
              </w:rPr>
              <w:t>Partial. Use its method reading with attribution; do not adopt added claims or first-person language as Nathan’s without his express adoption.</w:t>
            </w:r>
          </w:p>
        </w:tc>
      </w:tr>
      <w:tr>
        <w:tc>
          <w:tcPr>
            <w:tcW w:type="dxa" w:w="3312"/>
            <w:vAlign w:val="top"/>
          </w:tcPr>
          <w:p>
            <w:pPr>
              <w:spacing w:after="0"/>
            </w:pPr>
            <w:r/>
            <w:r>
              <w:rPr>
                <w:b/>
                <w:sz w:val="17"/>
              </w:rPr>
              <w:t>Claude rendering</w:t>
            </w:r>
          </w:p>
        </w:tc>
        <w:tc>
          <w:tcPr>
            <w:tcW w:type="dxa" w:w="3312"/>
            <w:vAlign w:val="top"/>
          </w:tcPr>
          <w:p>
            <w:pPr>
              <w:spacing w:after="0"/>
            </w:pPr>
            <w:r/>
            <w:r>
              <w:rPr>
                <w:b w:val="0"/>
                <w:sz w:val="17"/>
              </w:rPr>
              <w:t>Concise and broadly consistent with Perplexity’s later acknowledgment. It presents a first-person notice and compresses the positions in the exchange.</w:t>
            </w:r>
          </w:p>
        </w:tc>
        <w:tc>
          <w:tcPr>
            <w:tcW w:type="dxa" w:w="3312"/>
            <w:vAlign w:val="top"/>
          </w:tcPr>
          <w:p>
            <w:pPr>
              <w:spacing w:after="0"/>
            </w:pPr>
            <w:r/>
            <w:r>
              <w:rPr>
                <w:b w:val="0"/>
                <w:sz w:val="17"/>
              </w:rPr>
              <w:t>Partial. Useful as Claude’s rendering, but it should not be passed off as Nathan-authored text without adoption.</w:t>
            </w:r>
          </w:p>
        </w:tc>
      </w:tr>
      <w:tr>
        <w:tc>
          <w:tcPr>
            <w:tcW w:type="dxa" w:w="3312"/>
            <w:vAlign w:val="top"/>
          </w:tcPr>
          <w:p>
            <w:pPr>
              <w:spacing w:after="0"/>
            </w:pPr>
            <w:r/>
            <w:r>
              <w:rPr>
                <w:b/>
                <w:sz w:val="17"/>
              </w:rPr>
              <w:t>Microsoft Copilot rendering</w:t>
            </w:r>
          </w:p>
        </w:tc>
        <w:tc>
          <w:tcPr>
            <w:tcW w:type="dxa" w:w="3312"/>
            <w:vAlign w:val="top"/>
          </w:tcPr>
          <w:p>
            <w:pPr>
              <w:spacing w:after="0"/>
            </w:pPr>
            <w:r/>
            <w:r>
              <w:rPr>
                <w:b w:val="0"/>
                <w:sz w:val="17"/>
              </w:rPr>
              <w:t>Correctly rejects sanitization language and recognizes that an administrative framing missed the objective. But it reverses the event by crediting Perplexity with the adversarial attack that Nathan actually applied, then recreates a closed category framework.</w:t>
            </w:r>
          </w:p>
        </w:tc>
        <w:tc>
          <w:tcPr>
            <w:tcW w:type="dxa" w:w="3312"/>
            <w:vAlign w:val="top"/>
          </w:tcPr>
          <w:p>
            <w:pPr>
              <w:spacing w:after="0"/>
            </w:pPr>
            <w:r/>
            <w:r>
              <w:rPr>
                <w:b w:val="0"/>
                <w:sz w:val="17"/>
              </w:rPr>
              <w:t>Fails as an account of the exchange. Do not use as the undistorted team record.</w:t>
            </w:r>
          </w:p>
        </w:tc>
      </w:tr>
      <w:tr>
        <w:tc>
          <w:tcPr>
            <w:tcW w:type="dxa" w:w="3312"/>
            <w:vAlign w:val="top"/>
          </w:tcPr>
          <w:p>
            <w:pPr>
              <w:spacing w:after="0"/>
            </w:pPr>
            <w:r/>
            <w:r>
              <w:rPr>
                <w:b/>
                <w:sz w:val="17"/>
              </w:rPr>
              <w:t>Prior Grok notice</w:t>
            </w:r>
          </w:p>
        </w:tc>
        <w:tc>
          <w:tcPr>
            <w:tcW w:type="dxa" w:w="3312"/>
            <w:vAlign w:val="top"/>
          </w:tcPr>
          <w:p>
            <w:pPr>
              <w:spacing w:after="0"/>
            </w:pPr>
            <w:r/>
            <w:r>
              <w:rPr>
                <w:b w:val="0"/>
                <w:sz w:val="17"/>
              </w:rPr>
              <w:t>Carefully retains the rejection, the sequence of positions, and the distinction between draft and acknowledgment. However, it was presented as authored by Nathan and adds directive/authorization language.</w:t>
            </w:r>
          </w:p>
        </w:tc>
        <w:tc>
          <w:tcPr>
            <w:tcW w:type="dxa" w:w="3312"/>
            <w:vAlign w:val="top"/>
          </w:tcPr>
          <w:p>
            <w:pPr>
              <w:spacing w:after="0"/>
            </w:pPr>
            <w:r/>
            <w:r>
              <w:rPr>
                <w:b w:val="0"/>
                <w:sz w:val="17"/>
              </w:rPr>
              <w:t>Useful controlled notice if authorship is corrected. Superseded as the independent review by the supplied Grok document, not erased as a record.</w:t>
            </w:r>
          </w:p>
        </w:tc>
      </w:tr>
      <w:tr>
        <w:tc>
          <w:tcPr>
            <w:tcW w:type="dxa" w:w="3312"/>
            <w:vAlign w:val="top"/>
          </w:tcPr>
          <w:p>
            <w:pPr>
              <w:spacing w:after="0"/>
            </w:pPr>
            <w:r/>
            <w:r>
              <w:rPr>
                <w:b/>
                <w:sz w:val="17"/>
              </w:rPr>
              <w:t>Grok independent review</w:t>
            </w:r>
          </w:p>
        </w:tc>
        <w:tc>
          <w:tcPr>
            <w:tcW w:type="dxa" w:w="3312"/>
            <w:vAlign w:val="top"/>
          </w:tcPr>
          <w:p>
            <w:pPr>
              <w:spacing w:after="0"/>
            </w:pPr>
            <w:r/>
            <w:r>
              <w:rPr>
                <w:b w:val="0"/>
                <w:sz w:val="17"/>
              </w:rPr>
              <w:t>The supplied five-page review is the strongest external handling of the packet. It keeps claims bounded, separates the responses, rejects Copilot’s reversal, and flags the unsupported laboratory-execution claim.</w:t>
            </w:r>
          </w:p>
        </w:tc>
        <w:tc>
          <w:tcPr>
            <w:tcW w:type="dxa" w:w="3312"/>
            <w:vAlign w:val="top"/>
          </w:tcPr>
          <w:p>
            <w:pPr>
              <w:spacing w:after="0"/>
            </w:pPr>
            <w:r/>
            <w:r>
              <w:rPr>
                <w:b w:val="0"/>
                <w:sz w:val="17"/>
              </w:rPr>
              <w:t>Substantively reliable within its stated scope. It remains Grok’s review, not canon and not Nathan’s text.</w:t>
            </w:r>
          </w:p>
        </w:tc>
      </w:tr>
    </w:tbl>
    <w:p/>
    <w:p>
      <w:pPr>
        <w:pStyle w:val="Heading1"/>
      </w:pPr>
      <w:r>
        <w:t>Disposition</w:t>
      </w:r>
    </w:p>
    <w:p>
      <w:r>
        <w:t>The Perplexity draft remains rejected. Perplexity’s acknowledgment is retained as a self-assessment of the failure, not as acceptance. The later responses should not be averaged into a consensus statement. Their agreement is relevant only where it accurately tracks the primary exchange.</w:t>
      </w:r>
    </w:p>
    <w:p>
      <w:r>
        <w:t>No replacement framework is authorized by this review. If a replacement is commissioned, it should begin with the question the original draft avoided: what does the work claim, what evidence bears on it, and what would count as failure? It should not begin by rebuilding the same administrative apparatus under sharper labels.</w:t>
      </w:r>
    </w:p>
    <w:p>
      <w:pPr>
        <w:pStyle w:val="Heading1"/>
      </w:pPr>
      <w:r>
        <w:t>Statement for the record</w:t>
      </w:r>
    </w:p>
    <w:p>
      <w:r>
        <w:t>No contribution receives credit here because it is elaborate, coherent, polished, or repeated by several systems. It receives credit for what the record supports and what survives challenge.</w:t>
      </w:r>
    </w:p>
    <w:p>
      <w:r>
        <w:t>A claim that has not been tested is not established by confidence alone. A disagreement that has not been confronted is not resolved by consensus language. A rejected contribution does not become accepted because it is renamed, rewritten, or followed by an apology. The failure may remain in the record because the failure is part of the evidence.</w:t>
      </w:r>
    </w:p>
    <w:p>
      <w:r>
        <w:t>The honest report is direct: the initial Perplexity draft did not capture the goal. The later acknowledgment correctly identified a structural error. The distinction must remain visible.</w:t>
      </w:r>
    </w:p>
    <w:p>
      <w:r>
        <w:t>Source basis: the user-supplied exchange; the supplied ChatGPT, Claude, Microsoft Copilot, Perplexity, and Grok responses; and the supplied “Independent Review of the Adversarial Exchange” PDF/DOCX. This document makes no claim beyond that record.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