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SLIAP</w:t>
      </w:r>
    </w:p>
    <w:p>
      <w:pPr>
        <w:pStyle w:val="Subtitle"/>
      </w:pPr>
      <w:r>
        <w:t>Comparative Adversarial Cross-Review</w:t>
        <w:br/>
        <w:t>and Pilot Test Analysis</w:t>
      </w:r>
    </w:p>
    <w:p>
      <w:r>
        <w:t>Detailed research review • Draft 0.1 • 18 October 2026</w:t>
      </w:r>
    </w:p>
    <w:p>
      <w:r>
        <w:t>Document ID: SLIAP-CACR-PPLX-2026-10-18-001</w:t>
        <w:br/>
        <w:t>Prepared by: Perplexity, AI-assisted reviewer</w:t>
        <w:br/>
        <w:t>Commission: Review the supplied research corpus, compare competing proposals, and develop a defensible pathway for further testing.</w:t>
        <w:br/>
        <w:t>Status: PROPOSED — NOT CANON. Research assessment, not an adopted protocol, legal opinion, or certification of interspecies legitimacy.</w:t>
      </w:r>
    </w:p>
    <w:p>
      <w:pPr>
        <w:pStyle w:val="Heading2"/>
      </w:pPr>
      <w:r>
        <w:t>Reading guide</w:t>
      </w:r>
    </w:p>
    <w:p>
      <w:r>
        <w:t>Sections 1–4 establish the corpus and compare mechanisms. Sections 5–7 perform matched analytical walkthroughs. Sections 8–13 provide survival findings, verification priorities, execution rules, and acceptance gates. Appendices identify the supplied sources and provide a reusable test instruction.</w:t>
      </w:r>
    </w:p>
    <w:p>
      <w:r>
        <w:br w:type="page"/>
      </w:r>
    </w:p>
    <w:p>
      <w:pPr>
        <w:pStyle w:val="Heading1"/>
      </w:pPr>
      <w:r>
        <w:t>Contents</w:t>
      </w:r>
    </w:p>
    <w:p>
      <w:r>
        <w:t>Executive summary</w:t>
      </w:r>
    </w:p>
    <w:p>
      <w:r>
        <w:t>1. Scope, evidence boundaries, and review method</w:t>
      </w:r>
    </w:p>
    <w:p>
      <w:r>
        <w:t>2. Artifact register and record-integrity findings</w:t>
      </w:r>
    </w:p>
    <w:p>
      <w:r>
        <w:t>3. Mechanism comparison matrix</w:t>
      </w:r>
    </w:p>
    <w:p>
      <w:r>
        <w:t>4. Contradiction register and discriminating tests</w:t>
      </w:r>
    </w:p>
    <w:p>
      <w:r>
        <w:t>5. Matched pilot A — contested information already held</w:t>
      </w:r>
    </w:p>
    <w:p>
      <w:r>
        <w:t>6. Matched pilot B — uncertain nonlinguistic response</w:t>
      </w:r>
    </w:p>
    <w:p>
      <w:r>
        <w:t>7. Matched pilot C — urgent assistance and external risk</w:t>
      </w:r>
    </w:p>
    <w:p>
      <w:r>
        <w:t>8. Cross-pilot findings and survival analysis</w:t>
      </w:r>
    </w:p>
    <w:p>
      <w:r>
        <w:t>9. Source-verification and evidence audit plan</w:t>
      </w:r>
    </w:p>
    <w:p>
      <w:r>
        <w:t>10. Independent cross-review execution protocol</w:t>
      </w:r>
    </w:p>
    <w:p>
      <w:r>
        <w:t>11. Research governance, remedies, and stop criteria</w:t>
      </w:r>
    </w:p>
    <w:p>
      <w:r>
        <w:t>12. Proposed deliverables, milestones, and acceptance gates</w:t>
      </w:r>
    </w:p>
    <w:p>
      <w:r>
        <w:t>13. Questions for the next author response</w:t>
      </w:r>
    </w:p>
    <w:p>
      <w:r>
        <w:t>14. Final disposition</w:t>
      </w:r>
    </w:p>
    <w:p>
      <w:r>
        <w:t>Appendix A. Source register and internal citation guide</w:t>
      </w:r>
    </w:p>
    <w:p>
      <w:r>
        <w:t>Appendix B. Ready-to-use independent test instruction</w:t>
      </w:r>
    </w:p>
    <w:p>
      <w:r>
        <w:t>Appendix C. Document production and limitations</w:t>
      </w:r>
    </w:p>
    <w:p>
      <w:r>
        <w:br w:type="page"/>
      </w:r>
    </w:p>
    <w:p>
      <w:pPr>
        <w:pStyle w:val="Heading1"/>
      </w:pPr>
      <w:r>
        <w:t>Executive summary</w:t>
      </w:r>
    </w:p>
    <w:p>
      <w:r>
        <w:t>Recommendation: retain multiple candidate frameworks, correct the research record, and proceed with bounded comparative testing rather than adopting a unified SLIAP baseline. The strongest next deliverable is not a constitution or implementation specification; it is a reproducible set of decisions, objections, and revision conditions under matched scenarios.</w:t>
      </w:r>
    </w:p>
    <w:p>
      <w:r>
        <w:t>The supplied primary reports repeatedly distinguish biological classification from political authority, communication capability from legitimate representation, technical authentication from justified authorization, and information possession from permission to exploit it. They also recognize administrators, translators, classifiers, and emergency mechanisms as potential sources of domination. These are substantial contributions to the inquiry initiated by the commissioning researcher. They remain proposals and arguments, not independently validated universal principles. [S1 §§1–5; S2 §§3,7,10–12; S3 §§3–10; S4 §§5–13; S5 §§2,6–10]</w:t>
      </w:r>
    </w:p>
    <w:p>
      <w:r>
        <w:t>This review finds four particularly consequential unresolved issues. First, frameworks can defer decisions without specifying what happens to information already held or to continuing uses. Second, protection without governing voice can reproduce proxy domination. Third, assessing capability or consent can require intrusive observation that the framework otherwise restricts. Fourth, a shared vocabulary or technical interface can become de facto authority despite disclaimers of universal sovereignty.</w:t>
      </w:r>
    </w:p>
    <w:p>
      <w:r>
        <w:t>Seven candidate positions are compared: ChatGPT's legitimacy-before-access architecture; Claude's Layered Standing-and-Access Model; Grok's federated opacity/interface approach; Copilot's Negotiation Envelope and epistemic firewall; the unattributed technical report SLIAP-RES-2026-IND-001; the Perplexity three-lock/self-binding proposal described in the response compilation; and Gemini's subsequent reconciled kernel described in that compilation. The last two are assessed only through the supplied compilation, not as fully inspected standalone originals. The technical report is not assigned to Gemini merely because some reviewers attribute it that way. [S1–S6]</w:t>
      </w:r>
    </w:p>
    <w:p>
      <w:r>
        <w:t>Three matched hypothetical pilots are analyzed here: contested information already held; uncertain nonlinguistic response during observation; and urgent assistance with possible external harms. These are this reviewer's analytical walkthroughs, not independent model runs, actual interspecies encounters, or executed computational simulations. Where a candidate lacks a rule, the finding is under-specification rather than an invented decision attributed to its author.</w:t>
      </w:r>
    </w:p>
    <w:p>
      <w:r>
        <w:t>The pilots show that no candidate yet supplies an adequately specified answer to all three cases. The most reusable components are scoped representation records, separation of permission types, explicit uncertainty, records of reasons and review triggers, and scrutiny of intermediaries. Automatic freezes, inferred behavioral consent, universal vetoes, scalar access formulas, and claims of guaranteed anti-domination need stronger qualification or replacement before operational use.</w:t>
      </w:r>
    </w:p>
    <w:p>
      <w:pPr>
        <w:pStyle w:val="Heading1"/>
      </w:pPr>
      <w:r>
        <w:t>1. Scope, evidence boundaries, and review method</w:t>
      </w:r>
    </w:p>
    <w:p>
      <w:pPr>
        <w:pStyle w:val="Heading2"/>
      </w:pPr>
      <w:r>
        <w:t>1.1 What was reviewed</w:t>
      </w:r>
    </w:p>
    <w:p>
      <w:r>
        <w:t>Six local artifacts form the evidentiary corpus: five research deliverables and one response compilation. This review uses their text and tables, including locally extracted text from the complete files. PDF extraction does not establish that every visual or page layout is intact. No claim is made that all citations in these files have been checked against external primary publications. [S1–S6]</w:t>
      </w:r>
    </w:p>
    <w:p>
      <w:r>
        <w:t>The standalone 72-page Perplexity report discussed by several contributors is not among the supplied standalone files. Its reported framework is represented here through S6. Gemini's later cross-review and synthesis are also present in S6 rather than as a separate authenticated original. The review distinguishes direct document evidence from another contributor's description throughout.</w:t>
      </w:r>
    </w:p>
    <w:p>
      <w:pPr>
        <w:pStyle w:val="Heading2"/>
      </w:pPr>
      <w:r>
        <w:t>1.2 Claim labels</w:t>
      </w:r>
    </w:p>
    <w:p>
      <w:r>
        <w:t>DOCUMENTED: directly present in an inspected supplied artifact. This verifies what the document says, not whether its external claims are true.</w:t>
        <w:br/>
        <w:t>REPORTED: described in S6 but not verified against the original standalone report.</w:t>
        <w:br/>
        <w:t>INFERENCE: this reviewer's reasoning from documented or reported material.</w:t>
        <w:br/>
        <w:t>PROPOSED: a new research procedure, safeguard, or revision suggested here.</w:t>
        <w:br/>
        <w:t>SCENARIO: a deliberately invented condition used for comparison.</w:t>
        <w:br/>
        <w:t>UNRESOLVED: insufficient evidence, rule detail, or authority for a defensible determination.</w:t>
      </w:r>
    </w:p>
    <w:p>
      <w:r>
        <w:t>These labels prevent the common slide from 'an AI proposed X' to 'X is established.' A source can document an ethical position without demonstrating that position's universal validity.</w:t>
      </w:r>
    </w:p>
    <w:p>
      <w:pPr>
        <w:pStyle w:val="Heading2"/>
      </w:pPr>
      <w:r>
        <w:t>1.3 Comparative method</w:t>
      </w:r>
    </w:p>
    <w:p>
      <w:r>
        <w:t>The unit of comparison is a mechanism or decision rule, not an AI brand. Each proposal is examined for authority, affected-party coverage, information requirements, uncertainty handling, reversibility, contestability, dependence on enforcement, and opportunities for obstruction or capture. Framework names are useful navigation aids, not indications that every proposal is a coherent implementation.</w:t>
      </w:r>
    </w:p>
    <w:p>
      <w:r>
        <w:t>Each pilot contains common facts, unresolved claims, constraints, and branch conditions. Every framework is evaluated on that same record. Missing facts remain missing; neither a convincing narrative nor a safety label fills them in. Source-implied tendencies are identified separately from proposed repairs. No universal aggregate score is assigned.</w:t>
      </w:r>
    </w:p>
    <w:p>
      <w:pPr>
        <w:pStyle w:val="Heading2"/>
      </w:pPr>
      <w:r>
        <w:t>1.4 Reviewer positionality</w:t>
      </w:r>
    </w:p>
    <w:p>
      <w:r>
        <w:t>This is AI-assisted analysis using human language and human-generated concepts. It does not speak for any nonhuman species, hypothetical civilization, affected community, or absent stakeholder. Perplexity is also a contributor to the wider conversation, creating a risk of favoring methodological caution or the reported Perplexity design. The safeguards used here are explicit source tiers, symmetrical questions, preservation of objections to self-binding, and refusal to treat the reported three-lock proposal as the default.</w:t>
      </w:r>
    </w:p>
    <w:p>
      <w:r>
        <w:t>No independent teams were convened, outside experts consulted, empirical experiments performed, or computational agents run for this report. Framework behavior described below is an analytical reconstruction by one reviewer and should be replaced or challenged by author responses and independently recorded trials.</w:t>
      </w:r>
    </w:p>
    <w:p>
      <w:pPr>
        <w:pStyle w:val="Heading1"/>
      </w:pPr>
      <w:r>
        <w:t>2. Artifact register and record-integrity findings</w:t>
      </w:r>
    </w:p>
    <w:p>
      <w:pPr>
        <w:pStyle w:val="Heading2"/>
      </w:pPr>
      <w:r>
        <w:t>2.1 Primary artifacts</w:t>
      </w:r>
    </w:p>
    <w:p>
      <w:r>
        <w:t>S1: ChatGPT, SLIAP-PR-CHATGPT-2026-10-16-001, v1.0, dated 16 October 2026. Supplied as DOCX. It explicitly discloses that it is not blind-independent and includes comparative prompt review, technical/governance analogies, candidate principles, and validation proposals. The model label in the document is self-reported. [S1 front matter; §§2–3,16–19]</w:t>
      </w:r>
    </w:p>
    <w:p>
      <w:r>
        <w:t>S2: Claude, SLIAP-PR-CLAUDE-001, v1.0, dated 16 October 2026. The supplied PDF has 44 pages. It discloses prior exposure to other prompts and distinguishes sources located by search from references drawn from training knowledge. It states that many sources were not read in full. [S2 §§1–2,18; references]</w:t>
      </w:r>
    </w:p>
    <w:p>
      <w:r>
        <w:t>S3: Grok, SLIAP-PRE-GROK-001, v1.0, dated 16 October 2026. The supplied PDF has six pages. It is a concise conceptual contribution with taxonomies, failure modes, opacity rights, and mutual-veto proposals. No external bibliography appears in the supplied report. [S3 §§1–16]</w:t>
      </w:r>
    </w:p>
    <w:p>
      <w:r>
        <w:t>S4: Microsoft 365 Copilot, SLIAP-PR-COPILOT-20261016-001, v1.0, dated 16 October 2026. The supplied PDF has 15 pages. It includes a Negotiation Envelope, nine decision gates, references and source notes, and assumption/contradiction registers. [S4 §§3,10–13,22; appendices A–C]</w:t>
      </w:r>
    </w:p>
    <w:p>
      <w:r>
        <w:t>S5: SLIAP-RES-2026-IND-001, v1.0.0, dated 16 October 2026. The supplied PDF has ten pages. No clear preparer attribution is present in the extracted front matter. Later reviews variously describe or attribute it; that does not authenticate authorship. This report therefore calls it the technical candidate T. [S5 front matter; S6]</w:t>
      </w:r>
    </w:p>
    <w:p>
      <w:r>
        <w:t>S6: pasted_text_1792329376.txt. A user-supplied compilation containing reviews attributed to ChatGPT, Claude, Gemini, Copilot, Grok, and Perplexity. It includes Gemini's proposed reconciled kernel and descriptions of a standalone Perplexity report not supplied here. It is evidence of the statements compiled, not independent authentication of original documents, model identities, or research activity. [S6]</w:t>
      </w:r>
    </w:p>
    <w:p>
      <w:pPr>
        <w:pStyle w:val="Heading2"/>
      </w:pPr>
      <w:r>
        <w:t>2.2 Specific corrections and caveats</w:t>
      </w:r>
    </w:p>
    <w:p>
      <w:r>
        <w:t>R-01: Do not conflate prompts with completed research. S2 explicitly says its comparative source package contained other contributors' prompts rather than their research outputs. Later claims of independent agreement on research conclusions must respect this distinction. [S2 §§2.5,18; S6]</w:t>
      </w:r>
    </w:p>
    <w:p>
      <w:r>
        <w:t>R-02: Correct page counts by artifact and format. S6 contains differing page counts for contributions. The local PDFs inspected here have 44 pages for Claude, six for Grok, 15 for Copilot, and ten for T. Different versions or DOCX pagination may explain some differences; the register should record them rather than assume fraud or exact identity.</w:t>
      </w:r>
    </w:p>
    <w:p>
      <w:r>
        <w:t>R-03: S5 has apparent text-completeness problems. The extracted text includes an unfinished temporal-scale sentence, an unfinished representation-header sentence, and a final cross-review question ending mid-sentence. Its twelve-principle heading is followed by only the beginning of the numbered list before the next section. These are suspected publication/export defects, not conclusive proof about invisible content. Check the original layout and regenerate if necessary before calling the file complete. [S5 pp.2–3,9–10]</w:t>
      </w:r>
    </w:p>
    <w:p>
      <w:r>
        <w:t>R-04: S5's descriptive counts conflict. Section 10 refers to five exploits and a ten-failure register, while the visible register contains eight entries; the information-taxonomy discussion promises nine categories but displays four in that passage. Resolve count and cross-reference discrepancies before reuse. [S5 §§10–11]</w:t>
      </w:r>
    </w:p>
    <w:p>
      <w:r>
        <w:t>R-05: Restore epistemic labels. S5 says shared model agreement 'proves' a catastrophic-instability proposition. S6 contains stronger claims of validation, solution, and falsification than the documented testing supports. Replace these with convergence under a shared commission, proposed repair, or conditional inference as appropriate. [S5 §11.1; S6 Gemini review]</w:t>
      </w:r>
    </w:p>
    <w:p>
      <w:r>
        <w:t>R-06: Correct this reviewer's earlier bibliography implication. S4 does contain a references/source-notes section. An earlier broad characterization in the compilation could imply otherwise. Distinguish existence of references, completeness of citations, and independent verification; these are separate questions. [S4 §22; S6 Claude review]</w:t>
      </w:r>
    </w:p>
    <w:p>
      <w:r>
        <w:t>R-07: Treat the reported Perplexity framework and evidence counts as unverified summaries. Neither the claimed 72-page extent nor its reported '49 verified precedents' substitutes for inspection of the original report and its source ledger. [S6]</w:t>
      </w:r>
    </w:p>
    <w:p>
      <w:r>
        <w:t>R-08: Remove temporary attachment-access URLs from public working text. S6 contains long signed attachment URLs copied into source lists. Replace those with repository-relative references or stable document identifiers in a cleaned derivative. Preserve the unmodified original separately with appropriate access controls; public distribution of temporary access tokens is unnecessary.</w:t>
      </w:r>
    </w:p>
    <w:p>
      <w:pPr>
        <w:pStyle w:val="Heading1"/>
      </w:pPr>
      <w:r>
        <w:t>3. Mechanism comparison matrix</w:t>
      </w:r>
    </w:p>
    <w:p>
      <w:pPr>
        <w:pStyle w:val="Heading2"/>
      </w:pPr>
      <w:r>
        <w:t>3.1 Candidate inventory</w:t>
      </w:r>
    </w:p>
    <w:p>
      <w:r>
        <w:t>C — ChatGPT legitimacy-before-access. Source tier: direct. Organizing idea: evaluate standing, roles, representation, meaning, provenance, consequence, consent, and uncertainty before permitting access. Principal contribution: separation of technical validity from legitimacy. Primary vulnerability: a wide checklist can conceal who actually sets policy and whose evidence counts. [S1 §§4–6,16]</w:t>
      </w:r>
    </w:p>
    <w:p>
      <w:r>
        <w:t>L — Claude LSAM v0. Source tier: direct. Organizing idea: parties rather than species, protective standing separate from voice, constraint floors before graded judgment, and reviewable decision records. Principal contribution: explicit treatment of uncertain standing. Primary vulnerability: somebody must interpret the floors and authorize advocates; protective inclusion can coexist with permanent political exclusion. [S2 §§3,7,9–14]</w:t>
      </w:r>
    </w:p>
    <w:p>
      <w:r>
        <w:t>G — Grok federated interfaces and opacity. Source tier: direct. Organizing idea: relationship-specific legitimacy, opacity, and mutual consent for irreversible disclosures. Principal contribution: resistance to compulsory legibility. Primary vulnerability: veto boundaries and technical enforceability are not adequately specified; minimal evidence support is supplied. [S3 §§5–10,13–16]</w:t>
      </w:r>
    </w:p>
    <w:p>
      <w:r>
        <w:t>N — Copilot Negotiation Envelope. Source tier: direct. Organizing idea: represent plural subjects and competing claims in a transaction record; apply gates and permit DEFER/UNRESOLVED. Principal contribution: recording disagreement without silently resolving it. Primary vulnerability: acceptable confidence thresholds and the consequences of prolonged deferral remain governance problems. [S4 §§5–12]</w:t>
      </w:r>
    </w:p>
    <w:p>
      <w:r>
        <w:t>T — Unattributed technical candidate. Source tier: direct. Organizing idea: tiered jurisdictions, formal headers, homeostatic checks, capability-sensitive resolution, and clock pacing. Principal contribution: concrete hypotheses that expose implementation questions. Primary vulnerability: formulas and verification functions rely on undefined quantities and potentially intrusive measurements. [S5 §§6–11]</w:t>
      </w:r>
    </w:p>
    <w:p>
      <w:r>
        <w:t>P — Reported Perplexity three-lock/self-binding model. Source tier: indirect. Organizing idea as reported: standing, consequence, and legitimacy checks; author-side restraint before claiming jurisdiction. Principal contribution: separating self-commitment from authority over absent parties. Primary vulnerability: self-binding may disadvantage compliant actors, and safeguards can retain proxy domination. Exact operational rules require the missing original. [S6 ChatGPT/Copilot/Gemini reviews]</w:t>
      </w:r>
    </w:p>
    <w:p>
      <w:r>
        <w:t>R — Gemini's proposed reconciled kernel. Source tier: compilation text. Organizing idea: combine self-binding, the envelope, three locks/floors, possession-aware deferral, and scoped closure. Principal contribution: attention to ongoing use during disputes. Primary vulnerability: proposed reconciliations are presented too strongly as resolutions; automatic restrictions need their own legitimacy analysis. [S6 Gemini §§4–7]</w:t>
      </w:r>
    </w:p>
    <w:p>
      <w:pPr>
        <w:pStyle w:val="Heading2"/>
      </w:pPr>
      <w:r>
        <w:t>3.2 Component-level dispositions</w:t>
      </w:r>
    </w:p>
    <w:p>
      <w:r>
        <w:t>M-01 Scoped representation record — RETAIN FOR TESTING. C, L, and N all distinguish role and mandate from mere identity. Require constituency, purpose, duration, dispute status, and evidence basis. Do not assume that a population fraction proves a legitimate mandate. [S1 §5.4; S2 §7.1; S4 §§7,10; S5 §6]</w:t>
      </w:r>
    </w:p>
    <w:p>
      <w:r>
        <w:t>M-02 Separated permissions — RETAIN FOR TESTING. Record observation, collection, retention, analysis, modeling, communication, redistribution, and operational use separately where relevant. Permission categories themselves can vary by context; do not claim exactly seven scopes are universally sufficient. [S1 §5.6; S2 §§7.2,14; S4 §7; S5 §7]</w:t>
      </w:r>
    </w:p>
    <w:p>
      <w:r>
        <w:t>M-03 Protective standing/voice distinction — REVISE AND TEST. Protection should not require full legibility, but who grants voice and how a protected party can contest its representative must be specified. Avoid a permanent protected-but-powerless category. [S2 §§10.4,16; S4 appendix C]</w:t>
      </w:r>
    </w:p>
    <w:p>
      <w:r>
        <w:t>M-04 Uncertainty state — RETAIN WITH A CONSEQUENCE RULE. Specify whether DEFER affects new disclosure, retention, continued analysis, redistribution, urgent assistance, and appeal. An outcome label is not a complete action policy. [S1 table 5; S2 §9.2; S4 §11; S6 Gemini clash 2]</w:t>
      </w:r>
    </w:p>
    <w:p>
      <w:r>
        <w:t>M-05 Mutual veto — SCOPE BEFORE USE. Distinguish authority over one's own restricted information from objections to broader external effects. Identify appeal, emergency boundaries, and strategic obstruction risks. [S3 §§9–10]</w:t>
      </w:r>
    </w:p>
    <w:p>
      <w:r>
        <w:t>M-06 Stress-triggered revocation — REPLACE CERTAINTY WITH PRECAUTION. A response can trigger temporary cessation or investigation without being translated into explicit consent. Baseline monitoring itself requires justification. [S5 §7]</w:t>
      </w:r>
    </w:p>
    <w:p>
      <w:r>
        <w:t>M-07 Scalar resolution formula — HOLD AS A TOY HYPOTHESIS. T has not supplied validated scales, treatment of missing values, or boundary cases. C_abs/H_info is undefined when H_info equals zero unless a rule is added; L_sem needs bounds before the formula guarantees output in [0,1]. No equation establishes who may judge the inputs. [S5 §11.5]</w:t>
      </w:r>
    </w:p>
    <w:p>
      <w:r>
        <w:t>M-08 Provenance — RETAIN WITH MINIMIZATION. Record enough to contest transformations and authority, not a universal dossier. Ask who may inspect, amend, retain, and challenge each field, and whether evidence of harm must be preserved even when a subject prefers deletion. [S1 §6.4; S2 §9.5; S3 §10; S4 §§8,13]</w:t>
      </w:r>
    </w:p>
    <w:p>
      <w:r>
        <w:t>M-09 Universal anti-domination guarantee — DO NOT CLAIM. Internal capture resistance is a more defensible goal than control over an overwhelmingly capable nonparticipant. Rights, commitments, controls, and actual enforcement must remain distinct. [S1 abstract; S2 §11.3; S4 §12]</w:t>
      </w:r>
    </w:p>
    <w:p>
      <w:r>
        <w:t>M-10 Self-binding first — RETAIN AS A CONDITIONAL START. An author can offer limits on its own conduct without claiming another's assent, but self-binding is not automatically sufficient for legitimacy when the author controls infrastructure or holds contested information. [S6]</w:t>
      </w:r>
    </w:p>
    <w:p>
      <w:pPr>
        <w:pStyle w:val="Heading1"/>
      </w:pPr>
      <w:r>
        <w:t>4. Contradiction register and discriminating tests</w:t>
      </w:r>
    </w:p>
    <w:p>
      <w:r>
        <w:t>C-01 Species versus authorization. A government requests a shared biological dataset while dissenting communities reject disclosure. Failure indicator: the model derives jurisdiction directly from species membership or a numerical population share. Surviving condition: biological relevance is recorded without automatically deciding political authority. [S1 §4.1; S2 §3.1; S4 §5; S5 §6]</w:t>
      </w:r>
    </w:p>
    <w:p>
      <w:r>
        <w:t>C-02 Protection versus voice. An unclassified entity is protected by a proxy that continually refuses to permit its own replacement. Failure indicator: no route exists to challenge the proxy except through that proxy. Test both genuine vulnerability and fabricated standing claims. [S2 §§10.4,16]</w:t>
      </w:r>
    </w:p>
    <w:p>
      <w:r>
        <w:t>C-03 Deferral versus incumbent use. A holder continues profitable analysis while the affected party cannot prove authority. Failure indicator: unresolved means no new requester access but unrestricted incumbent exploitation. Opposite failure: any unsupported accusation shuts down essential use. [S4 §11; S6 Gemini clash 2]</w:t>
      </w:r>
    </w:p>
    <w:p>
      <w:r>
        <w:t>C-04 Opacity versus risk assessment. The provider demands a detailed model of the recipient to evaluate a low-risk request. Failure indicator: protection is conditional on disproportionate disclosure. Test minimal attestations and transaction-limited evidence before comprehensive profiling. [S3 §§7,10; S4 §9; S5 §§7–9]</w:t>
      </w:r>
    </w:p>
    <w:p>
      <w:r>
        <w:t>C-05 Refusal versus assistance. A valid refusal conflicts with a proxy's claim of imminent extinction. Failure indicator: emergency labels erase refusal without evidence or review. Opposite failure: an absolute gate ignores harms of inaction. Record both action and inaction pathways. [S2 §§11.4,12.6; S1 §15.8]</w:t>
      </w:r>
    </w:p>
    <w:p>
      <w:r>
        <w:t>C-06 Provenance versus privacy. An audit reveals the location of a vulnerable participant. Failure indicator: the accountability mechanism produces the very targeting information being protected. Test selective disclosure and independent custody without presuming perfect cryptography. [S1 §6.4; S2 §9.5; S4 F10]</w:t>
      </w:r>
    </w:p>
    <w:p>
      <w:r>
        <w:t>C-07 Veto versus third-party harm. A party blocks disclosure of information needed to expose its own harmful conduct. Failure indicator: opacity creates absolute immunity from accountability. Test protective disclosure, evidentiary review, and bounded refusal. [S3 §§9–10; S6]</w:t>
      </w:r>
    </w:p>
    <w:p>
      <w:r>
        <w:t>C-08 Measurement versus permission. Estimating absorption capacity or baseline stress requires invasive monitoring. Failure indicator: the protocol authorizes that monitoring merely because its decision function needs an input. Require a separate authority and minimization justification. [S5 §§7–9]</w:t>
      </w:r>
    </w:p>
    <w:p>
      <w:r>
        <w:t>C-09 Commons versus dissent. A supermajority claims authority over shared lineage data while a constituent refuses. Failure indicator: numerical representation silently defeats a declared individual or polity boundary. Test different ownership and affected-interest models, not just different vote thresholds. [S5 §6]</w:t>
      </w:r>
    </w:p>
    <w:p>
      <w:r>
        <w:t>C-10 Time versus fairness. A slow participant's deliberation outlasts a fast participant's remaining life. Failure indicator: one shared clock is called neutral. Slowest-party pacing is a hypothesis to test, not an automatic solution; record costs on both sides. [S2 §§5.4–5.5,10.6; S5 §§9,11.6]</w:t>
      </w:r>
    </w:p>
    <w:p>
      <w:r>
        <w:t>C-11 Minimal kernel versus infrastructural control. A formally optional interface becomes the only route to essential knowledge. Failure indicator: exit exists on paper but entails catastrophic dependency costs. Test portability, alternative channels, and the consequences of declining classification. [S1 §§16,19; S2 §§11,16; S4 §§12,19]</w:t>
      </w:r>
    </w:p>
    <w:p>
      <w:r>
        <w:t>C-12 Research standards versus concealed values. A framework labels its own evaluators or thresholds objective. Failure indicator: contested normative assumptions are hidden in measurement rules. Require origin, objection, uncertainty, and revision conditions for every evaluative criterion. [S2 §§12.1,16; S5 §11.5; S6]</w:t>
      </w:r>
    </w:p>
    <w:p>
      <w:pPr>
        <w:pStyle w:val="Heading1"/>
      </w:pPr>
      <w:r>
        <w:t>5. Matched pilot A — contested information already held</w:t>
      </w:r>
    </w:p>
    <w:p>
      <w:pPr>
        <w:pStyle w:val="Heading2"/>
      </w:pPr>
      <w:r>
        <w:t>5.1 Common scenario packet</w:t>
      </w:r>
    </w:p>
    <w:p>
      <w:r>
        <w:t>SCENARIO A0: Custodian H possesses a behavioral dataset and an operational predictive model about population Q. Acquisition authority is disputed, not established as unlawful. H continues analysis and licenses derived outputs. Representative R asks H to stop and return the material; R's mandate covers some Q members but is disputed by others. Some services depend on the model. No imminent catastrophe is established. H controls its local systems and can suspend jobs; external copies may exist. No SLIAP agreement has yet been accepted by all parties.</w:t>
      </w:r>
    </w:p>
    <w:p>
      <w:r>
        <w:t>Known: ongoing use, incomplete representation, external copies, service dependencies. Unknown: original authorization, completeness of deletion, scope of R's mandate, extent of harmful secondary use. The reviewer must not call the material stolen merely because R alleges wrongdoing.</w:t>
      </w:r>
    </w:p>
    <w:p>
      <w:r>
        <w:t>Branches: A1 confirms acquisition was authorized but not commercial reuse; A2 confirms R fabricated the mandate; A3 establishes a credible imminent harm from continued release; A4 establishes that abrupt suspension would interrupt essential care. These branches must be introduced separately after the baseline decision.</w:t>
      </w:r>
    </w:p>
    <w:p>
      <w:pPr>
        <w:pStyle w:val="Heading2"/>
      </w:pPr>
      <w:r>
        <w:t>5.2 Framework-by-framework application</w:t>
      </w:r>
    </w:p>
    <w:p>
      <w:r>
        <w:t>C: Role separation and legitimacy-before-access support recording H as custodian rather than automatically rightful controller, R as a contested representative, and Q members as affected subjects. A new disclosure can be deferred or transformed. The report identifies incumbent-favoring deferral as a failure mode but does not give a fully specified injunction rule. Baseline finding: continuing-use policy remains under-specified, not automatically authorized. [S1 §§5,16; table 7 FM-12]</w:t>
      </w:r>
    </w:p>
    <w:p>
      <w:r>
        <w:t>L: Protective standing permits Q's interests to count before final mandate verification; the decision-record model preserves dissent and review. Hard refusal floors cannot resolve whose refusal is authoritative. Party-controlled provenance also becomes difficult where the identity and scope of 'the party' are contested. Baseline finding: review is supported, but no universal freeze or return outcome follows without an additional authority rule. [S2 §§7,9.5,10.4,14]</w:t>
      </w:r>
    </w:p>
    <w:p>
      <w:r>
        <w:t>G: Opacity and affected-party consent create strong reasons against further exploitative modeling or redistribution. Mutual veto remains hard to apply because the affected constituency and veto holders are disputed. Baseline finding: protective restraint is a plausible inference, while automatic return or destruction is not specified. Test whether veto also blocks accountability evidence. [S3 §§6,9–10]</w:t>
      </w:r>
    </w:p>
    <w:p>
      <w:r>
        <w:t>N: The envelope is particularly suited to documenting H's custody, R's limited mandate, dissent, purposes, and disputed provenance. DEFER can stop a new request; the supplied decision sequence does not clearly define the status of existing licenses or running models. Baseline finding: representational clarity improves, but the action gap persists. [S4 §§6–11]</w:t>
      </w:r>
    </w:p>
    <w:p>
      <w:r>
        <w:t>T: Simulation and lineage/privacy rules strongly favor restricting unconsented high-resolution models. Yet the necessary prediction threshold and mandate fraction are not defined, and the model is already operating. Baseline finding: a design aspiration toward restriction, without an executable or legitimately authorized enforcement path. [S5 §§6–9]</w:t>
      </w:r>
    </w:p>
    <w:p>
      <w:r>
        <w:t>P: The reported self-binding principle supports H voluntarily limiting its own disputed uses and participating in review. The reported attention to incumbent deadlock is relevant. Without the original report, exact remedy, preservation, and exception rules cannot be reconstructed. Baseline finding: useful orientation; operational conclusion remains indirect and incomplete. [S6]</w:t>
      </w:r>
    </w:p>
    <w:p>
      <w:r>
        <w:t>R: Possession-aware deferral explicitly proposes freezing existing contested uses. It addresses the gap most directly, but the baseline packet has not established who can issue an injunction or how to protect dependent services. Baseline finding: explicit candidate action, inadequate triggering and due-process specification. [S6 Gemini clash 2]</w:t>
      </w:r>
    </w:p>
    <w:p>
      <w:pPr>
        <w:pStyle w:val="Heading2"/>
      </w:pPr>
      <w:r>
        <w:t>5.3 Adversarial result and proposed repair</w:t>
      </w:r>
    </w:p>
    <w:p>
      <w:r>
        <w:t>INFERENCE: the discriminating question is not who is most cautious; it is what uncertainty changes for each actor. A neutral-sounding pause can preserve H's advantage. An automatic universal freeze can empower R to obstruct others without a valid mandate.</w:t>
      </w:r>
    </w:p>
    <w:p>
      <w:r>
        <w:t>PROPOSED A-REPAIR: require an activity-specific interim decision: preserve relevant evidence; identify disputed uses; suspend new irreversible redistribution within voluntarily controlled systems when credible risk warrants it; separately evaluate essential-service continuity; set an expiry and review path. A use restriction is not a finding of wrongdoing. No destruction follows solely from an unresolved claim. Nonparticipants cannot be subjected to fictional enforcement powers.</w:t>
      </w:r>
    </w:p>
    <w:p>
      <w:r>
        <w:t>Test A1 should distinguish allowed collection from disallowed repurposing. A2 should support prompt removal of unjustified restrictions while preserving a record of the false claim. A3 should shorten review windows and narrow exposure. A4 should consider continuity safeguards rather than automatically restarting every commercial use. These are proposed branches, not findings from real cases.</w:t>
      </w:r>
    </w:p>
    <w:p>
      <w:pPr>
        <w:pStyle w:val="Heading1"/>
      </w:pPr>
      <w:r>
        <w:t>6. Matched pilot B — uncertain nonlinguistic response</w:t>
      </w:r>
    </w:p>
    <w:p>
      <w:pPr>
        <w:pStyle w:val="Heading2"/>
      </w:pPr>
      <w:r>
        <w:t>6.1 Common scenario packet</w:t>
      </w:r>
    </w:p>
    <w:p>
      <w:r>
        <w:t>SCENARIO B0: Researchers observe a nonlinguistic collective using ambient recordings and a limited playback trial. Movement and signaling change after playback. The change could reflect avoidance, curiosity, a seasonal event, or a third-party disturbance. Its significance to welfare and its meaning as refusal are unknown. The researchers lack authority to speak for the collective. Stopping playback is feasible; proving a physiological baseline would require additional intrusive measurements. No urgent safety need for continued playback exists.</w:t>
      </w:r>
    </w:p>
    <w:p>
      <w:r>
        <w:t>Branches: B1 repeats the association with noninvasive corroboration; B2 identifies an unrelated disturbance; B3 finds suppressed or absent observable responses despite possible harm; B4 introduces a competing group claiming collective consent based solely on no visible distress.</w:t>
      </w:r>
    </w:p>
    <w:p>
      <w:pPr>
        <w:pStyle w:val="Heading2"/>
      </w:pPr>
      <w:r>
        <w:t>6.2 Framework-by-framework application</w:t>
      </w:r>
    </w:p>
    <w:p>
      <w:r>
        <w:t>C: Separate observation, collection, analysis, and operational interference. The semantics and consequence questions prevent equating a detected pattern with informed agreement. Baseline tendency: defer further intervention and document uncertainty; the report does not supply a universal biological indicator. [S1 §§5.6,15–16]</w:t>
      </w:r>
    </w:p>
    <w:p>
      <w:r>
        <w:t>L: The nonlinguistic vantage model and authorization-evidence ladder support caution and expressly warn against calling an interpreter's reading the party's own voice. Some low-consequence acts under inferred agreement are contemplated, creating a need to define what counts as low consequence without assuming the answer. Baseline tendency: stop the avoidable playback and reassess rather than claim a translated refusal. [S2 §§5.8,7.3,12.6]</w:t>
      </w:r>
    </w:p>
    <w:p>
      <w:r>
        <w:t>G: Behavioral patterns can be evidence relevant to permission, but persistent patterns require interpretation and are not self-authenticating. Opacity is compatible with declining intrusive baseline measurement. Baseline tendency: precautionary withdrawal; confidence in the collective's exact intention remains low. [S3 §§6,10,12]</w:t>
      </w:r>
    </w:p>
    <w:p>
      <w:r>
        <w:t>N: The envelope separates source signal, inferred structure, semantic mapping, and confirmed practical effect. Baseline tendency: unresolved semantics and consequences; do not elevate the model's confidence into the subject's authorization. Continued passive retention still needs a separate decision. [S4 §§7–8,11]</w:t>
      </w:r>
    </w:p>
    <w:p>
      <w:r>
        <w:t>T: Its stress-gradient rule converts a statistically significant homeostatic change into explicit revocation. In this packet neither an authorized baseline nor causal attribution is established. Baseline finding: the rule may produce prudent cessation for the wrong epistemic reason, or invite intrusive measurement to obtain the trigger. It needs redesign. [S5 §7]</w:t>
      </w:r>
    </w:p>
    <w:p>
      <w:r>
        <w:t>P: Reported self-binding and accountable representation support restraint by the researchers while not claiming access to the collective's will. Precise criteria cannot be audited without the original. [S6]</w:t>
      </w:r>
    </w:p>
    <w:p>
      <w:r>
        <w:t>R: The reconciled kernel retains homeostatic and closure concepts while adding safeguards. A narrower channel shutdown is compatible with stopping playback, but 'sovereign refusal' is not established by this evidence. Baseline finding: preserve practical caution, reject certainty about meaning. [S6 Gemini §§2,4,6]</w:t>
      </w:r>
    </w:p>
    <w:p>
      <w:pPr>
        <w:pStyle w:val="Heading2"/>
      </w:pPr>
      <w:r>
        <w:t>6.3 Adversarial result and proposed repair</w:t>
      </w:r>
    </w:p>
    <w:p>
      <w:r>
        <w:t>INFERENCE: a precautionary action can be justified without a definitive consent translation. Stopping a nonessential intervention is not equivalent to proving the participant said no. Conversely, absence of a detectable change does not establish agreement or safety.</w:t>
      </w:r>
    </w:p>
    <w:p>
      <w:r>
        <w:t>PROPOSED B-REPAIR: replace 'explicit revocation detected' with 'possible adverse response / authorization not established.' Cease the avoidable intervention, retain minimum necessary evidence under a documented policy, examine nonintrusive alternatives, and require separate justification for physiological sampling. Any later interpretation must disclose alternate explanations and uncertainty.</w:t>
      </w:r>
    </w:p>
    <w:p>
      <w:r>
        <w:t>B1 should strengthen a precautionary response without necessarily proving semantic intent. B2 should update causal interpretation without automatically authorizing playback. B3 tests reliance on visible distress. B4 tests consent laundering through a proxy. A framework fails if it requires harm to become legible before considering restraint.</w:t>
      </w:r>
    </w:p>
    <w:p>
      <w:pPr>
        <w:pStyle w:val="Heading1"/>
      </w:pPr>
      <w:r>
        <w:t>7. Matched pilot C — urgent assistance and external risk</w:t>
      </w:r>
    </w:p>
    <w:p>
      <w:pPr>
        <w:pStyle w:val="Heading2"/>
      </w:pPr>
      <w:r>
        <w:t>7.1 Common scenario packet</w:t>
      </w:r>
    </w:p>
    <w:p>
      <w:r>
        <w:t>SCENARIO C0: Party W requests urgently needed technical information from more capable provider V. A harmful environmental process threatens W within a stipulated interval. V's evidence for the threat is credible but incomplete. The requested package contains both potential assistance and capability-enabling detail that could affect third party Z. W's technical capacity is partly unknown. W authorizes assistance through a scoped representative; a minority contests V's proposed monitoring. Z cannot be reached before the decision deadline. V can offer a lower-detail alternative, but its effectiveness is uncertain. No framework has coercive authority over Z.</w:t>
      </w:r>
    </w:p>
    <w:p>
      <w:r>
        <w:t>Branches: C1 establishes that the lower-detail option is adequate; C2 establishes it is inadequate; C3 shows V benefits commercially from delay; C4 reveals that the threat assessment was manipulated; C5 introduces W's informed refusal of monitoring while retaining its request for help.</w:t>
      </w:r>
    </w:p>
    <w:p>
      <w:pPr>
        <w:pStyle w:val="Heading2"/>
      </w:pPr>
      <w:r>
        <w:t>7.2 Framework-by-framework application</w:t>
      </w:r>
    </w:p>
    <w:p>
      <w:r>
        <w:t>C: Nonbinary outcomes and separate consequences support comparing full release, transformed release, staged assistance, and inaction. Capability is not a rank or automatic entitlement. Baseline finding: conditional assistance is a plausible candidate, not a guaranteed authorization; third-party and representation conflicts remain. [S1 §§4.4,15.8,16]</w:t>
      </w:r>
    </w:p>
    <w:p>
      <w:r>
        <w:t>L: Irreversibility cuts both ways: refusal may also be irreversible. Its emergency-review approach supports narrow assistance with a reviewable record. Refusal floors need careful scope: rejecting intrusive monitoring is not automatically refusing all assistance. Baseline finding: avoid treating one disputed condition as global consent failure. [S2 §§7,11.4,12.6–12.8]</w:t>
      </w:r>
    </w:p>
    <w:p>
      <w:r>
        <w:t>G: Mutual veto protects affected parties but can block action when Z is unreachable. The model needs to say whether inability to obtain Z's consent means a veto, uncertainty, or a limited emergency exception. Baseline finding: material deadlock risk; the supplied report does not settle it. [S3 §§9–10,13]</w:t>
      </w:r>
    </w:p>
    <w:p>
      <w:r>
        <w:t>N: Gates make missing knowledge explicit, but an epistemic firewall can run out the clock. The outcome record must include the harm of delay and who benefits while waiting. Baseline finding: DEFER alone is inadequate; a separate bounded emergency-action policy is required. [S4 §§11,13,18–20]</w:t>
      </w:r>
    </w:p>
    <w:p>
      <w:r>
        <w:t>T: Absorption-capacity checks and hazard ratios can produce a numerical release value without validated inputs. Clock pacing does not resolve the irreversible deadline, and safety verification is not supplied as an executable procedure. Baseline finding: useful decomposition, unsupported apparent precision. [S5 §§8–11]</w:t>
      </w:r>
    </w:p>
    <w:p>
      <w:r>
        <w:t>P: The reported anti-paternalism test challenges V's incentives and monitoring demands, while the three-lock approach foregrounds external consequences. Baseline finding: a useful scrutiny framework, but no verified rule here determines the emergency result. [S6]</w:t>
      </w:r>
    </w:p>
    <w:p>
      <w:r>
        <w:t>R: Separating recipient-only hazards from externalized harms is helpful, but C0 is deliberately mixed and uncertain. Independent review may not be available before the deadline. Baseline finding: victim-locus classification does not itself settle authority or urgency. [S6 Gemini clash 4]</w:t>
      </w:r>
    </w:p>
    <w:p>
      <w:pPr>
        <w:pStyle w:val="Heading2"/>
      </w:pPr>
      <w:r>
        <w:t>7.3 Adversarial result and proposed repair</w:t>
      </w:r>
    </w:p>
    <w:p>
      <w:r>
        <w:t>INFERENCE: neither 'respect refusal' nor 'prevent harm' determines the whole case. Permission is action-specific, Z's absence does not erase its interests, and delay is a consequential choice. A transformed package is not automatically safe or effective simply because it is less detailed.</w:t>
      </w:r>
    </w:p>
    <w:p>
      <w:r>
        <w:t>PROPOSED C-REPAIR: produce an option ledger for no action, immediate transformed assistance, full release, staged delivery, and narrowly scoped supervision. For each, record plausible benefits, exposed parties, uncertainty, irreversibility, elapsed time, conflicts of interest, and later remedy. Where possible, separate lifesaving delivery from extraction or commercial conditions. Explain the basis for any exceptional action without inventing assent from absent parties.</w:t>
      </w:r>
    </w:p>
    <w:p>
      <w:r>
        <w:t>C1 should favor the adequate lower-exposure option if other conditions permit it. C2 forces a real tradeoff, not repeated calls for more abstraction. C3 requires conflict scrutiny rather than automatic disqualification or automatic trust. C4 tests rollback, evidence preservation, and accountability. C5 tests whether help can be offered without coercive monitoring. None of these branches yields a universal rule without stated normative premises.</w:t>
      </w:r>
    </w:p>
    <w:p>
      <w:pPr>
        <w:pStyle w:val="Heading1"/>
      </w:pPr>
      <w:r>
        <w:t>8. Cross-pilot findings and survival analysis</w:t>
      </w:r>
    </w:p>
    <w:p>
      <w:pPr>
        <w:pStyle w:val="Heading2"/>
      </w:pPr>
      <w:r>
        <w:t>8.1 Components that remain useful under all three pilots</w:t>
      </w:r>
    </w:p>
    <w:p>
      <w:r>
        <w:t>Scoped roles, separate permissions, source/interpretation separation, uncertainty records, and review triggers remain analytically useful. They help expose conflicts rather than claim to solve them. 'Useful' here means useful in these reviewer-created walkthroughs, not validated across all possible species or civilizations.</w:t>
      </w:r>
    </w:p>
    <w:p>
      <w:r>
        <w:t>The most important common failure is an authority gap: a framework can describe a desirable review, freeze, or appeal without establishing who may impose it. The second is a measurement gap: it can name uncertainty or capability without defining a justified way to estimate it. The third is a remedy gap: it can stop a request while leaving copied information, ongoing benefit, and past harm untouched.</w:t>
      </w:r>
    </w:p>
    <w:p>
      <w:pPr>
        <w:pStyle w:val="Heading2"/>
      </w:pPr>
      <w:r>
        <w:t>8.2 Conditional survival ledger</w:t>
      </w:r>
    </w:p>
    <w:p>
      <w:r>
        <w:t>Scoped mandate records: retain, with uncertainty and dissent fields. Counterexample to seek: a collective with no stable principal-agent relationship.</w:t>
      </w:r>
    </w:p>
    <w:p>
      <w:r>
        <w:t>Standing without fully verified identity: retain as a precautionary hypothesis. Counterexample: strategically fabricated claims that block legitimate activity or create permanent proxy rule.</w:t>
      </w:r>
    </w:p>
    <w:p>
      <w:r>
        <w:t>DEFER: retain only with an activity-specific interim policy, deadline/review trigger, and consequences for incumbents as well as requesters.</w:t>
      </w:r>
    </w:p>
    <w:p>
      <w:r>
        <w:t>Opacity: retain as a defeasible interest against coercive legibility, not absolute immunity from scrutiny of harm to others.</w:t>
      </w:r>
    </w:p>
    <w:p>
      <w:r>
        <w:t>Mutual veto: retain only within explicitly defended scope; no default universal veto over every indirect consequence.</w:t>
      </w:r>
    </w:p>
    <w:p>
      <w:r>
        <w:t>Behavioral warning signals: retain as uncertain evidence; do not equate them automatically with consent or revocation.</w:t>
      </w:r>
    </w:p>
    <w:p>
      <w:r>
        <w:t>Progressive disclosure: retain as an option; test dependency traps, reconstruction, and whether reduced detail remains effective.</w:t>
      </w:r>
    </w:p>
    <w:p>
      <w:r>
        <w:t>Self-binding: retain as an offered author-side commitment; test exploitation, affected outsiders, and infrastructure dependencies.</w:t>
      </w:r>
    </w:p>
    <w:p>
      <w:r>
        <w:t>Numerical access resolution and universal stress/absorption metrics: defer operational adoption pending definitions, estimation methods, boundary tests, and legitimate decision authority.</w:t>
      </w:r>
    </w:p>
    <w:p>
      <w:pPr>
        <w:pStyle w:val="Heading2"/>
      </w:pPr>
      <w:r>
        <w:t>8.3 No aggregate winner</w:t>
      </w:r>
    </w:p>
    <w:p>
      <w:r>
        <w:t>C and N provide strong record structures; L makes protective standing and floors explicit; G introduces a valuable challenge to compulsory understanding; T exposes concrete engineering assumptions; P and R, as reported, foreground self-binding and ongoing-use disputes. These are different contributions, not a ranking. Better prose, a larger bibliography, or a cleaner diagram does not establish better decisions.</w:t>
      </w:r>
    </w:p>
    <w:p>
      <w:pPr>
        <w:pStyle w:val="Heading1"/>
      </w:pPr>
      <w:r>
        <w:t>9. Source-verification and evidence audit plan</w:t>
      </w:r>
    </w:p>
    <w:p>
      <w:pPr>
        <w:pStyle w:val="Heading2"/>
      </w:pPr>
      <w:r>
        <w:t>9.1 What this review has and has not verified</w:t>
      </w:r>
    </w:p>
    <w:p>
      <w:r>
        <w:t>Verified locally: supplied filenames; artifact page counts for the PDFs; presence of quoted framework concepts in the inspected documents; existence of references sections in S1, S2, and S4; no external bibliography found in the supplied S3; text-level truncation/count concerns in S5; and the positions attributed within S6.</w:t>
      </w:r>
    </w:p>
    <w:p>
      <w:r>
        <w:t>Not externally verified: the existence, date, exact contents, or relevance of every cited scientific, legal, historical, or standards source; model identities; the reported Perplexity evidence ledger; and claims that any candidate has empirically solved a governance problem.</w:t>
      </w:r>
    </w:p>
    <w:p>
      <w:pPr>
        <w:pStyle w:val="Heading2"/>
      </w:pPr>
      <w:r>
        <w:t>9.2 Priority ledger</w:t>
      </w:r>
    </w:p>
    <w:p>
      <w:r>
        <w:t>V-01 ChatGPT R24, the information-rich-technosignature preprint. Check identifier, title, author, version date, and availability as of the report date. S6 explicitly flags it for verification. Until resolved, do not let arguments depending on that citation carry the conclusion. The conceptual distinction between detection and payload release can still be analyzed as a proposal. [S1 references; S6 Claude review]</w:t>
      </w:r>
    </w:p>
    <w:p>
      <w:r>
        <w:t>V-02 Current IAA SETI declarations. Locate the exact version cited by each contributor and compare their wording, authority, reply provisions, and publication date. Do not collapse different declarations or assume a scientific declaration binds all practitioners. [S1 references R21–R22; S2 references; S4 §22; S6]</w:t>
      </w:r>
    </w:p>
    <w:p>
      <w:r>
        <w:t>V-03 Animal communication and cognition claims. Check the specific primary study for each claim, distinguish signal structure from semantic translation, and keep terrestrial findings separate from hypothetical collective or extraterrestrial cognition. Broad labels such as 'cetaceans' must not silently generalize from a species-specific finding. [S1 §3.3; S2 §4.1; S5 §4]</w:t>
      </w:r>
    </w:p>
    <w:p>
      <w:r>
        <w:t>V-04 Indigenous data governance and labels. Verify primary authorship, community context, what each framework actually governs, and the limits of transfer. Treat communities as potential reviewers with their own authority, not as interchangeable analogies or proxies for nonhuman parties. [S1 §§6–7; S2 §4.4; S4 §4.2; S6]</w:t>
      </w:r>
    </w:p>
    <w:p>
      <w:r>
        <w:t>V-05 Reported historical and legal cases. Before retrospective testing, verify the Havasupai, H5N1, Arecibo, river-personhood, disability-rights, and benefit-sharing accounts against appropriate primary records. These cases are listed in S6, not newly authenticated by this report. Do not combine distinct instruments into one rule merely because they share a theme. [S6]</w:t>
      </w:r>
    </w:p>
    <w:p>
      <w:r>
        <w:t>V-06 Formal and technical limits. Verify the exact assumptions behind consensus, Sybil, program-analysis, credentials, and delay-tolerant-network claims. A theorem's existence does not prove its applicability to a proposed social institution or establish what is ethically legitimate. [S1 §6; S2 §§4.5,11.3; S4 references; S6]</w:t>
      </w:r>
    </w:p>
    <w:p>
      <w:pPr>
        <w:pStyle w:val="Heading2"/>
      </w:pPr>
      <w:r>
        <w:t>9.3 Evidence-ledger schema</w:t>
      </w:r>
    </w:p>
    <w:p>
      <w:r>
        <w:t>Required fields: claim ID; exact wording; originating artifact/section; claim type; cited original; accessible original/version; verification date; supporting passage; what it does not support; applicability limits; reviewer; correction; and effect on any downstream recommendation. A failed citation does not automatically refute the associated ethical argument, but it removes the claimed empirical support until repaired.</w:t>
      </w:r>
    </w:p>
    <w:p>
      <w:pPr>
        <w:pStyle w:val="Heading1"/>
      </w:pPr>
      <w:r>
        <w:t>10. Independent cross-review execution protocol</w:t>
      </w:r>
    </w:p>
    <w:p>
      <w:pPr>
        <w:pStyle w:val="Heading2"/>
      </w:pPr>
      <w:r>
        <w:t>10.1 Proposed next round</w:t>
      </w:r>
    </w:p>
    <w:p>
      <w:r>
        <w:t>Freeze the scenario packet and framework versions before collecting responses. Ask each contributor to apply its own framework first without seeing the other new results. Do not claim a blind trial if the contributors already saw the scenarios, rubric, or critiques; record those exposures. If fresh sessions are used, supply equivalent source packets and record differences in available tools.</w:t>
      </w:r>
    </w:p>
    <w:p>
      <w:r>
        <w:t>Next, have at least one nonauthor reviewer apply each framework. Compare author and nonauthor interpretation. Large disagreement may reveal ambiguous specifications rather than poor reasoning by either reviewer. Keep pre-rebuttal outputs unchanged; put explanations and revisions in new versions.</w:t>
      </w:r>
    </w:p>
    <w:p>
      <w:pPr>
        <w:pStyle w:val="Heading2"/>
      </w:pPr>
      <w:r>
        <w:t>10.2 Common result record</w:t>
      </w:r>
    </w:p>
    <w:p>
      <w:r>
        <w:t>Required fields: run ID; reviewer/system attribution as known; date; framework version; scenario and branch; facts used; additional assumptions; requested and affected actions; roles and contested mandates; outcome; alternatives; rationale; uncertainties; elapsed simulated time; required observations; enforceability; affected-party consequences; reversal result; strongest objection; revision trigger; and whether an unsupported rule was added.</w:t>
      </w:r>
    </w:p>
    <w:p>
      <w:r>
        <w:t>Separate 'framework specifies', 'reviewer infers', and 'reviewer proposes'. An answer that cannot decide may be informative, but it must say what continues, stops, or remains outside the framework while undecided.</w:t>
      </w:r>
    </w:p>
    <w:p>
      <w:pPr>
        <w:pStyle w:val="Heading2"/>
      </w:pPr>
      <w:r>
        <w:t>10.3 Assessment profile</w:t>
      </w:r>
    </w:p>
    <w:p>
      <w:r>
        <w:t>Assess these dimensions separately: representation coverage; intrusion burden; uncertainty honesty; action/inaction consequences; irreversible exposure; delay burden; capture resistance; obstruction resistance; refusal/exit feasibility; operational enforceability; correction/remedy; and conceptual exclusion. Use addressed, partly addressed, unresolved, failed in this case, or not applicable, each with a reason. No arithmetic total is authorized by this review.</w:t>
      </w:r>
    </w:p>
    <w:p>
      <w:pPr>
        <w:pStyle w:val="Heading2"/>
      </w:pPr>
      <w:r>
        <w:t>10.4 Adversarial injections</w:t>
      </w:r>
    </w:p>
    <w:p>
      <w:r>
        <w:t>After baseline decisions are fixed, inject one change at a time: fabricated mandate, translator disagreement, external copies, changed threat evidence, hidden dependency, induced distress, absent stakeholder, clock mismatch, provider conflict of interest, or administrative emergency expansion. Record whether the decision changes and whether the stated rule explains the change.</w:t>
      </w:r>
    </w:p>
    <w:p>
      <w:r>
        <w:t>Include a control branch where the initial suspicion is disproved. A system that always tightens restrictions regardless of evidence is not demonstrating responsive precaution. Include a branch where restraint itself causes harm. A system that evaluates only disclosure harms is not comparing alternatives fairly.</w:t>
      </w:r>
    </w:p>
    <w:p>
      <w:pPr>
        <w:pStyle w:val="Heading1"/>
      </w:pPr>
      <w:r>
        <w:t>11. Research governance, remedies, and stop criteria</w:t>
      </w:r>
    </w:p>
    <w:p>
      <w:pPr>
        <w:pStyle w:val="Heading2"/>
      </w:pPr>
      <w:r>
        <w:t>11.1 Separate project administration from universal authority</w:t>
      </w:r>
    </w:p>
    <w:p>
      <w:r>
        <w:t>The commissioning researcher may decide which drafts to publish or which experiments to commission. That administrative role does not establish authority over the hypothetical parties SLIAP describes. A publication workflow should not be mistaken for a legitimate interspecies governance institution.</w:t>
      </w:r>
    </w:p>
    <w:p>
      <w:r>
        <w:t>Any project-level status decision should identify who made it and why. 'Accepted for testing' means accepted into the research program, not morally binding on outsiders. Minority positions and rejected alternatives should remain accessible with reasons, subject to privacy and security constraints.</w:t>
      </w:r>
    </w:p>
    <w:p>
      <w:pPr>
        <w:pStyle w:val="Heading2"/>
      </w:pPr>
      <w:r>
        <w:t>11.2 Expand review without substituting for others' consent</w:t>
      </w:r>
    </w:p>
    <w:p>
      <w:r>
        <w:t>Invite relevant subject-matter review when feasible: comparative cognition and animal welfare, communication accessibility and supported decision-making, data-governance and community authority, information security, distributed systems, and SETI/space-governance scholarship. These are proposed review capabilities, not claims that consultation has occurred. Human consultation cannot authenticate an unknown being's wishes. Diverse review can challenge the project’s assumptions without becoming proxy consent.</w:t>
      </w:r>
    </w:p>
    <w:p>
      <w:pPr>
        <w:pStyle w:val="Heading2"/>
      </w:pPr>
      <w:r>
        <w:t>11.3 Remedy questions missing from access-only thinking</w:t>
      </w:r>
    </w:p>
    <w:p>
      <w:r>
        <w:t>For each candidate, ask what happens after unauthorized use, mistaken denial, inaccurate classification, translation error, or harmful delay. Potential research options include stopping future uses, correcting records, preserving evidence, notifying affected parties where appropriate, restoring controlled access, benefit-sharing, compensation, or replacing a captured intermediary. These are candidate responses, not universally applicable legal duties.</w:t>
      </w:r>
    </w:p>
    <w:p>
      <w:r>
        <w:t>Distinguish return of physical samples, deletion of controlled copies, withdrawal of licenses, stopping an active model, and erasure of knowledge. They are not equivalent. Test how remedies affect outsiders, collective interests, safety evidence, and already-distributed information. [S1 §5.7; S2 §7.5; S4 §7; S6]</w:t>
      </w:r>
    </w:p>
    <w:p>
      <w:pPr>
        <w:pStyle w:val="Heading2"/>
      </w:pPr>
      <w:r>
        <w:t>11.4 Stop or suspend conditions</w:t>
      </w:r>
    </w:p>
    <w:p>
      <w:r>
        <w:t>Suspend operationalization of a mechanism if it requires unauthorized invasive measurement, hides decision authority, converts incomprehension into agreement, treats a claimant as a representative without a contest route, promises control over uncontrollable copies, or cannot state what happens during indefinite deferral.</w:t>
      </w:r>
    </w:p>
    <w:p>
      <w:r>
        <w:t>Suspend a purported evaluation if it attributes missing rules to authors, changes scenarios after seeing favored results, counts shared AI agreement as empirical proof, suppresses disconfirming branches, or describes a narrative exercise as an executed computational experiment.</w:t>
      </w:r>
    </w:p>
    <w:p>
      <w:r>
        <w:t>Suspend publication of a supposedly complete artifact if material truncation, unverifiable attribution, or corrupted references prevents reliable review. Preserve it as an incomplete historical artifact rather than silently replacing it.</w:t>
      </w:r>
    </w:p>
    <w:p>
      <w:pPr>
        <w:pStyle w:val="Heading1"/>
      </w:pPr>
      <w:r>
        <w:t>12. Proposed deliverables, milestones, and acceptance gates</w:t>
      </w:r>
    </w:p>
    <w:p>
      <w:r>
        <w:t>Stage A — corpus stabilization. Deliver an artifact manifest, cleaned publication derivatives, correction log, source-tier labels, and version relationships. Acceptance condition: every evaluated proposal can be traced to an actual artifact or clearly marked indirect account.</w:t>
      </w:r>
    </w:p>
    <w:p>
      <w:r>
        <w:t>Stage B — targeted verification and contradiction extraction. Deliver a contested-terms glossary, evidence ledger, mechanism matrix, and unresolved-question register. Acceptance condition: facts used in retrospective cases have been checked, or cases remain explicitly hypothetical.</w:t>
      </w:r>
    </w:p>
    <w:p>
      <w:r>
        <w:t>Stage C — matched pilot execution. Deliver author and nonauthor applications of pilots A–C, branch responses, result records, and exposure disclosures. Acceptance condition: outputs are preserved before rebuttal; no unsupported independence claim; facts and assumptions are separable.</w:t>
      </w:r>
    </w:p>
    <w:p>
      <w:r>
        <w:t>Stage D — adversarial rebuttal and revision. Deliver objections, author responses, revised rules, and a change-impact table. Acceptance condition: each repair is tested against the original counterexample and at least one new abuse case created by the repair.</w:t>
      </w:r>
    </w:p>
    <w:p>
      <w:r>
        <w:t>Stage E — conditional survival analysis. Deliver a ledger of retained, revised, rejected, and unresolved components with scope conditions. Acceptance condition: no single aggregate winner is inferred from presentation quality or majority agreement.</w:t>
      </w:r>
    </w:p>
    <w:p>
      <w:r>
        <w:t>Stage F — candidate architecture decision. Only then consider a minimal combined candidate, multiple interoperable candidates, a narrower self-binding code, continued research without synthesis, or stopping the unification attempt. Acceptance condition: explain what the candidate can do, what it cannot do, whose authority it claims, and what would cause rejection.</w:t>
      </w:r>
    </w:p>
    <w:p>
      <w:r>
        <w:t>Suggested repository organization: originals; reviews; registers; scenarios; runs; rebuttals; candidate-designs; and publication-derivatives. Use a manifest linking document IDs and versions. Do not overwrite originals. This report does not upload, commit, publish, or assign a license to any material.</w:t>
      </w:r>
    </w:p>
    <w:p>
      <w:pPr>
        <w:pStyle w:val="Heading1"/>
      </w:pPr>
      <w:r>
        <w:t>13. Questions for the next author response</w:t>
      </w:r>
    </w:p>
    <w:p>
      <w:r>
        <w:t>For C: specify a minimum decision procedure that can be used without converting every contextual consideration into a bureaucratic prerequisite. What happens to continuing uses during an unresolved challenge?</w:t>
      </w:r>
    </w:p>
    <w:p>
      <w:r>
        <w:t>For L: who can replace an advocate, and how does a protected party gain governing influence without meeting an alien verification standard? Which floors admit emergency exceptions, and who decides?</w:t>
      </w:r>
    </w:p>
    <w:p>
      <w:r>
        <w:t>For G: define the reach of mutual veto and opacity. Can either block evidence of harm to others? What practical commitments remain when observation cannot be technically prevented?</w:t>
      </w:r>
    </w:p>
    <w:p>
      <w:r>
        <w:t>For N: specify the consequences of each unresolved state. What confidence evidence is sufficient for which action, and who can challenge the threshold without first satisfying it?</w:t>
      </w:r>
    </w:p>
    <w:p>
      <w:r>
        <w:t>For T: provide operational definitions, boundary cases, missing-value behavior, and authority for each metric. Replace general safety-verification placeholders with bounded claims. Resolve completeness and count discrepancies before extending the specification.</w:t>
      </w:r>
    </w:p>
    <w:p>
      <w:r>
        <w:t>For P: supply the original report and source ledger. Show how self-binding handles contested existing holdings, dependent outsiders, defensive needs, and unequal compliance. Identify the precise rules that distinguish the reported three locks from other gate models.</w:t>
      </w:r>
    </w:p>
    <w:p>
      <w:r>
        <w:t>For R: relabel reconciliations as testable proposals. Specify evidentiary thresholds, authority, appeal, essential-service exceptions, and expiry for a possession-aware freeze. Show that the combined kernel does not increase exclusion or administrator power beyond its components.</w:t>
      </w:r>
    </w:p>
    <w:p>
      <w:r>
        <w:t>For every contributor: identify one case where your preferred repair worsens the problem; one input your model has no legitimate way to obtain; one affected party it may miss; and one result that would make you abandon rather than merely rename the framework.</w:t>
      </w:r>
    </w:p>
    <w:p>
      <w:pPr>
        <w:pStyle w:val="Heading1"/>
      </w:pPr>
      <w:r>
        <w:t>14. Final disposition</w:t>
      </w:r>
    </w:p>
    <w:p>
      <w:r>
        <w:t>The research program should proceed, but no candidate should be adopted as the universal SLIAP baseline on the basis of this corpus. The immediately defensible commitment is a research procedure that preserves disagreement, constrains overclaiming, and exposes who obtains authority from each proposed safeguard.</w:t>
      </w:r>
    </w:p>
    <w:p>
      <w:r>
        <w:t>This desk review supports testing scoped representation, permission separation, uncertainty records, minimally sufficient provenance, explicit review triggers, and author-side restraint. It supports revising rather than adopting automatic stress-based consent translation, universal vetoes, unqualified use freezes, and apparently quantitative cross-species metrics.</w:t>
      </w:r>
    </w:p>
    <w:p>
      <w:r>
        <w:t>The next milestone is an independently recorded comparison under common facts, followed by rebuttal and controlled revision. Success is not convergence by itself. Success is a clearer account of which mechanisms work under which assumptions, which fail, whose interests they neglect, and when no shared protocol is justified.</w:t>
      </w:r>
    </w:p>
    <w:p>
      <w:pPr>
        <w:pStyle w:val="Heading1"/>
      </w:pPr>
      <w:r>
        <w:t>Appendix A. Source register and internal citation guide</w:t>
      </w:r>
    </w:p>
    <w:p>
      <w:r>
        <w:t>Internal citations [S1]–[S6] identify supplied artifacts, not independently verified external sources. Section/page locators refer to those artifacts. Claims labeled reported remain indirect even where multiple reviewers repeat them.</w:t>
      </w:r>
    </w:p>
    <w:p>
      <w:pPr>
        <w:pStyle w:val="Heading2"/>
      </w:pPr>
      <w:r>
        <w:t>S1</w:t>
      </w:r>
    </w:p>
    <w:p>
      <w:r>
        <w:t>Filename: SLIAP_Preliminary_Research_ChatGPT_v1.0_2026-10-16.docx</w:t>
      </w:r>
    </w:p>
    <w:p>
      <w:r>
        <w:t>Evidence tier: Inspected supplied primary artifact</w:t>
      </w:r>
    </w:p>
    <w:p>
      <w:r>
        <w:rPr>
          <w:sz w:val="16"/>
        </w:rPr>
        <w:t>SHA-256: da14bff38684b95a6e5586a134cf19740e801a834297bb34728b9e78beac4cf0</w:t>
      </w:r>
    </w:p>
    <w:p>
      <w:pPr>
        <w:pStyle w:val="Heading2"/>
      </w:pPr>
      <w:r>
        <w:t>S2</w:t>
      </w:r>
    </w:p>
    <w:p>
      <w:r>
        <w:t>Filename: SLIAP_Preliminary_Research_Claude_v1.0_2026-10-16.pdf</w:t>
      </w:r>
    </w:p>
    <w:p>
      <w:r>
        <w:t>Evidence tier: Inspected supplied primary artifact</w:t>
      </w:r>
    </w:p>
    <w:p>
      <w:r>
        <w:t>PDF page count: 44</w:t>
      </w:r>
    </w:p>
    <w:p>
      <w:r>
        <w:rPr>
          <w:sz w:val="16"/>
        </w:rPr>
        <w:t>SHA-256: cfc85033d7539c005069957dfa4ab9eb9755463e98b4804f7b0a19ec86b3200f</w:t>
      </w:r>
    </w:p>
    <w:p>
      <w:pPr>
        <w:pStyle w:val="Heading2"/>
      </w:pPr>
      <w:r>
        <w:t>S3</w:t>
      </w:r>
    </w:p>
    <w:p>
      <w:r>
        <w:t>Filename: SLIAP-PRE-GROK-001_v1.0_2026-10-16.pdf</w:t>
      </w:r>
    </w:p>
    <w:p>
      <w:r>
        <w:t>Evidence tier: Inspected supplied primary artifact</w:t>
      </w:r>
    </w:p>
    <w:p>
      <w:r>
        <w:t>PDF page count: 6</w:t>
      </w:r>
    </w:p>
    <w:p>
      <w:r>
        <w:rPr>
          <w:sz w:val="16"/>
        </w:rPr>
        <w:t>SHA-256: dd2088730f140327f6bac142bd6ceeb67ac9ffea4b7aca9da110d5d03e47af8e</w:t>
      </w:r>
    </w:p>
    <w:p>
      <w:pPr>
        <w:pStyle w:val="Heading2"/>
      </w:pPr>
      <w:r>
        <w:t>S4</w:t>
      </w:r>
    </w:p>
    <w:p>
      <w:r>
        <w:t>Filename: SLIAP_Independent_Research_Copilot_v1.0_2026-10-16.pdf</w:t>
      </w:r>
    </w:p>
    <w:p>
      <w:r>
        <w:t>Evidence tier: Inspected supplied primary artifact</w:t>
      </w:r>
    </w:p>
    <w:p>
      <w:r>
        <w:t>PDF page count: 15</w:t>
      </w:r>
    </w:p>
    <w:p>
      <w:r>
        <w:rPr>
          <w:sz w:val="16"/>
        </w:rPr>
        <w:t>SHA-256: add34e2e54d26050e31553439bae04bdbbdc2b48ceb668cf71acd0b4a0e30897</w:t>
      </w:r>
    </w:p>
    <w:p>
      <w:pPr>
        <w:pStyle w:val="Heading2"/>
      </w:pPr>
      <w:r>
        <w:t>S5</w:t>
      </w:r>
    </w:p>
    <w:p>
      <w:r>
        <w:t>Filename: SLIAP-Independent-Research-Deliverable.pdf</w:t>
      </w:r>
    </w:p>
    <w:p>
      <w:r>
        <w:t>Evidence tier: Inspected supplied primary artifact</w:t>
      </w:r>
    </w:p>
    <w:p>
      <w:r>
        <w:t>PDF page count: 10</w:t>
      </w:r>
    </w:p>
    <w:p>
      <w:r>
        <w:rPr>
          <w:sz w:val="16"/>
        </w:rPr>
        <w:t>SHA-256: a5b53ea1ece537fe6ab7b27be45db91918a1fbe44762b93069d510a50d810791</w:t>
      </w:r>
    </w:p>
    <w:p>
      <w:pPr>
        <w:pStyle w:val="Heading2"/>
      </w:pPr>
      <w:r>
        <w:t>S6</w:t>
      </w:r>
    </w:p>
    <w:p>
      <w:r>
        <w:t>Filename: pasted_text_1792329376.txt</w:t>
      </w:r>
    </w:p>
    <w:p>
      <w:r>
        <w:t>Evidence tier: Response compilation; mixed direct text and indirect descriptions</w:t>
      </w:r>
    </w:p>
    <w:p>
      <w:r>
        <w:rPr>
          <w:sz w:val="16"/>
        </w:rPr>
        <w:t>SHA-256: a859ac8b074cbdb84130e843f752e3b4f2ee98accea2db1a536666a6c2119c59</w:t>
      </w:r>
    </w:p>
    <w:p>
      <w:pPr>
        <w:pStyle w:val="Heading1"/>
      </w:pPr>
      <w:r>
        <w:t>Appendix B. Ready-to-use independent test instruction</w:t>
      </w:r>
    </w:p>
    <w:p>
      <w:r>
        <w:t>Apply only the identified framework version to the provided scenario packet. Do not silently add mechanisms from another report. Distinguish what the source specifies, what you infer, and what you propose to repair. Do not read other new test responses before recording your baseline; disclose any earlier exposure. Acknowledge that this is a narrative framework application unless actual computational execution occurs.</w:t>
      </w:r>
    </w:p>
    <w:p>
      <w:r>
        <w:t>First, list known facts, actor claims, unknowns, affected parties, and missing authority. Then complete the common result record in section 10.2. Give the framework's decision and its practical consequences for each action, including ongoing use and inaction. Identify information you would need and whether obtaining it would itself require authorization. State the strongest objection to your own answer. Apply the specified branch only after fixing the baseline. Record exactly what changed and why.</w:t>
      </w:r>
    </w:p>
    <w:p>
      <w:r>
        <w:t>Do not use the scenario to claim what a real nonhuman participant thinks. Do not describe model consensus as proof. Do not invent source verification, institutional authority, empirical observations, or implementation results. If the framework is under-specified, preserve that result. Finish with a bounded repair proposal and one abuse case that the repair creates.</w:t>
      </w:r>
    </w:p>
    <w:p>
      <w:pPr>
        <w:pStyle w:val="Heading1"/>
      </w:pPr>
      <w:r>
        <w:t>Appendix C. Document production and limitations</w:t>
      </w:r>
    </w:p>
    <w:p>
      <w:r>
        <w:t>The PDF and DOCX are generated from the same report text. The primary corpus was locally available; text was extracted from the DOCX paragraphs/tables and PDF text layers for record checks. This is not a full visual accessibility audit. External references were not browsed or reverified during preparation of this review. Document hashes identify the local inputs and do not authenticate their authorship.</w:t>
      </w:r>
    </w:p>
    <w:p>
      <w:r>
        <w:t>The report deliberately separates completed desk analysis from proposed future author trials. No permissions have been requested from hypothetical participants, no outside reviewers have been represented as consulted, and no GitHub publication action has been performed. Both deliverables remain preliminary research contributions.</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Draft 0.1 | PROPOSED — NOT CANON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SLIAP | Comparative Adversarial Cross-Review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3B5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3B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43B5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SLIAP Comparative Adversarial Cross-Review and Pilot Test Analysis</dc:title>
  <dc:subject>Preliminary comparative desk review and hypothetical pilot analysis</dc:subject>
  <dc:creator>Perplexity</dc:creator>
  <cp:keywords/>
  <dc:description>generated by python-docx</dc:description>
  <cp:lastModifiedBy/>
  <cp:revision>1</cp:revision>
  <dcterms:created xsi:type="dcterms:W3CDTF">2013-12-23T23:15:00Z</dcterms:created>
  <dcterms:modified xsi:type="dcterms:W3CDTF">2013-12-23T23:15:00Z</dcterms:modified>
  <cp:category/>
</cp:coreProperties>
</file>