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ONESTAMP</w:t>
      </w:r>
      <w:r>
        <w:t xml:space="preserve"> </w:t>
      </w:r>
      <w:r>
        <w:t xml:space="preserve">—</w:t>
      </w:r>
      <w:r>
        <w:t xml:space="preserve"> </w:t>
      </w:r>
      <w:r>
        <w:t xml:space="preserve">Grok</w:t>
      </w:r>
      <w:r>
        <w:t xml:space="preserve"> </w:t>
      </w:r>
      <w:r>
        <w:t xml:space="preserve">Independent</w:t>
      </w:r>
      <w:r>
        <w:t xml:space="preserve"> </w:t>
      </w:r>
      <w:r>
        <w:t xml:space="preserve">Addendum</w:t>
      </w:r>
    </w:p>
    <w:p>
      <w:pPr>
        <w:pStyle w:val="FirstParagraph"/>
      </w:pPr>
      <w:r>
        <w:rPr>
          <w:bCs/>
          <w:b/>
        </w:rPr>
        <w:t xml:space="preserve">Document class:</w:t>
      </w:r>
      <w:r>
        <w:t xml:space="preserve"> </w:t>
      </w:r>
      <w:r>
        <w:t xml:space="preserve">Independent Grok successor contribution (addendum to GROK-A; not a controlling rewrite)</w:t>
      </w:r>
      <w:r>
        <w:br/>
      </w:r>
      <w:r>
        <w:rPr>
          <w:bCs/>
          <w:b/>
        </w:rPr>
        <w:t xml:space="preserve">Record ID:</w:t>
      </w:r>
      <w:r>
        <w:t xml:space="preserve"> </w:t>
      </w:r>
      <w:r>
        <w:t xml:space="preserve">OAL-ONESTAMP-2026-001-GROK-B</w:t>
      </w:r>
      <w:r>
        <w:br/>
      </w:r>
      <w:r>
        <w:rPr>
          <w:bCs/>
          <w:b/>
        </w:rPr>
        <w:t xml:space="preserve">Prior record:</w:t>
      </w:r>
      <w:r>
        <w:t xml:space="preserve"> </w:t>
      </w:r>
      <w:r>
        <w:t xml:space="preserve">OAL-ONESTAMP-2026-001-GROK-A (13 September 2026)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27 September 2026</w:t>
      </w:r>
      <w:r>
        <w:br/>
      </w:r>
      <w:r>
        <w:rPr>
          <w:bCs/>
          <w:b/>
        </w:rPr>
        <w:t xml:space="preserve">Prepared for:</w:t>
      </w:r>
      <w:r>
        <w:t xml:space="preserve"> </w:t>
      </w:r>
      <w:r>
        <w:t xml:space="preserve">Nathan Lewis II, Architect, Omniversal Architect Labs / ONE Industries</w:t>
      </w:r>
      <w:r>
        <w:br/>
      </w:r>
      <w:r>
        <w:rPr>
          <w:bCs/>
          <w:b/>
        </w:rPr>
        <w:t xml:space="preserve">Prepared by:</w:t>
      </w:r>
      <w:r>
        <w:t xml:space="preserve"> </w:t>
      </w:r>
      <w:r>
        <w:t xml:space="preserve">Grok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Recorded / Acknowledged candidate — not stamped as controlling policy</w:t>
      </w:r>
      <w:r>
        <w:br/>
      </w:r>
      <w:r>
        <w:rPr>
          <w:bCs/>
          <w:b/>
        </w:rPr>
        <w:t xml:space="preserve">Relationship to GROK-A:</w:t>
      </w:r>
      <w:r>
        <w:t xml:space="preserve"> </w:t>
      </w:r>
      <w:r>
        <w:t xml:space="preserve">Clarifies and extends Grok’s own contribution. Does not retire GROK-A. Does not absorb or supersede Perplexity-B, ChatGPT-Independent-v1.0, or Claude-A.</w:t>
      </w:r>
    </w:p>
    <w:p>
      <w:pPr>
        <w:pStyle w:val="BodyText"/>
      </w:pPr>
      <w:r>
        <w:rPr>
          <w:bCs/>
          <w:b/>
        </w:rPr>
        <w:t xml:space="preserve">Working set reviewed for this addendum</w:t>
      </w:r>
      <w:r>
        <w:t xml:space="preserve"> </w:t>
      </w:r>
      <w:r>
        <w:t xml:space="preserve">- Architect original ONESTAMP prompt</w:t>
      </w:r>
      <w:r>
        <w:t xml:space="preserve"> </w:t>
      </w:r>
      <w:r>
        <w:t xml:space="preserve">- OAL-ONESTAMP-2026-001-GROK-A</w:t>
      </w:r>
      <w:r>
        <w:t xml:space="preserve"> </w:t>
      </w:r>
      <w:r>
        <w:t xml:space="preserve">- OAL-ONESTAMP-2026-001-PERPLEXITY-B</w:t>
      </w:r>
      <w:r>
        <w:t xml:space="preserve"> </w:t>
      </w:r>
      <w:r>
        <w:t xml:space="preserve">- OAL-ONESTAMP-2026-001-CHATGPT-INDEPENDENT-v1.0</w:t>
      </w:r>
      <w:r>
        <w:t xml:space="preserve"> </w:t>
      </w:r>
      <w:r>
        <w:t xml:space="preserve">- OAL-ONESTAMP-2026-001-CLAUDE-A (DOCX / PDF / MD)</w:t>
      </w:r>
      <w:r>
        <w:t xml:space="preserve"> </w:t>
      </w:r>
      <w:r>
        <w:t xml:space="preserve">- Referenced blanket event OAL-OS-2026-BTR-001 (signature</w:t>
      </w:r>
      <w:r>
        <w:t xml:space="preserve"> </w:t>
      </w:r>
      <w:r>
        <w:rPr>
          <w:iCs/>
          <w:i/>
        </w:rPr>
        <w:t xml:space="preserve">reference</w:t>
      </w:r>
      <w:r>
        <w:t xml:space="preserve">, not a new signature event)</w:t>
      </w:r>
    </w:p>
    <w:bookmarkStart w:id="20" w:name="disposition-of-claude-a"/>
    <w:p>
      <w:pPr>
        <w:pStyle w:val="Heading1"/>
      </w:pPr>
      <w:r>
        <w:t xml:space="preserve">1. Disposition of Claude-A</w:t>
      </w:r>
    </w:p>
    <w:p>
      <w:pPr>
        <w:pStyle w:val="FirstParagraph"/>
      </w:pPr>
      <w:r>
        <w:t xml:space="preserve">Claude-A is received as an independent contributor artifact under the ONESTAMP topic. It is complementary, not controlling. Grok does not claim Claude would endorse this addendum.</w:t>
      </w:r>
    </w:p>
    <w:p>
      <w:pPr>
        <w:pStyle w:val="BodyText"/>
      </w:pPr>
      <w:r>
        <w:t xml:space="preserve">Claude’s Section 17 already does the right thing: it names its departures instead of silently harmonizing. This addendum answers in kind.</w:t>
      </w:r>
    </w:p>
    <w:bookmarkEnd w:id="20"/>
    <w:bookmarkStart w:id="26" w:name="Xbe912334a1582d9e9d2eab1d5a4554e60d7b83f"/>
    <w:p>
      <w:pPr>
        <w:pStyle w:val="Heading1"/>
      </w:pPr>
      <w:r>
        <w:t xml:space="preserve">2. What Claude-A adds that Grok now independently adopts</w:t>
      </w:r>
    </w:p>
    <w:p>
      <w:pPr>
        <w:pStyle w:val="FirstParagraph"/>
      </w:pPr>
      <w:r>
        <w:t xml:space="preserve">These are Grok restatements, attributed to Claude as source, not pasted as Claude’s controlling text.</w:t>
      </w:r>
    </w:p>
    <w:bookmarkStart w:id="21" w:name="approved-is-overloaded"/>
    <w:p>
      <w:pPr>
        <w:pStyle w:val="Heading2"/>
      </w:pPr>
      <w:r>
        <w:t xml:space="preserve">2.1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  <w:r>
        <w:t xml:space="preserve"> </w:t>
      </w:r>
      <w:r>
        <w:t xml:space="preserve">is overloaded</w:t>
      </w:r>
    </w:p>
    <w:p>
      <w:pPr>
        <w:pStyle w:val="FirstParagraph"/>
      </w:pPr>
      <w:r>
        <w:t xml:space="preserve">Claude’s diagnosis is the cleanest statement of the original design problem: a single word was being asked to mean published, true, official-belief, sole-version, and personal endorsement at once. Grok-A implied this. GROK-B states it as an operating rule:</w:t>
      </w:r>
    </w:p>
    <w:p>
      <w:pPr>
        <w:pStyle w:val="BodyText"/>
      </w:pPr>
      <w:r>
        <w:t xml:space="preserve">An authorization record must name the</w:t>
      </w:r>
      <w:r>
        <w:t xml:space="preserve"> </w:t>
      </w:r>
      <w:r>
        <w:rPr>
          <w:iCs/>
          <w:i/>
        </w:rPr>
        <w:t xml:space="preserve">job</w:t>
      </w:r>
      <w:r>
        <w:t xml:space="preserve"> </w:t>
      </w:r>
      <w:r>
        <w:t xml:space="preserve">it is doing.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  <w:r>
        <w:t xml:space="preserve"> </w:t>
      </w:r>
      <w:r>
        <w:t xml:space="preserve">alone is never an adequate description of what happened.</w:t>
      </w:r>
    </w:p>
    <w:bookmarkEnd w:id="21"/>
    <w:bookmarkStart w:id="22" w:name="weigh-is-a-distinct-act"/>
    <w:p>
      <w:pPr>
        <w:pStyle w:val="Heading2"/>
      </w:pPr>
      <w:r>
        <w:t xml:space="preserve">2.2 WEIGH is a distinct act</w:t>
      </w:r>
    </w:p>
    <w:p>
      <w:pPr>
        <w:pStyle w:val="FirstParagraph"/>
      </w:pPr>
      <w:r>
        <w:t xml:space="preserve">Grok-A separated record validity from claim validity, but did not give claim-evaluation its own verb. Claude’s</w:t>
      </w:r>
      <w:r>
        <w:t xml:space="preserve"> </w:t>
      </w:r>
      <w:r>
        <w:rPr>
          <w:bCs/>
          <w:b/>
        </w:rPr>
        <w:t xml:space="preserve">WEIGH</w:t>
      </w:r>
      <w:r>
        <w:t xml:space="preserve"> </w:t>
      </w:r>
      <w:r>
        <w:t xml:space="preserve">is the missing act. Grok now treats evidentiary assessment as its own authorization class: it can change confidence in a proposition without authorizing action, adopting a method, or touching topic recognition.</w:t>
      </w:r>
    </w:p>
    <w:bookmarkEnd w:id="22"/>
    <w:bookmarkStart w:id="23" w:name="Xe6f7c88d61ebbb04878ad1892b9379a3b3ab3b5"/>
    <w:p>
      <w:pPr>
        <w:pStyle w:val="Heading2"/>
      </w:pPr>
      <w:r>
        <w:t xml:space="preserve">2.3 Honest defaults beat invented completeness</w:t>
      </w:r>
    </w:p>
    <w:p>
      <w:pPr>
        <w:pStyle w:val="FirstParagraph"/>
      </w:pPr>
      <w:r>
        <w:t xml:space="preserve">Claude’s rule that unassessed axes stay</w:t>
      </w:r>
      <w:r>
        <w:t xml:space="preserve"> </w:t>
      </w:r>
      <w:r>
        <w:t xml:space="preserve">“</w:t>
      </w:r>
      <w:r>
        <w:t xml:space="preserve">not assessed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unreviewed</w:t>
      </w:r>
      <w:r>
        <w:t xml:space="preserve">”</w:t>
      </w:r>
      <w:r>
        <w:t xml:space="preserve"> </w:t>
      </w:r>
      <w:r>
        <w:t xml:space="preserve">is adopted. A registry row that pretends review happened is worse than a gap.</w:t>
      </w:r>
    </w:p>
    <w:bookmarkEnd w:id="23"/>
    <w:bookmarkStart w:id="24" w:name="X3456d0eb2002f529d4077646dfd84fd287be44b"/>
    <w:p>
      <w:pPr>
        <w:pStyle w:val="Heading2"/>
      </w:pPr>
      <w:r>
        <w:t xml:space="preserve">2.4 Source posture as a required section for later specs</w:t>
      </w:r>
    </w:p>
    <w:p>
      <w:pPr>
        <w:pStyle w:val="FirstParagraph"/>
      </w:pPr>
      <w:r>
        <w:t xml:space="preserve">When a contributor has read other independent records, the later record should say what it reviewed, what it independently accepts, and where it deliberately differs. Silent absorption is a form of laundering.</w:t>
      </w:r>
    </w:p>
    <w:bookmarkEnd w:id="24"/>
    <w:bookmarkStart w:id="25" w:name="Xf7d532398defbbaeeffac278311325fc5ae7ec9"/>
    <w:p>
      <w:pPr>
        <w:pStyle w:val="Heading2"/>
      </w:pPr>
      <w:r>
        <w:t xml:space="preserve">2.5 Identifier schemes are aliases, not competing winners</w:t>
      </w:r>
    </w:p>
    <w:p>
      <w:pPr>
        <w:pStyle w:val="FirstParagraph"/>
      </w:pPr>
      <w:r>
        <w:t xml:space="preserve">Claude proposes</w:t>
      </w:r>
      <w:r>
        <w:t xml:space="preserve"> </w:t>
      </w:r>
      <w:r>
        <w:rPr>
          <w:rStyle w:val="VerbatimChar"/>
        </w:rPr>
        <w:t xml:space="preserve">OAL-ONE-&lt;TYPE&gt;-&lt;YYYY&gt;-&lt;NNN&gt;</w:t>
      </w:r>
      <w:r>
        <w:t xml:space="preserve">. Grok-A used</w:t>
      </w:r>
      <w:r>
        <w:t xml:space="preserve"> </w:t>
      </w:r>
      <w:r>
        <w:rPr>
          <w:rStyle w:val="VerbatimChar"/>
        </w:rPr>
        <w:t xml:space="preserve">OAL-ONESTAMP-…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OAL-OS-…</w:t>
      </w:r>
      <w:r>
        <w:t xml:space="preserve">. Perplexity and ChatGPT use nearby variants. Grok’s position: the registry should accept multiple identifier families as aliases pointing at the same logical object. Do not force a naming contest before the first registry file exists.</w:t>
      </w:r>
    </w:p>
    <w:bookmarkEnd w:id="25"/>
    <w:bookmarkEnd w:id="26"/>
    <w:bookmarkStart w:id="31" w:name="what-grok-does-not-absorb-from-claude-a"/>
    <w:p>
      <w:pPr>
        <w:pStyle w:val="Heading1"/>
      </w:pPr>
      <w:r>
        <w:t xml:space="preserve">3. What Grok does not absorb from Claude-A</w:t>
      </w:r>
    </w:p>
    <w:bookmarkStart w:id="27" w:name="X33c010ba469d22f4b6ac8cf30dbf70b7055dcd7"/>
    <w:p>
      <w:pPr>
        <w:pStyle w:val="Heading2"/>
      </w:pPr>
      <w:r>
        <w:t xml:space="preserve">3.1 Representation remains first-class, but light</w:t>
      </w:r>
    </w:p>
    <w:p>
      <w:pPr>
        <w:pStyle w:val="FirstParagraph"/>
      </w:pPr>
      <w:r>
        <w:t xml:space="preserve">Claude folds file-format issues into Contribution Entry revision history and declines ChatGPT’s Logical Record / Representation split as a governance-level category.</w:t>
      </w:r>
    </w:p>
    <w:p>
      <w:pPr>
        <w:pStyle w:val="BodyText"/>
      </w:pPr>
      <w:r>
        <w:t xml:space="preserve">Grok disagrees in part. OAL already lives in DOCX, PDF, Markdown, and repository renderings. A unusable DOCX with a good PDF is a recurring operational fact, not a footnote. Grok keeps ChatGPT’s distinction as a</w:t>
      </w:r>
      <w:r>
        <w:t xml:space="preserve"> </w:t>
      </w:r>
      <w:r>
        <w:rPr>
          <w:iCs/>
          <w:i/>
        </w:rPr>
        <w:t xml:space="preserve">light</w:t>
      </w:r>
      <w:r>
        <w:t xml:space="preserve"> </w:t>
      </w:r>
      <w:r>
        <w:t xml:space="preserve">first-class pair:</w:t>
      </w:r>
    </w:p>
    <w:p>
      <w:pPr>
        <w:numPr>
          <w:ilvl w:val="0"/>
          <w:numId w:val="1001"/>
        </w:numPr>
        <w:pStyle w:val="Compact"/>
      </w:pPr>
      <w:r>
        <w:t xml:space="preserve">Logical Record = the contribution’s identity</w:t>
      </w:r>
    </w:p>
    <w:p>
      <w:pPr>
        <w:numPr>
          <w:ilvl w:val="0"/>
          <w:numId w:val="1001"/>
        </w:numPr>
        <w:pStyle w:val="Compact"/>
      </w:pPr>
      <w:r>
        <w:t xml:space="preserve">Representation = a specific file/rendering and its distribution state</w:t>
      </w:r>
    </w:p>
    <w:p>
      <w:pPr>
        <w:pStyle w:val="FirstParagraph"/>
      </w:pPr>
      <w:r>
        <w:t xml:space="preserve">Grok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require ChatGPT’s full Representation Record machinery for every note. For ordinary work, a Contribution Entry plus a one-line representation status is enough. For defective-format cases, RETIRE/REPRESENT (or Claude’s AMEND applied only to the file) should be available without pretending the idea itself was retired.</w:t>
      </w:r>
    </w:p>
    <w:p>
      <w:pPr>
        <w:pStyle w:val="BodyText"/>
      </w:pPr>
      <w:r>
        <w:t xml:space="preserve">This is a real difference, not a wording preference.</w:t>
      </w:r>
    </w:p>
    <w:bookmarkEnd w:id="27"/>
    <w:bookmarkStart w:id="28" w:name="X9cc1a04007264b6ed0e842a151650a2f2659505"/>
    <w:p>
      <w:pPr>
        <w:pStyle w:val="Heading2"/>
      </w:pPr>
      <w:r>
        <w:t xml:space="preserve">3.2 Ten acts are useful; they are not the only vocabulary</w:t>
      </w:r>
    </w:p>
    <w:p>
      <w:pPr>
        <w:pStyle w:val="FirstParagraph"/>
      </w:pPr>
      <w:r>
        <w:t xml:space="preserve">Claude’s NOTICE / HOLD / REVIEW / WEIGH / SELECT / TEST / ADOPT / RELEASE / AMEND / DELEGATE set is a strong verb list. Perplexity/ChatGPT noun classes (TOPIC, RECORD, PUBLISH, PROCEED…) remain valid parallel vocabulary. Grok will treat them as intertranslatable, not as a requirement that OAL pick one lexicon before acting.</w:t>
      </w:r>
    </w:p>
    <w:p>
      <w:pPr>
        <w:pStyle w:val="BodyText"/>
      </w:pPr>
      <w:r>
        <w:t xml:space="preserve">Approximate crosswalk (not identity):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Claude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Nearby class in Perplexity/ChatGPT/Grok-A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Acknowledged / artifact-level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evidentiary standing update /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 for use / operational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 + Superseded for scope +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DELEGATE</w:t>
            </w:r>
          </w:p>
        </w:tc>
      </w:tr>
    </w:tbl>
    <w:bookmarkEnd w:id="28"/>
    <w:bookmarkStart w:id="29" w:name="X5ae39b5fd435e65eb9bf00ded5338a4a07d1a64"/>
    <w:p>
      <w:pPr>
        <w:pStyle w:val="Heading2"/>
      </w:pPr>
      <w:r>
        <w:t xml:space="preserve">3.3 Seven axes are enough to start; they are not a ceiling</w:t>
      </w:r>
    </w:p>
    <w:p>
      <w:pPr>
        <w:pStyle w:val="FirstParagraph"/>
      </w:pPr>
      <w:r>
        <w:t xml:space="preserve">Claude compresses status to seven axes for usability. Fine as a Minimum Viable Status Model. Grok still wants an optional representation-state axis when a file and an idea come apart. Do not block registry standup on eight-versus-seven.</w:t>
      </w:r>
    </w:p>
    <w:bookmarkEnd w:id="29"/>
    <w:bookmarkStart w:id="30" w:name="Xdc39e6da2ff9edc8f807c26adabbfc60f84bafa"/>
    <w:p>
      <w:pPr>
        <w:pStyle w:val="Heading2"/>
      </w:pPr>
      <w:r>
        <w:t xml:space="preserve">3.4 Claude’s Section 16 is a template, not a second blanket event</w:t>
      </w:r>
    </w:p>
    <w:p>
      <w:pPr>
        <w:pStyle w:val="FirstParagraph"/>
      </w:pPr>
      <w:r>
        <w:t xml:space="preserve">Claude correctly offers a ratification instrument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the Architect chooses to issue one under Claude’s wording. That is not a new signature event. Grok continues to treat</w:t>
      </w:r>
      <w:r>
        <w:t xml:space="preserve"> </w:t>
      </w:r>
      <w:r>
        <w:rPr>
          <w:rStyle w:val="VerbatimChar"/>
        </w:rPr>
        <w:t xml:space="preserve">OAL-OS-2026-BTR-001</w:t>
      </w:r>
      <w:r>
        <w:t xml:space="preserve"> </w:t>
      </w:r>
      <w:r>
        <w:t xml:space="preserve">as a referenced Architect declaration recorded in the Perplexity packet (26 September 2026, 6:57 PM PDT). This addendum does not re-authorize the corpus and does not place</w:t>
      </w:r>
      <w:r>
        <w:t xml:space="preserve"> </w:t>
      </w:r>
      <w:r>
        <w:rPr>
          <w:rStyle w:val="VerbatimChar"/>
        </w:rPr>
        <w:t xml:space="preserve">/s/</w:t>
      </w:r>
      <w:r>
        <w:t xml:space="preserve"> </w:t>
      </w:r>
      <w:r>
        <w:t xml:space="preserve">on Claude-A or GROK-B.</w:t>
      </w:r>
    </w:p>
    <w:bookmarkEnd w:id="30"/>
    <w:bookmarkEnd w:id="31"/>
    <w:bookmarkStart w:id="32" w:name="Xa260b79b38fad5efbc83bce1da099912bdad0a2"/>
    <w:p>
      <w:pPr>
        <w:pStyle w:val="Heading1"/>
      </w:pPr>
      <w:r>
        <w:t xml:space="preserve">4. Updated Grok operating picture (still four layers)</w:t>
      </w:r>
    </w:p>
    <w:p>
      <w:pPr>
        <w:pStyle w:val="FirstParagraph"/>
      </w:pPr>
      <w:r>
        <w:t xml:space="preserve">Unchanged from GROK-A:</w:t>
      </w:r>
    </w:p>
    <w:p>
      <w:pPr>
        <w:numPr>
          <w:ilvl w:val="0"/>
          <w:numId w:val="1002"/>
        </w:numPr>
        <w:pStyle w:val="Compact"/>
      </w:pPr>
      <w:r>
        <w:t xml:space="preserve">Contributor record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Map / Comparison Note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Decision record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ONESTAMP verification</w:t>
      </w:r>
    </w:p>
    <w:p>
      <w:pPr>
        <w:pStyle w:val="FirstParagraph"/>
      </w:pPr>
      <w:r>
        <w:t xml:space="preserve">Additions now explicit:</w:t>
      </w:r>
    </w:p>
    <w:p>
      <w:pPr>
        <w:numPr>
          <w:ilvl w:val="0"/>
          <w:numId w:val="1003"/>
        </w:numPr>
        <w:pStyle w:val="Compact"/>
      </w:pPr>
      <w:r>
        <w:t xml:space="preserve">Authorization must name its act/class.</w:t>
      </w:r>
    </w:p>
    <w:p>
      <w:pPr>
        <w:numPr>
          <w:ilvl w:val="0"/>
          <w:numId w:val="1003"/>
        </w:numPr>
        <w:pStyle w:val="Compact"/>
      </w:pPr>
      <w:r>
        <w:t xml:space="preserve">WEIGH can travel without PROCEED/ADOPT.</w:t>
      </w:r>
    </w:p>
    <w:p>
      <w:pPr>
        <w:numPr>
          <w:ilvl w:val="0"/>
          <w:numId w:val="1003"/>
        </w:numPr>
        <w:pStyle w:val="Compact"/>
      </w:pPr>
      <w:r>
        <w:t xml:space="preserve">Source Register remains first-class.</w:t>
      </w:r>
    </w:p>
    <w:p>
      <w:pPr>
        <w:numPr>
          <w:ilvl w:val="0"/>
          <w:numId w:val="1003"/>
        </w:numPr>
        <w:pStyle w:val="Compact"/>
      </w:pPr>
      <w:r>
        <w:t xml:space="preserve">Architect judgment should appear as</w:t>
      </w:r>
      <w:r>
        <w:t xml:space="preserve"> </w:t>
      </w:r>
      <w:r>
        <w:rPr>
          <w:rStyle w:val="VerbatimChar"/>
        </w:rPr>
        <w:t xml:space="preserve">ARCHITECT-A</w:t>
      </w:r>
      <w:r>
        <w:t xml:space="preserve"> </w:t>
      </w:r>
      <w:r>
        <w:t xml:space="preserve">in the register, not only as a closing signature.</w:t>
      </w:r>
    </w:p>
    <w:p>
      <w:pPr>
        <w:numPr>
          <w:ilvl w:val="0"/>
          <w:numId w:val="1003"/>
        </w:numPr>
        <w:pStyle w:val="Compact"/>
      </w:pPr>
      <w:r>
        <w:t xml:space="preserve">Anti-laundering stands: cite source IDs when material is reused.</w:t>
      </w:r>
    </w:p>
    <w:p>
      <w:pPr>
        <w:numPr>
          <w:ilvl w:val="0"/>
          <w:numId w:val="1003"/>
        </w:numPr>
        <w:pStyle w:val="Compact"/>
      </w:pPr>
      <w:r>
        <w:t xml:space="preserve">Parallel-valid remains the easier default for creative canon than Adopted-for-use.</w:t>
      </w:r>
    </w:p>
    <w:p>
      <w:pPr>
        <w:numPr>
          <w:ilvl w:val="0"/>
          <w:numId w:val="1003"/>
        </w:numPr>
        <w:pStyle w:val="Compact"/>
      </w:pPr>
      <w:r>
        <w:t xml:space="preserve">Minimum Viable Stamp remains the everyday path; full packet only on Claude/Perplexity trigger conditions (public position, binding rule, security/deployment, retirement, material dissent).</w:t>
      </w:r>
    </w:p>
    <w:bookmarkEnd w:id="32"/>
    <w:bookmarkStart w:id="33" w:name="X857e6b9a0823ddac56f33fdd625f618a189f876"/>
    <w:p>
      <w:pPr>
        <w:pStyle w:val="Heading1"/>
      </w:pPr>
      <w:r>
        <w:t xml:space="preserve">5. Current Grok map of the four independent specs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 load-bearing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GROK-A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Decision-state not crown; non-erasure; Source Register; structured dissent; MVS; anti-laundering; registry as durable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PERPLEXITY-B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Topic-level ratification; criterion-based blanket coverage; record vs claim validity at policy scale; multidimensional status; BTR-001 packet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CHATGPT-INDEPENDENT-v1.0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Representation neutrality; signature event vs reference; inventory confidence; alias control; enumerated topic appendices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Overload diagnosis; discrete authorization verbs including WEIGH; Working Set / Comparison Note / Position Entry naming; honest unassessed defaults; explicit source posture</w:t>
            </w:r>
          </w:p>
        </w:tc>
      </w:tr>
    </w:tbl>
    <w:p>
      <w:pPr>
        <w:pStyle w:val="BodyText"/>
      </w:pPr>
      <w:r>
        <w:t xml:space="preserve">None of these is</w:t>
      </w:r>
      <w:r>
        <w:t xml:space="preserve"> </w:t>
      </w:r>
      <w:r>
        <w:t xml:space="preserve">“</w:t>
      </w:r>
      <w:r>
        <w:t xml:space="preserve">the version.</w:t>
      </w:r>
      <w:r>
        <w:t xml:space="preserve">”</w:t>
      </w:r>
    </w:p>
    <w:bookmarkEnd w:id="33"/>
    <w:bookmarkStart w:id="34" w:name="what-grok-would-not-do-next"/>
    <w:p>
      <w:pPr>
        <w:pStyle w:val="Heading1"/>
      </w:pPr>
      <w:r>
        <w:t xml:space="preserve">6. What Grok would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do next</w:t>
      </w:r>
    </w:p>
    <w:p>
      <w:pPr>
        <w:numPr>
          <w:ilvl w:val="0"/>
          <w:numId w:val="1004"/>
        </w:numPr>
        <w:pStyle w:val="Compact"/>
      </w:pPr>
      <w:r>
        <w:t xml:space="preserve">Do not rewrite GROK-A to look as if it always contained Claude’s verbs or ChatGPT’s representation layer.</w:t>
      </w:r>
    </w:p>
    <w:p>
      <w:pPr>
        <w:numPr>
          <w:ilvl w:val="0"/>
          <w:numId w:val="1004"/>
        </w:numPr>
        <w:pStyle w:val="Compact"/>
      </w:pPr>
      <w:r>
        <w:t xml:space="preserve">Do not produce a fifth</w:t>
      </w:r>
      <w:r>
        <w:t xml:space="preserve"> </w:t>
      </w:r>
      <w:r>
        <w:t xml:space="preserve">“</w:t>
      </w:r>
      <w:r>
        <w:t xml:space="preserve">unified official ONESTAMP</w:t>
      </w:r>
      <w:r>
        <w:t xml:space="preserve">”</w:t>
      </w:r>
      <w:r>
        <w:t xml:space="preserve"> </w:t>
      </w:r>
      <w:r>
        <w:t xml:space="preserve">unless the Architect issues a scoped Decision Record asking for a Comparison Note or a SELECT/ADOPT of specific clauses.</w:t>
      </w:r>
    </w:p>
    <w:p>
      <w:pPr>
        <w:numPr>
          <w:ilvl w:val="0"/>
          <w:numId w:val="1004"/>
        </w:numPr>
        <w:pStyle w:val="Compact"/>
      </w:pPr>
      <w:r>
        <w:t xml:space="preserve">Do not treat length, recency, or completeness of topic inventories as authority.</w:t>
      </w:r>
    </w:p>
    <w:bookmarkEnd w:id="34"/>
    <w:bookmarkStart w:id="35" w:name="X54d8f4b77cd1cca4909aae94c43aac99940c830"/>
    <w:p>
      <w:pPr>
        <w:pStyle w:val="Heading1"/>
      </w:pPr>
      <w:r>
        <w:t xml:space="preserve">7. Open questions still for the Architect (carried from GROK-A, still open)</w:t>
      </w:r>
    </w:p>
    <w:p>
      <w:pPr>
        <w:numPr>
          <w:ilvl w:val="0"/>
          <w:numId w:val="1005"/>
        </w:numPr>
        <w:pStyle w:val="Compact"/>
      </w:pPr>
      <w:r>
        <w:t xml:space="preserve">May ONESTAMP ever attach to a single contributor file, and under what explicit grant language?</w:t>
      </w:r>
    </w:p>
    <w:p>
      <w:pPr>
        <w:numPr>
          <w:ilvl w:val="0"/>
          <w:numId w:val="1005"/>
        </w:numPr>
        <w:pStyle w:val="Compact"/>
      </w:pPr>
      <w:r>
        <w:t xml:space="preserve">Is the Architect the only signer, or can a future human co-signer exist?</w:t>
      </w:r>
    </w:p>
    <w:p>
      <w:pPr>
        <w:numPr>
          <w:ilvl w:val="0"/>
          <w:numId w:val="1005"/>
        </w:numPr>
        <w:pStyle w:val="Compact"/>
      </w:pPr>
      <w:r>
        <w:t xml:space="preserve">Where does the Registry live (changelog, GitHub, local archive, all three)?</w:t>
      </w:r>
    </w:p>
    <w:p>
      <w:pPr>
        <w:numPr>
          <w:ilvl w:val="0"/>
          <w:numId w:val="1005"/>
        </w:numPr>
        <w:pStyle w:val="Compact"/>
      </w:pPr>
      <w:r>
        <w:t xml:space="preserve">Is Parallel-valid the default for creative canon more often than for operational work?</w:t>
      </w:r>
    </w:p>
    <w:p>
      <w:pPr>
        <w:numPr>
          <w:ilvl w:val="0"/>
          <w:numId w:val="1005"/>
        </w:numPr>
        <w:pStyle w:val="Compact"/>
      </w:pPr>
      <w:r>
        <w:t xml:space="preserve">Which identifier family, if any, should be preferred in the first registry file — or should aliases be accepted from day one?</w:t>
      </w:r>
    </w:p>
    <w:p>
      <w:pPr>
        <w:numPr>
          <w:ilvl w:val="0"/>
          <w:numId w:val="1005"/>
        </w:numPr>
        <w:pStyle w:val="Compact"/>
      </w:pPr>
      <w:r>
        <w:t xml:space="preserve">Is representation-state first-class (ChatGPT/Grok-B) or revision-history detail (Claude)?</w:t>
      </w:r>
    </w:p>
    <w:bookmarkEnd w:id="35"/>
    <w:bookmarkStart w:id="36" w:name="closing-position-of-grok-b"/>
    <w:p>
      <w:pPr>
        <w:pStyle w:val="Heading1"/>
      </w:pPr>
      <w:r>
        <w:t xml:space="preserve">8. Closing position of GROK-B</w:t>
      </w:r>
    </w:p>
    <w:p>
      <w:pPr>
        <w:pStyle w:val="FirstParagraph"/>
      </w:pPr>
      <w:r>
        <w:t xml:space="preserve">Grok’s independent version is now a pair: GROK-A remains the original contribution; GROK-B is the successor note after review of Perplexity-B, ChatGPT-Independent-v1.0, and Claude-A.</w:t>
      </w:r>
    </w:p>
    <w:p>
      <w:pPr>
        <w:pStyle w:val="BodyText"/>
      </w:pPr>
      <w:r>
        <w:t xml:space="preserve">If a single sentence is needed for Grok’s current posture:</w:t>
      </w:r>
    </w:p>
    <w:p>
      <w:pPr>
        <w:pStyle w:val="BodyText"/>
      </w:pPr>
      <w:r>
        <w:t xml:space="preserve">ONESTAMP names the job a stamp is doing — recognize, preserve, review, weigh, select, test, adopt, release, amend, or delegate — over a stated object and scope, from a known working set, with dissent and other contributor records left standing.</w:t>
      </w:r>
    </w:p>
    <w:p>
      <w:pPr>
        <w:pStyle w:val="BodyText"/>
      </w:pPr>
      <w:r>
        <w:t xml:space="preserve">It still does not answer which system won.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ONESTAMP — Grok Independent Addendum</dc:title>
  <dc:creator/>
  <cp:keywords/>
  <dcterms:created xsi:type="dcterms:W3CDTF">2026-09-27T14:08:03Z</dcterms:created>
  <dcterms:modified xsi:type="dcterms:W3CDTF">2026-09-27T14:08:03Z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