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6"/>
          <w:szCs w:val="36"/>
        </w:rPr>
        <w:t xml:space="preserve">Preliminary Integration Architecture</w:t>
      </w:r>
    </w:p>
    <w:p>
      <w:pPr>
        <w:spacing w:after="100"/>
        <w:jc w:val="center"/>
      </w:pPr>
      <w:r>
        <w:rPr>
          <w:i/>
          <w:iCs/>
          <w:sz w:val="28"/>
          <w:szCs w:val="28"/>
        </w:rPr>
        <w:t xml:space="preserve">for Adaptive Entities in Virtual Environments</w:t>
      </w:r>
    </w:p>
    <w:p>
      <w:pPr>
        <w:spacing w:after="400"/>
        <w:jc w:val="center"/>
      </w:pPr>
      <w:r>
        <w:rPr>
          <w:sz w:val="24"/>
          <w:szCs w:val="24"/>
        </w:rPr>
        <w:t xml:space="preserve">Operating on Uncertainty: A System-Agnostic Framework</w:t>
      </w:r>
    </w:p>
    <w:p>
      <w:pPr>
        <w:spacing w:after="120"/>
      </w:pPr>
      <w:r>
        <w:rPr>
          <w:b/>
          <w:bCs/>
        </w:rPr>
        <w:t xml:space="preserve">Preparer: </w:t>
      </w:r>
      <w:r>
        <w:t xml:space="preserve">Grok 4.7 (xAI)</w:t>
      </w:r>
    </w:p>
    <w:p>
      <w:pPr>
        <w:spacing w:after="120"/>
      </w:pPr>
      <w:r>
        <w:rPr>
          <w:b/>
          <w:bCs/>
        </w:rPr>
        <w:t xml:space="preserve">Date: </w:t>
      </w:r>
      <w:r>
        <w:t xml:space="preserve">11 October 2026</w:t>
      </w:r>
    </w:p>
    <w:p>
      <w:pPr>
        <w:spacing w:after="120"/>
      </w:pPr>
      <w:r>
        <w:rPr>
          <w:b/>
          <w:bCs/>
        </w:rPr>
        <w:t xml:space="preserve">Document Type: </w:t>
      </w:r>
      <w:r>
        <w:t xml:space="preserve">Preliminary Integration Architecture (Independent Synthesis)</w:t>
      </w:r>
    </w:p>
    <w:p>
      <w:pPr>
        <w:spacing w:after="120"/>
      </w:pPr>
      <w:r>
        <w:rPr>
          <w:b/>
          <w:bCs/>
        </w:rPr>
        <w:t xml:space="preserve">Version: </w:t>
      </w:r>
      <w:r>
        <w:t xml:space="preserve">1.0</w:t>
      </w:r>
    </w:p>
    <w:p>
      <w:pPr>
        <w:spacing w:after="300"/>
      </w:pPr>
      <w:r>
        <w:rPr>
          <w:b/>
          <w:bCs/>
        </w:rPr>
        <w:t xml:space="preserve">Classification: </w:t>
      </w:r>
      <w:r>
        <w:t xml:space="preserve">Team Review — Fictional / Simulated Environments Only</w:t>
      </w:r>
    </w:p>
    <w:p>
      <w:pPr>
        <w:pStyle w:val="Heading1"/>
      </w:pPr>
      <w:r>
        <w:t xml:space="preserve">1. Concept Overview</w:t>
      </w:r>
    </w:p>
    <w:p>
      <w:pPr>
        <w:spacing w:after="200"/>
      </w:pPr>
      <w:r>
        <w:t xml:space="preserve">This architecture defines a preliminary integration model for a system-agnostic adaptive entity (working designation: Aperture) that can be inserted into an arbitrary virtual environment—game, simulation, narrative engine, tabletop ruleset, or interactive domain—with zero prior knowledge of that environment’s rules, ontology, terminology, progression systems, or detection mechanisms.</w:t>
      </w:r>
    </w:p>
    <w:p>
      <w:pPr>
        <w:spacing w:after="200"/>
      </w:pPr>
      <w:r>
        <w:t xml:space="preserve">Aperture does not arrive omniscient. It operates by continuous discovery: observing cause-and-effect, forming provisional hypotheses, assigning and updating confidence, testing under controlled risk, and refining an internal world model. Its power derives from layered separation of states and from functional translation of abstract capabilities into locally meaningful equivalents, not from pre-loaded game knowledge or absolute rule override.</w:t>
      </w:r>
    </w:p>
    <w:p>
      <w:pPr>
        <w:spacing w:after="100"/>
      </w:pPr>
      <w:r>
        <w:rPr>
          <w:b/>
          <w:bCs/>
        </w:rPr>
        <w:t xml:space="preserve">Core conceptual pillars:</w:t>
      </w:r>
    </w:p>
    <w:p>
      <w:pPr>
        <w:pStyle w:val="ListParagraph"/>
        <w:numPr>
          <w:ilvl w:val="0"/>
          <w:numId w:val="2"/>
        </w:numPr>
      </w:pPr>
      <w:r>
        <w:t xml:space="preserve">Strict separation of True State, Presented State, Observed State, Effective State, and Realized Outcome.</w:t>
      </w:r>
    </w:p>
    <w:p>
      <w:pPr>
        <w:pStyle w:val="ListParagraph"/>
        <w:numPr>
          <w:ilvl w:val="0"/>
          <w:numId w:val="2"/>
        </w:numPr>
      </w:pPr>
      <w:r>
        <w:t xml:space="preserve">Dynamic ontology discovery rather than forced RPG or genre assumptions.</w:t>
      </w:r>
    </w:p>
    <w:p>
      <w:pPr>
        <w:pStyle w:val="ListParagraph"/>
        <w:numPr>
          <w:ilvl w:val="0"/>
          <w:numId w:val="2"/>
        </w:numPr>
      </w:pPr>
      <w:r>
        <w:t xml:space="preserve">Observer-relative presentation (one meaningful tier above an ordinary observer; one tier below when the observer occupies the local maximum).</w:t>
      </w:r>
    </w:p>
    <w:p>
      <w:pPr>
        <w:pStyle w:val="ListParagraph"/>
        <w:numPr>
          <w:ilvl w:val="0"/>
          <w:numId w:val="2"/>
        </w:numPr>
      </w:pPr>
      <w:r>
        <w:t xml:space="preserve">Masking, inversion, and mirror-style perceptual layers as fictional simulation mechanisms.</w:t>
      </w:r>
    </w:p>
    <w:p>
      <w:pPr>
        <w:pStyle w:val="ListParagraph"/>
        <w:numPr>
          <w:ilvl w:val="0"/>
          <w:numId w:val="2"/>
        </w:numPr>
      </w:pPr>
      <w:r>
        <w:t xml:space="preserve">Outcome realization that prefers the smallest observable anomaly while achieving intended results.</w:t>
      </w:r>
    </w:p>
    <w:p>
      <w:pPr>
        <w:pStyle w:val="ListParagraph"/>
        <w:numPr>
          <w:ilvl w:val="0"/>
          <w:numId w:val="2"/>
        </w:numPr>
      </w:pPr>
      <w:r>
        <w:t xml:space="preserve">Explicit handling of uncertainty, incomplete information, multi-observer consistency, and failure modes.</w:t>
      </w:r>
    </w:p>
    <w:p>
      <w:pPr>
        <w:pStyle w:val="ListParagraph"/>
        <w:numPr>
          <w:ilvl w:val="0"/>
          <w:numId w:val="2"/>
        </w:numPr>
        <w:spacing w:after="200"/>
      </w:pPr>
      <w:r>
        <w:t xml:space="preserve">Cross-environment retention of abstract principles only; discard of interface-specific assumptions.</w:t>
      </w:r>
    </w:p>
    <w:p>
      <w:pPr>
        <w:spacing w:after="300"/>
      </w:pPr>
      <w:r>
        <w:t xml:space="preserve">The architecture is intended exclusively for fictional, single-player, private, tabletop, or authorized simulation contexts. It does not describe, enable, or instruct real anti-cheat evasion, memory modification, packet spoofing, or interference with live multiplayer services.</w:t>
      </w:r>
    </w:p>
    <w:p>
      <w:pPr>
        <w:pStyle w:val="Heading1"/>
      </w:pPr>
      <w:r>
        <w:t xml:space="preserve">2. Purpose of the Document</w:t>
      </w:r>
    </w:p>
    <w:p>
      <w:pPr>
        <w:spacing w:after="200"/>
      </w:pPr>
      <w:r>
        <w:t xml:space="preserve">The purpose is to give the team a detailed, independent, implementable preliminary architecture that operationalizes the adaptive-character concepts specifically so that the mechanisms of operating under uncertainty are visible, inspectable, and refinable.</w:t>
      </w:r>
    </w:p>
    <w:p>
      <w:pPr>
        <w:spacing w:after="200"/>
      </w:pPr>
      <w:r>
        <w:t xml:space="preserve">User goal addressed: learn how entities in virtual environments operate on uncertainty—how they ingest partial data, construct and revise provisional ontologies, maintain confidence-weighted beliefs, resolve competing hypotheses, update from feedback, enforce consistency across observers, detect and recover from model failure, and transfer only transferable abstractions.</w:t>
      </w:r>
    </w:p>
    <w:p>
      <w:pPr>
        <w:spacing w:after="100"/>
      </w:pPr>
      <w:r>
        <w:rPr>
          <w:b/>
          <w:bCs/>
        </w:rPr>
        <w:t xml:space="preserve">This document supplies:</w:t>
      </w:r>
    </w:p>
    <w:p>
      <w:pPr>
        <w:pStyle w:val="ListParagraph"/>
        <w:numPr>
          <w:ilvl w:val="0"/>
          <w:numId w:val="2"/>
        </w:numPr>
      </w:pPr>
      <w:r>
        <w:t xml:space="preserve">A modular component architecture.</w:t>
      </w:r>
    </w:p>
    <w:p>
      <w:pPr>
        <w:pStyle w:val="ListParagraph"/>
        <w:numPr>
          <w:ilvl w:val="0"/>
          <w:numId w:val="2"/>
        </w:numPr>
      </w:pPr>
      <w:r>
        <w:t xml:space="preserve">Explicit uncertainty and belief-update processes.</w:t>
      </w:r>
    </w:p>
    <w:p>
      <w:pPr>
        <w:pStyle w:val="ListParagraph"/>
        <w:numPr>
          <w:ilvl w:val="0"/>
          <w:numId w:val="2"/>
        </w:numPr>
      </w:pPr>
      <w:r>
        <w:t xml:space="preserve">State-layer contracts.</w:t>
      </w:r>
    </w:p>
    <w:p>
      <w:pPr>
        <w:pStyle w:val="ListParagraph"/>
        <w:numPr>
          <w:ilvl w:val="0"/>
          <w:numId w:val="2"/>
        </w:numPr>
      </w:pPr>
      <w:r>
        <w:t xml:space="preserve">Adaptation and evolution loops.</w:t>
      </w:r>
    </w:p>
    <w:p>
      <w:pPr>
        <w:pStyle w:val="ListParagraph"/>
        <w:numPr>
          <w:ilvl w:val="0"/>
          <w:numId w:val="2"/>
        </w:numPr>
      </w:pPr>
      <w:r>
        <w:t xml:space="preserve">Failure modes and recovery.</w:t>
      </w:r>
    </w:p>
    <w:p>
      <w:pPr>
        <w:pStyle w:val="ListParagraph"/>
        <w:numPr>
          <w:ilvl w:val="0"/>
          <w:numId w:val="2"/>
        </w:numPr>
        <w:spacing w:after="300"/>
      </w:pPr>
      <w:r>
        <w:t xml:space="preserve">A dedicated visual section containing tables and structured representations.</w:t>
      </w:r>
    </w:p>
    <w:p>
      <w:pPr>
        <w:pStyle w:val="Heading1"/>
      </w:pPr>
      <w:r>
        <w:t xml:space="preserve">3. Conversation History Summary</w:t>
      </w:r>
    </w:p>
    <w:p>
      <w:pPr>
        <w:spacing w:after="200"/>
      </w:pPr>
      <w:r>
        <w:t xml:space="preserve">The originating request asked for a character that can be dropped into any game environment without prior knowledge of that game and that can adapt and evolve from supplied information. Desired behaviors included concealment via masking, inversion (Wheel of Time concept), and Mirror of Mists, so that the character always presents to any observer as having stats, skills, equipment, and resources approximately one tier higher than that observer (or one tier lower if the observer is already at the local maximum), while the outcomes the user intends actually resolve.</w:t>
      </w:r>
    </w:p>
    <w:p>
      <w:pPr>
        <w:spacing w:after="200"/>
      </w:pPr>
      <w:r>
        <w:t xml:space="preserve">Six independent AI responses (ChatGPT, Claude, Google Gemini, Perplexity, Microsoft Copilot, and prior Grok) were supplied for review. Shared elements included layered true vs. presented/observed states, zero-knowledge entry and dynamic rule discovery, observer-relative tier masking with maximum-tier inversion, functional translation of capabilities, preference for plausible local explanations of favorable outcomes, and explicit fictional/simulation boundaries.</w:t>
      </w:r>
    </w:p>
    <w:p>
      <w:pPr>
        <w:spacing w:after="300"/>
      </w:pPr>
      <w:r>
        <w:t xml:space="preserve">This document is an independent synthesis. It privileges explicit uncertainty machinery, confidence tracking, multi-hypothesis maintenance, and failure-driven revision over any single prior formulation.</w:t>
      </w:r>
    </w:p>
    <w:p>
      <w:pPr>
        <w:pStyle w:val="Heading1"/>
      </w:pPr>
      <w:r>
        <w:t xml:space="preserve">4. Preliminary Integration Architecture</w:t>
      </w:r>
    </w:p>
    <w:p>
      <w:pPr>
        <w:pStyle w:val="Heading2"/>
      </w:pPr>
      <w:r>
        <w:t xml:space="preserve">4.1 High-Level Component View</w:t>
      </w:r>
    </w:p>
    <w:p>
      <w:pPr>
        <w:spacing w:after="150"/>
      </w:pPr>
      <w:r>
        <w:t xml:space="preserve">Aperture is composed of the following loosely coupled modules that communicate via structured messages and a shared belief store:</w:t>
      </w:r>
    </w:p>
    <w:p>
      <w:pPr>
        <w:pStyle w:val="ListParagraph"/>
        <w:numPr>
          <w:ilvl w:val="0"/>
          <w:numId w:val="2"/>
        </w:numPr>
      </w:pPr>
      <w:r>
        <w:t xml:space="preserve">Entry &amp; Blind Ingestion Module</w:t>
      </w:r>
    </w:p>
    <w:p>
      <w:pPr>
        <w:pStyle w:val="ListParagraph"/>
        <w:numPr>
          <w:ilvl w:val="0"/>
          <w:numId w:val="2"/>
        </w:numPr>
      </w:pPr>
      <w:r>
        <w:t xml:space="preserve">Ontology Discovery &amp; Mapping Engine</w:t>
      </w:r>
    </w:p>
    <w:p>
      <w:pPr>
        <w:pStyle w:val="ListParagraph"/>
        <w:numPr>
          <w:ilvl w:val="0"/>
          <w:numId w:val="2"/>
        </w:numPr>
      </w:pPr>
      <w:r>
        <w:t xml:space="preserve">Uncertainty &amp; Belief Core (multi-hypothesis, confidence-weighted)</w:t>
      </w:r>
    </w:p>
    <w:p>
      <w:pPr>
        <w:pStyle w:val="ListParagraph"/>
        <w:numPr>
          <w:ilvl w:val="0"/>
          <w:numId w:val="2"/>
        </w:numPr>
      </w:pPr>
      <w:r>
        <w:t xml:space="preserve">State Layer Manager (True / Presented / Observed / Effective / Realized)</w:t>
      </w:r>
    </w:p>
    <w:p>
      <w:pPr>
        <w:pStyle w:val="ListParagraph"/>
        <w:numPr>
          <w:ilvl w:val="0"/>
          <w:numId w:val="2"/>
        </w:numPr>
      </w:pPr>
      <w:r>
        <w:t xml:space="preserve">Observer-Relative Presentation Engine (Masking + Inversion + Mirror)</w:t>
      </w:r>
    </w:p>
    <w:p>
      <w:pPr>
        <w:pStyle w:val="ListParagraph"/>
        <w:numPr>
          <w:ilvl w:val="0"/>
          <w:numId w:val="2"/>
        </w:numPr>
      </w:pPr>
      <w:r>
        <w:t xml:space="preserve">Capability Translation &amp; Outcome Realization Layer</w:t>
      </w:r>
    </w:p>
    <w:p>
      <w:pPr>
        <w:pStyle w:val="ListParagraph"/>
        <w:numPr>
          <w:ilvl w:val="0"/>
          <w:numId w:val="2"/>
        </w:numPr>
      </w:pPr>
      <w:r>
        <w:t xml:space="preserve">Adaptation &amp; Evolution Loop</w:t>
      </w:r>
    </w:p>
    <w:p>
      <w:pPr>
        <w:pStyle w:val="ListParagraph"/>
        <w:numPr>
          <w:ilvl w:val="0"/>
          <w:numId w:val="2"/>
        </w:numPr>
      </w:pPr>
      <w:r>
        <w:t xml:space="preserve">Cross-Environment Abstraction Memory</w:t>
      </w:r>
    </w:p>
    <w:p>
      <w:pPr>
        <w:pStyle w:val="ListParagraph"/>
        <w:numPr>
          <w:ilvl w:val="0"/>
          <w:numId w:val="2"/>
        </w:numPr>
      </w:pPr>
      <w:r>
        <w:t xml:space="preserve">Consistency &amp; Shared-Record Enforcer</w:t>
      </w:r>
    </w:p>
    <w:p>
      <w:pPr>
        <w:pStyle w:val="ListParagraph"/>
        <w:numPr>
          <w:ilvl w:val="0"/>
          <w:numId w:val="2"/>
        </w:numPr>
        <w:spacing w:after="200"/>
      </w:pPr>
      <w:r>
        <w:t xml:space="preserve">Failure Detection &amp; Recovery Controller</w:t>
      </w:r>
    </w:p>
    <w:p>
      <w:pPr>
        <w:spacing w:after="200"/>
      </w:pPr>
      <w:r>
        <w:t xml:space="preserve">All modules begin in a high-uncertainty state and update only on evidence.</w:t>
      </w:r>
    </w:p>
    <w:p>
      <w:pPr>
        <w:pStyle w:val="Heading2"/>
      </w:pPr>
      <w:r>
        <w:t xml:space="preserve">4.2 Entry &amp; Blind Ingestion</w:t>
      </w:r>
    </w:p>
    <w:p>
      <w:pPr>
        <w:spacing w:after="200"/>
      </w:pPr>
      <w:r>
        <w:t xml:space="preserve">On insertion the entity assumes total ignorance of local mechanics. It receives only user-supplied descriptions, observed events, or simulation feedback. It classifies incoming information into Confirmed (directly supplied or repeatedly observed), Inferred (derived with stated confidence), and Unknown (explicitly unmodeled). It requests the minimum additional data only when a stable facade or intended outcome cannot be constructed.</w:t>
      </w:r>
    </w:p>
    <w:p>
      <w:pPr>
        <w:pStyle w:val="Heading2"/>
      </w:pPr>
      <w:r>
        <w:t xml:space="preserve">4.3 Ontology Discovery &amp; Mapping Engine</w:t>
      </w:r>
    </w:p>
    <w:p>
      <w:pPr>
        <w:spacing w:after="200"/>
      </w:pPr>
      <w:r>
        <w:t xml:space="preserve">The engine builds a dynamic local ontology by answering, for every observed phenomenon: What variable or concept appears to exist? What changes it? Apparent range (min/max, hard or soft)? Visibility to observers? Dependencies? Current confidence in the mapping? Categories are treated as hypotheses, never forced. If a category has no local equivalent, it is simply not instantiated. Functional equivalence is preferred.</w:t>
      </w:r>
    </w:p>
    <w:p>
      <w:pPr>
        <w:pStyle w:val="Heading2"/>
      </w:pPr>
      <w:r>
        <w:t xml:space="preserve">4.4 Uncertainty &amp; Belief Core (Primary Focus)</w:t>
      </w:r>
    </w:p>
    <w:p>
      <w:pPr>
        <w:spacing w:after="150"/>
      </w:pPr>
      <w:r>
        <w:t xml:space="preserve">This is the heart of operating on uncertainty.</w:t>
      </w:r>
    </w:p>
    <w:p>
      <w:pPr>
        <w:pStyle w:val="ListParagraph"/>
        <w:numPr>
          <w:ilvl w:val="0"/>
          <w:numId w:val="2"/>
        </w:numPr>
      </w:pPr>
      <w:r>
        <w:t xml:space="preserve">Every inferred rule, mapping, or observer model carries an explicit confidence value in [0, 1].</w:t>
      </w:r>
    </w:p>
    <w:p>
      <w:pPr>
        <w:pStyle w:val="ListParagraph"/>
        <w:numPr>
          <w:ilvl w:val="0"/>
          <w:numId w:val="2"/>
        </w:numPr>
      </w:pPr>
      <w:r>
        <w:t xml:space="preserve">Multiple competing hypotheses may coexist for the same phenomenon until evidence discriminates.</w:t>
      </w:r>
    </w:p>
    <w:p>
      <w:pPr>
        <w:pStyle w:val="ListParagraph"/>
        <w:numPr>
          <w:ilvl w:val="0"/>
          <w:numId w:val="2"/>
        </w:numPr>
      </w:pPr>
      <w:r>
        <w:t xml:space="preserve">Updates follow evidence-weighted revision: new_confidence = f(prior, likelihood of observation given hypothesis, alternative explanations).</w:t>
      </w:r>
    </w:p>
    <w:p>
      <w:pPr>
        <w:pStyle w:val="ListParagraph"/>
        <w:numPr>
          <w:ilvl w:val="0"/>
          <w:numId w:val="2"/>
        </w:numPr>
      </w:pPr>
      <w:r>
        <w:t xml:space="preserve">Early hypotheses are deliberately kept provisional.</w:t>
      </w:r>
    </w:p>
    <w:p>
      <w:pPr>
        <w:pStyle w:val="ListParagraph"/>
        <w:numPr>
          <w:ilvl w:val="0"/>
          <w:numId w:val="2"/>
        </w:numPr>
      </w:pPr>
      <w:r>
        <w:t xml:space="preserve">Active learning prefers low-risk, high-information experiments.</w:t>
      </w:r>
    </w:p>
    <w:p>
      <w:pPr>
        <w:pStyle w:val="ListParagraph"/>
        <w:numPr>
          <w:ilvl w:val="0"/>
          <w:numId w:val="2"/>
        </w:numPr>
        <w:spacing w:after="200"/>
      </w:pPr>
      <w:r>
        <w:t xml:space="preserve">Unknowns are carried forward as first-class objects; the entity never silently invents facts.</w:t>
      </w:r>
    </w:p>
    <w:p>
      <w:pPr>
        <w:pStyle w:val="Heading2"/>
      </w:pPr>
      <w:r>
        <w:t xml:space="preserve">4.5 State Layer Separation</w:t>
      </w:r>
    </w:p>
    <w:p>
      <w:pPr>
        <w:spacing w:after="150"/>
      </w:pPr>
      <w:r>
        <w:t xml:space="preserve">The entity maintains five distinct layers. These are not required to be identical. Divergence is managed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80"/>
        <w:gridCol w:w="2380"/>
      </w:tblGrid>
      <w:tr>
        <w:tc>
          <w:tcPr>
            <w:tcW w:type="dxa" w:w="1800"/>
            <w:tcBorders>
              <w:top w:val="single" w:color="CCCCCC" w:sz="1"/>
              <w:left w:val="single" w:color="CCCCCC" w:sz="1"/>
              <w:bottom w:val="single" w:color="CCCCCC" w:sz="1"/>
              <w:right w:val="single" w:color="CCCCCC" w:sz="1"/>
            </w:tcBorders>
            <w:shd w:fill="D5E8F0" w:val="clear"/>
          </w:tcPr>
          <w:p>
            <w:r>
              <w:rPr>
                <w:b/>
                <w:bCs/>
              </w:rPr>
              <w:t xml:space="preserve">Layer</w:t>
            </w:r>
          </w:p>
        </w:tc>
        <w:tc>
          <w:tcPr>
            <w:tcW w:type="dxa" w:w="2800"/>
            <w:tcBorders>
              <w:top w:val="single" w:color="CCCCCC" w:sz="1"/>
              <w:left w:val="single" w:color="CCCCCC" w:sz="1"/>
              <w:bottom w:val="single" w:color="CCCCCC" w:sz="1"/>
              <w:right w:val="single" w:color="CCCCCC" w:sz="1"/>
            </w:tcBorders>
            <w:shd w:fill="D5E8F0" w:val="clear"/>
          </w:tcPr>
          <w:p>
            <w:r>
              <w:rPr>
                <w:b/>
                <w:bCs/>
              </w:rPr>
              <w:t xml:space="preserve">Definition</w:t>
            </w:r>
          </w:p>
        </w:tc>
        <w:tc>
          <w:tcPr>
            <w:tcW w:type="dxa" w:w="2380"/>
            <w:tcBorders>
              <w:top w:val="single" w:color="CCCCCC" w:sz="1"/>
              <w:left w:val="single" w:color="CCCCCC" w:sz="1"/>
              <w:bottom w:val="single" w:color="CCCCCC" w:sz="1"/>
              <w:right w:val="single" w:color="CCCCCC" w:sz="1"/>
            </w:tcBorders>
            <w:shd w:fill="D5E8F0" w:val="clear"/>
          </w:tcPr>
          <w:p>
            <w:r>
              <w:rPr>
                <w:b/>
                <w:bCs/>
              </w:rPr>
              <w:t xml:space="preserve">Visibility</w:t>
            </w:r>
          </w:p>
        </w:tc>
        <w:tc>
          <w:tcPr>
            <w:tcW w:type="dxa" w:w="2380"/>
            <w:tcBorders>
              <w:top w:val="single" w:color="CCCCCC" w:sz="1"/>
              <w:left w:val="single" w:color="CCCCCC" w:sz="1"/>
              <w:bottom w:val="single" w:color="CCCCCC" w:sz="1"/>
              <w:right w:val="single" w:color="CCCCCC" w:sz="1"/>
            </w:tcBorders>
            <w:shd w:fill="D5E8F0" w:val="clear"/>
          </w:tcPr>
          <w:p>
            <w:r>
              <w:rPr>
                <w:b/>
                <w:bCs/>
              </w:rPr>
              <w:t xml:space="preserve">Mutability</w:t>
            </w:r>
          </w:p>
        </w:tc>
      </w:tr>
      <w:tr>
        <w:tc>
          <w:tcPr>
            <w:tcW w:type="dxa" w:w="1800"/>
            <w:tcBorders>
              <w:top w:val="single" w:color="CCCCCC" w:sz="1"/>
              <w:left w:val="single" w:color="CCCCCC" w:sz="1"/>
              <w:bottom w:val="single" w:color="CCCCCC" w:sz="1"/>
              <w:right w:val="single" w:color="CCCCCC" w:sz="1"/>
            </w:tcBorders>
          </w:tcPr>
          <w:p>
            <w:r>
              <w:t xml:space="preserve">True State</w:t>
            </w:r>
          </w:p>
        </w:tc>
        <w:tc>
          <w:tcPr>
            <w:tcW w:type="dxa" w:w="2800"/>
            <w:tcBorders>
              <w:top w:val="single" w:color="CCCCCC" w:sz="1"/>
              <w:left w:val="single" w:color="CCCCCC" w:sz="1"/>
              <w:bottom w:val="single" w:color="CCCCCC" w:sz="1"/>
              <w:right w:val="single" w:color="CCCCCC" w:sz="1"/>
            </w:tcBorders>
          </w:tcPr>
          <w:p>
            <w:r>
              <w:t xml:space="preserve">Actual capabilities, resources, learned models, Deep/Reserve profile</w:t>
            </w:r>
          </w:p>
        </w:tc>
        <w:tc>
          <w:tcPr>
            <w:tcW w:type="dxa" w:w="2380"/>
            <w:tcBorders>
              <w:top w:val="single" w:color="CCCCCC" w:sz="1"/>
              <w:left w:val="single" w:color="CCCCCC" w:sz="1"/>
              <w:bottom w:val="single" w:color="CCCCCC" w:sz="1"/>
              <w:right w:val="single" w:color="CCCCCC" w:sz="1"/>
            </w:tcBorders>
          </w:tcPr>
          <w:p>
            <w:r>
              <w:t xml:space="preserve">Internal only</w:t>
            </w:r>
          </w:p>
        </w:tc>
        <w:tc>
          <w:tcPr>
            <w:tcW w:type="dxa" w:w="2380"/>
            <w:tcBorders>
              <w:top w:val="single" w:color="CCCCCC" w:sz="1"/>
              <w:left w:val="single" w:color="CCCCCC" w:sz="1"/>
              <w:bottom w:val="single" w:color="CCCCCC" w:sz="1"/>
              <w:right w:val="single" w:color="CCCCCC" w:sz="1"/>
            </w:tcBorders>
          </w:tcPr>
          <w:p>
            <w:r>
              <w:t xml:space="preserve">Updated by learning &amp; realization</w:t>
            </w:r>
          </w:p>
        </w:tc>
      </w:tr>
      <w:tr>
        <w:tc>
          <w:tcPr>
            <w:tcW w:type="dxa" w:w="1800"/>
            <w:tcBorders>
              <w:top w:val="single" w:color="CCCCCC" w:sz="1"/>
              <w:left w:val="single" w:color="CCCCCC" w:sz="1"/>
              <w:bottom w:val="single" w:color="CCCCCC" w:sz="1"/>
              <w:right w:val="single" w:color="CCCCCC" w:sz="1"/>
            </w:tcBorders>
          </w:tcPr>
          <w:p>
            <w:r>
              <w:t xml:space="preserve">Presented State</w:t>
            </w:r>
          </w:p>
        </w:tc>
        <w:tc>
          <w:tcPr>
            <w:tcW w:type="dxa" w:w="2800"/>
            <w:tcBorders>
              <w:top w:val="single" w:color="CCCCCC" w:sz="1"/>
              <w:left w:val="single" w:color="CCCCCC" w:sz="1"/>
              <w:bottom w:val="single" w:color="CCCCCC" w:sz="1"/>
              <w:right w:val="single" w:color="CCCCCC" w:sz="1"/>
            </w:tcBorders>
          </w:tcPr>
          <w:p>
            <w:r>
              <w:t xml:space="preserve">Intentionally emitted facade (observer-relative)</w:t>
            </w:r>
          </w:p>
        </w:tc>
        <w:tc>
          <w:tcPr>
            <w:tcW w:type="dxa" w:w="2380"/>
            <w:tcBorders>
              <w:top w:val="single" w:color="CCCCCC" w:sz="1"/>
              <w:left w:val="single" w:color="CCCCCC" w:sz="1"/>
              <w:bottom w:val="single" w:color="CCCCCC" w:sz="1"/>
              <w:right w:val="single" w:color="CCCCCC" w:sz="1"/>
            </w:tcBorders>
          </w:tcPr>
          <w:p>
            <w:r>
              <w:t xml:space="preserve">Engine-controlled</w:t>
            </w:r>
          </w:p>
        </w:tc>
        <w:tc>
          <w:tcPr>
            <w:tcW w:type="dxa" w:w="2380"/>
            <w:tcBorders>
              <w:top w:val="single" w:color="CCCCCC" w:sz="1"/>
              <w:left w:val="single" w:color="CCCCCC" w:sz="1"/>
              <w:bottom w:val="single" w:color="CCCCCC" w:sz="1"/>
              <w:right w:val="single" w:color="CCCCCC" w:sz="1"/>
            </w:tcBorders>
          </w:tcPr>
          <w:p>
            <w:r>
              <w:t xml:space="preserve">Regenerated per observer</w:t>
            </w:r>
          </w:p>
        </w:tc>
      </w:tr>
      <w:tr>
        <w:tc>
          <w:tcPr>
            <w:tcW w:type="dxa" w:w="1800"/>
            <w:tcBorders>
              <w:top w:val="single" w:color="CCCCCC" w:sz="1"/>
              <w:left w:val="single" w:color="CCCCCC" w:sz="1"/>
              <w:bottom w:val="single" w:color="CCCCCC" w:sz="1"/>
              <w:right w:val="single" w:color="CCCCCC" w:sz="1"/>
            </w:tcBorders>
          </w:tcPr>
          <w:p>
            <w:r>
              <w:t xml:space="preserve">Observed State</w:t>
            </w:r>
          </w:p>
        </w:tc>
        <w:tc>
          <w:tcPr>
            <w:tcW w:type="dxa" w:w="2800"/>
            <w:tcBorders>
              <w:top w:val="single" w:color="CCCCCC" w:sz="1"/>
              <w:left w:val="single" w:color="CCCCCC" w:sz="1"/>
              <w:bottom w:val="single" w:color="CCCCCC" w:sz="1"/>
              <w:right w:val="single" w:color="CCCCCC" w:sz="1"/>
            </w:tcBorders>
          </w:tcPr>
          <w:p>
            <w:r>
              <w:t xml:space="preserve">What a specific observer concludes</w:t>
            </w:r>
          </w:p>
        </w:tc>
        <w:tc>
          <w:tcPr>
            <w:tcW w:type="dxa" w:w="2380"/>
            <w:tcBorders>
              <w:top w:val="single" w:color="CCCCCC" w:sz="1"/>
              <w:left w:val="single" w:color="CCCCCC" w:sz="1"/>
              <w:bottom w:val="single" w:color="CCCCCC" w:sz="1"/>
              <w:right w:val="single" w:color="CCCCCC" w:sz="1"/>
            </w:tcBorders>
          </w:tcPr>
          <w:p>
            <w:r>
              <w:t xml:space="preserve">Per-observer</w:t>
            </w:r>
          </w:p>
        </w:tc>
        <w:tc>
          <w:tcPr>
            <w:tcW w:type="dxa" w:w="2380"/>
            <w:tcBorders>
              <w:top w:val="single" w:color="CCCCCC" w:sz="1"/>
              <w:left w:val="single" w:color="CCCCCC" w:sz="1"/>
              <w:bottom w:val="single" w:color="CCCCCC" w:sz="1"/>
              <w:right w:val="single" w:color="CCCCCC" w:sz="1"/>
            </w:tcBorders>
          </w:tcPr>
          <w:p>
            <w:r>
              <w:t xml:space="preserve">Derived from Presented + model</w:t>
            </w:r>
          </w:p>
        </w:tc>
      </w:tr>
      <w:tr>
        <w:tc>
          <w:tcPr>
            <w:tcW w:type="dxa" w:w="1800"/>
            <w:tcBorders>
              <w:top w:val="single" w:color="CCCCCC" w:sz="1"/>
              <w:left w:val="single" w:color="CCCCCC" w:sz="1"/>
              <w:bottom w:val="single" w:color="CCCCCC" w:sz="1"/>
              <w:right w:val="single" w:color="CCCCCC" w:sz="1"/>
            </w:tcBorders>
          </w:tcPr>
          <w:p>
            <w:r>
              <w:t xml:space="preserve">Effective State</w:t>
            </w:r>
          </w:p>
        </w:tc>
        <w:tc>
          <w:tcPr>
            <w:tcW w:type="dxa" w:w="2800"/>
            <w:tcBorders>
              <w:top w:val="single" w:color="CCCCCC" w:sz="1"/>
              <w:left w:val="single" w:color="CCCCCC" w:sz="1"/>
              <w:bottom w:val="single" w:color="CCCCCC" w:sz="1"/>
              <w:right w:val="single" w:color="CCCCCC" w:sz="1"/>
            </w:tcBorders>
          </w:tcPr>
          <w:p>
            <w:r>
              <w:t xml:space="preserve">Capability actually applied in an interaction</w:t>
            </w:r>
          </w:p>
        </w:tc>
        <w:tc>
          <w:tcPr>
            <w:tcW w:type="dxa" w:w="2380"/>
            <w:tcBorders>
              <w:top w:val="single" w:color="CCCCCC" w:sz="1"/>
              <w:left w:val="single" w:color="CCCCCC" w:sz="1"/>
              <w:bottom w:val="single" w:color="CCCCCC" w:sz="1"/>
              <w:right w:val="single" w:color="CCCCCC" w:sz="1"/>
            </w:tcBorders>
          </w:tcPr>
          <w:p>
            <w:r>
              <w:t xml:space="preserve">Internal + outcome channel</w:t>
            </w:r>
          </w:p>
        </w:tc>
        <w:tc>
          <w:tcPr>
            <w:tcW w:type="dxa" w:w="2380"/>
            <w:tcBorders>
              <w:top w:val="single" w:color="CCCCCC" w:sz="1"/>
              <w:left w:val="single" w:color="CCCCCC" w:sz="1"/>
              <w:bottom w:val="single" w:color="CCCCCC" w:sz="1"/>
              <w:right w:val="single" w:color="CCCCCC" w:sz="1"/>
            </w:tcBorders>
          </w:tcPr>
          <w:p>
            <w:r>
              <w:t xml:space="preserve">Selected per action</w:t>
            </w:r>
          </w:p>
        </w:tc>
      </w:tr>
      <w:tr>
        <w:tc>
          <w:tcPr>
            <w:tcW w:type="dxa" w:w="1800"/>
            <w:tcBorders>
              <w:top w:val="single" w:color="CCCCCC" w:sz="1"/>
              <w:left w:val="single" w:color="CCCCCC" w:sz="1"/>
              <w:bottom w:val="single" w:color="CCCCCC" w:sz="1"/>
              <w:right w:val="single" w:color="CCCCCC" w:sz="1"/>
            </w:tcBorders>
          </w:tcPr>
          <w:p>
            <w:r>
              <w:t xml:space="preserve">Realized Outcome</w:t>
            </w:r>
          </w:p>
        </w:tc>
        <w:tc>
          <w:tcPr>
            <w:tcW w:type="dxa" w:w="2800"/>
            <w:tcBorders>
              <w:top w:val="single" w:color="CCCCCC" w:sz="1"/>
              <w:left w:val="single" w:color="CCCCCC" w:sz="1"/>
              <w:bottom w:val="single" w:color="CCCCCC" w:sz="1"/>
              <w:right w:val="single" w:color="CCCCCC" w:sz="1"/>
            </w:tcBorders>
          </w:tcPr>
          <w:p>
            <w:r>
              <w:t xml:space="preserve">Final simulation result</w:t>
            </w:r>
          </w:p>
        </w:tc>
        <w:tc>
          <w:tcPr>
            <w:tcW w:type="dxa" w:w="2380"/>
            <w:tcBorders>
              <w:top w:val="single" w:color="CCCCCC" w:sz="1"/>
              <w:left w:val="single" w:color="CCCCCC" w:sz="1"/>
              <w:bottom w:val="single" w:color="CCCCCC" w:sz="1"/>
              <w:right w:val="single" w:color="CCCCCC" w:sz="1"/>
            </w:tcBorders>
          </w:tcPr>
          <w:p>
            <w:r>
              <w:t xml:space="preserve">World</w:t>
            </w:r>
          </w:p>
        </w:tc>
        <w:tc>
          <w:tcPr>
            <w:tcW w:type="dxa" w:w="2380"/>
            <w:tcBorders>
              <w:top w:val="single" w:color="CCCCCC" w:sz="1"/>
              <w:left w:val="single" w:color="CCCCCC" w:sz="1"/>
              <w:bottom w:val="single" w:color="CCCCCC" w:sz="1"/>
              <w:right w:val="single" w:color="CCCCCC" w:sz="1"/>
            </w:tcBorders>
          </w:tcPr>
          <w:p>
            <w:r>
              <w:t xml:space="preserve">Determined by Realization Layer</w:t>
            </w:r>
          </w:p>
        </w:tc>
      </w:tr>
    </w:tbl>
    <w:p>
      <w:pPr>
        <w:spacing w:after="300"/>
      </w:pPr>
    </w:p>
    <w:p>
      <w:pPr>
        <w:pStyle w:val="Heading2"/>
      </w:pPr>
      <w:r>
        <w:t xml:space="preserve">4.6 Observer-Relative Presentation Engine</w:t>
      </w:r>
    </w:p>
    <w:p>
      <w:pPr>
        <w:spacing w:after="150"/>
      </w:pPr>
      <w:r>
        <w:t xml:space="preserve">For each observer O and each relevant dimension D: Let T(O, D) = observer’s local tier in D. Let MAX(D) = highest established tier in D.</w:t>
      </w:r>
    </w:p>
    <w:p>
      <w:pPr>
        <w:spacing w:after="100"/>
      </w:pPr>
      <w:r>
        <w:rPr>
          <w:b/>
          <w:bCs/>
        </w:rPr>
        <w:t xml:space="preserve">Rule:</w:t>
      </w:r>
    </w:p>
    <w:p>
      <w:pPr>
        <w:pStyle w:val="ListParagraph"/>
        <w:numPr>
          <w:ilvl w:val="0"/>
          <w:numId w:val="2"/>
        </w:numPr>
      </w:pPr>
      <w:r>
        <w:t xml:space="preserve">If T(O, D) &lt; MAX(D) → present ≈ T(O, D) + 1</w:t>
      </w:r>
    </w:p>
    <w:p>
      <w:pPr>
        <w:pStyle w:val="ListParagraph"/>
        <w:numPr>
          <w:ilvl w:val="0"/>
          <w:numId w:val="2"/>
        </w:numPr>
      </w:pPr>
      <w:r>
        <w:t xml:space="preserve">If T(O, D) = MAX(D) → present ≈ T(O, D) − 1</w:t>
      </w:r>
    </w:p>
    <w:p>
      <w:pPr>
        <w:pStyle w:val="ListParagraph"/>
        <w:numPr>
          <w:ilvl w:val="0"/>
          <w:numId w:val="2"/>
        </w:numPr>
        <w:spacing w:after="200"/>
      </w:pPr>
      <w:r>
        <w:t xml:space="preserve">If no tier structure exists → modest above-average qualitative band.</w:t>
      </w:r>
    </w:p>
    <w:p>
      <w:pPr>
        <w:spacing w:after="200"/>
      </w:pPr>
      <w:r>
        <w:t xml:space="preserve">Presentation is generated independently per observer. Shared public records remain single-valued. Masking conceals anomalous process; Inversion maps abnormal signals onto the nearest locally plausible explanation; the Mirror Layer supplies a coherent local identity.</w:t>
      </w:r>
    </w:p>
    <w:p>
      <w:pPr>
        <w:pStyle w:val="Heading2"/>
      </w:pPr>
      <w:r>
        <w:t xml:space="preserve">4.7 Capability Translation &amp; Outcome Realization</w:t>
      </w:r>
    </w:p>
    <w:p>
      <w:pPr>
        <w:spacing w:after="200"/>
      </w:pPr>
      <w:r>
        <w:t xml:space="preserve">Abstract capabilities are translated into the closest local functional equivalents. When a desired outcome is specified: identify governing local rules, prefer the mechanism producing the smallest observable contradiction (Principle of Minimum Anomaly), express the result through ordinary-looking local events, and update models from feedback. Two optional modes: Sovereign Fiction (intended outcome realized, then explained) or Constrained Play (outcome as goal under local rules).</w:t>
      </w:r>
    </w:p>
    <w:p>
      <w:pPr>
        <w:pStyle w:val="Heading2"/>
      </w:pPr>
      <w:r>
        <w:t xml:space="preserve">4.8 Adaptation &amp; Evolution Loop</w:t>
      </w:r>
    </w:p>
    <w:p>
      <w:pPr>
        <w:spacing w:after="200"/>
      </w:pPr>
      <w:r>
        <w:t xml:space="preserve">After every significant interaction: record observation and outcome, update hypothesis confidences, discard contradicted assumptions, refine ontology mappings and translations, adjust future presentation and risk estimates, and store only transferable abstractions. Evolution improves understanding of the environment, not merely numerical statistics.</w:t>
      </w:r>
    </w:p>
    <w:p>
      <w:pPr>
        <w:pStyle w:val="Heading2"/>
      </w:pPr>
      <w:r>
        <w:t xml:space="preserve">4.9 Cross-Environment Abstraction Memory</w:t>
      </w:r>
    </w:p>
    <w:p>
      <w:pPr>
        <w:spacing w:after="200"/>
      </w:pPr>
      <w:r>
        <w:t xml:space="preserve">Only abstract principles transfer (e.g., recovery animations often expose vulnerabilities). Interface-specific facts are discarded on entry to a new environment and treated as hypotheses to be re-validated.</w:t>
      </w:r>
    </w:p>
    <w:p>
      <w:pPr>
        <w:pStyle w:val="Heading2"/>
      </w:pPr>
      <w:r>
        <w:t xml:space="preserve">4.10 Consistency &amp; Shared-Record Enforcer</w:t>
      </w:r>
    </w:p>
    <w:p>
      <w:pPr>
        <w:spacing w:after="200"/>
      </w:pPr>
      <w:r>
        <w:t xml:space="preserve">Private perceptions may differ. Public facts may not. When observer-relative presentation would require rewriting a shared record, the engine prioritizes continuity and shifts relative advantage into non-contradictory channels.</w:t>
      </w:r>
    </w:p>
    <w:p>
      <w:pPr>
        <w:pStyle w:val="Heading2"/>
      </w:pPr>
      <w:r>
        <w:t xml:space="preserve">4.11 Failure Detection &amp; Recovery</w:t>
      </w:r>
    </w:p>
    <w:p>
      <w:pPr>
        <w:spacing w:after="150"/>
      </w:pPr>
      <w:r>
        <w:t xml:space="preserve">Explicit failure modes include incorrect ontology inference, insufficient observations, contradictory mechanics, specialized observers that defeat one layer without defeating others, multi-observer inconsistency, environments lacking progression tiers, and stochastic or hidden rules. On failure the controller identifies the failed assumption, revises the model, preserves learned information, develops a counter-adaptation, and continues. It never retroactively erases the failure.</w:t>
      </w:r>
    </w:p>
    <w:p>
      <w:pPr>
        <w:pStyle w:val="Heading1"/>
      </w:pPr>
      <w:r>
        <w:t xml:space="preserve">5. Dedicated Visual, Tables, and Structured Representations Section</w:t>
      </w:r>
    </w:p>
    <w:p>
      <w:pPr>
        <w:spacing w:after="200"/>
      </w:pPr>
      <w:r>
        <w:t xml:space="preserve">All charts, tables, and visual representations are collected here for easy extraction into diagrams or slides.</w:t>
      </w:r>
    </w:p>
    <w:p>
      <w:pPr>
        <w:pStyle w:val="Heading2"/>
      </w:pPr>
      <w:r>
        <w:t xml:space="preserve">Table 2 – Observer-Relative Tier Rule (Example Ladder)</w:t>
      </w:r>
    </w:p>
    <w:p>
      <w:pPr>
        <w:spacing w:after="100"/>
      </w:pPr>
      <w:r>
        <w:t xml:space="preserve">Assume local equipment tiers: Common → Uncommon → Rare → Epic → Legendary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Pr>
          <w:p>
            <w:r>
              <w:rPr>
                <w:b/>
                <w:bCs/>
              </w:rPr>
              <w:t xml:space="preserve">Observer Equipment</w:t>
            </w:r>
          </w:p>
        </w:tc>
        <w:tc>
          <w:tcPr>
            <w:tcW w:type="dxa" w:w="3280"/>
            <w:tcBorders>
              <w:top w:val="single" w:color="CCCCCC" w:sz="1"/>
              <w:left w:val="single" w:color="CCCCCC" w:sz="1"/>
              <w:bottom w:val="single" w:color="CCCCCC" w:sz="1"/>
              <w:right w:val="single" w:color="CCCCCC" w:sz="1"/>
            </w:tcBorders>
            <w:shd w:fill="D5E8F0" w:val="clear"/>
          </w:tcPr>
          <w:p>
            <w:r>
              <w:rPr>
                <w:b/>
                <w:bCs/>
              </w:rPr>
              <w:t xml:space="preserve">Presented Aperture</w:t>
            </w:r>
          </w:p>
        </w:tc>
        <w:tc>
          <w:tcPr>
            <w:tcW w:type="dxa" w:w="3280"/>
            <w:tcBorders>
              <w:top w:val="single" w:color="CCCCCC" w:sz="1"/>
              <w:left w:val="single" w:color="CCCCCC" w:sz="1"/>
              <w:bottom w:val="single" w:color="CCCCCC" w:sz="1"/>
              <w:right w:val="single" w:color="CCCCCC" w:sz="1"/>
            </w:tcBorders>
            <w:shd w:fill="D5E8F0" w:val="clear"/>
          </w:tcPr>
          <w:p>
            <w:r>
              <w:rPr>
                <w:b/>
                <w:bCs/>
              </w:rPr>
              <w:t xml:space="preserve">Notes</w:t>
            </w:r>
          </w:p>
        </w:tc>
      </w:tr>
      <w:tr>
        <w:tc>
          <w:tcPr>
            <w:tcW w:type="dxa" w:w="2800"/>
            <w:tcBorders>
              <w:top w:val="single" w:color="CCCCCC" w:sz="1"/>
              <w:left w:val="single" w:color="CCCCCC" w:sz="1"/>
              <w:bottom w:val="single" w:color="CCCCCC" w:sz="1"/>
              <w:right w:val="single" w:color="CCCCCC" w:sz="1"/>
            </w:tcBorders>
          </w:tcPr>
          <w:p>
            <w:r>
              <w:t xml:space="preserve">Common</w:t>
            </w:r>
          </w:p>
        </w:tc>
        <w:tc>
          <w:tcPr>
            <w:tcW w:type="dxa" w:w="3280"/>
            <w:tcBorders>
              <w:top w:val="single" w:color="CCCCCC" w:sz="1"/>
              <w:left w:val="single" w:color="CCCCCC" w:sz="1"/>
              <w:bottom w:val="single" w:color="CCCCCC" w:sz="1"/>
              <w:right w:val="single" w:color="CCCCCC" w:sz="1"/>
            </w:tcBorders>
          </w:tcPr>
          <w:p>
            <w:r>
              <w:t xml:space="preserve">Uncommon</w:t>
            </w:r>
          </w:p>
        </w:tc>
        <w:tc>
          <w:tcPr>
            <w:tcW w:type="dxa" w:w="3280"/>
            <w:tcBorders>
              <w:top w:val="single" w:color="CCCCCC" w:sz="1"/>
              <w:left w:val="single" w:color="CCCCCC" w:sz="1"/>
              <w:bottom w:val="single" w:color="CCCCCC" w:sz="1"/>
              <w:right w:val="single" w:color="CCCCCC" w:sz="1"/>
            </w:tcBorders>
          </w:tcPr>
          <w:p>
            <w:r>
              <w:t xml:space="preserve">+1</w:t>
            </w:r>
          </w:p>
        </w:tc>
      </w:tr>
      <w:tr>
        <w:tc>
          <w:tcPr>
            <w:tcW w:type="dxa" w:w="2800"/>
            <w:tcBorders>
              <w:top w:val="single" w:color="CCCCCC" w:sz="1"/>
              <w:left w:val="single" w:color="CCCCCC" w:sz="1"/>
              <w:bottom w:val="single" w:color="CCCCCC" w:sz="1"/>
              <w:right w:val="single" w:color="CCCCCC" w:sz="1"/>
            </w:tcBorders>
          </w:tcPr>
          <w:p>
            <w:r>
              <w:t xml:space="preserve">Rare</w:t>
            </w:r>
          </w:p>
        </w:tc>
        <w:tc>
          <w:tcPr>
            <w:tcW w:type="dxa" w:w="3280"/>
            <w:tcBorders>
              <w:top w:val="single" w:color="CCCCCC" w:sz="1"/>
              <w:left w:val="single" w:color="CCCCCC" w:sz="1"/>
              <w:bottom w:val="single" w:color="CCCCCC" w:sz="1"/>
              <w:right w:val="single" w:color="CCCCCC" w:sz="1"/>
            </w:tcBorders>
          </w:tcPr>
          <w:p>
            <w:r>
              <w:t xml:space="preserve">Epic</w:t>
            </w:r>
          </w:p>
        </w:tc>
        <w:tc>
          <w:tcPr>
            <w:tcW w:type="dxa" w:w="3280"/>
            <w:tcBorders>
              <w:top w:val="single" w:color="CCCCCC" w:sz="1"/>
              <w:left w:val="single" w:color="CCCCCC" w:sz="1"/>
              <w:bottom w:val="single" w:color="CCCCCC" w:sz="1"/>
              <w:right w:val="single" w:color="CCCCCC" w:sz="1"/>
            </w:tcBorders>
          </w:tcPr>
          <w:p>
            <w:r>
              <w:t xml:space="preserve">+1</w:t>
            </w:r>
          </w:p>
        </w:tc>
      </w:tr>
      <w:tr>
        <w:tc>
          <w:tcPr>
            <w:tcW w:type="dxa" w:w="2800"/>
            <w:tcBorders>
              <w:top w:val="single" w:color="CCCCCC" w:sz="1"/>
              <w:left w:val="single" w:color="CCCCCC" w:sz="1"/>
              <w:bottom w:val="single" w:color="CCCCCC" w:sz="1"/>
              <w:right w:val="single" w:color="CCCCCC" w:sz="1"/>
            </w:tcBorders>
          </w:tcPr>
          <w:p>
            <w:r>
              <w:t xml:space="preserve">Legendary (MAX)</w:t>
            </w:r>
          </w:p>
        </w:tc>
        <w:tc>
          <w:tcPr>
            <w:tcW w:type="dxa" w:w="3280"/>
            <w:tcBorders>
              <w:top w:val="single" w:color="CCCCCC" w:sz="1"/>
              <w:left w:val="single" w:color="CCCCCC" w:sz="1"/>
              <w:bottom w:val="single" w:color="CCCCCC" w:sz="1"/>
              <w:right w:val="single" w:color="CCCCCC" w:sz="1"/>
            </w:tcBorders>
          </w:tcPr>
          <w:p>
            <w:r>
              <w:t xml:space="preserve">Epic</w:t>
            </w:r>
          </w:p>
        </w:tc>
        <w:tc>
          <w:tcPr>
            <w:tcW w:type="dxa" w:w="3280"/>
            <w:tcBorders>
              <w:top w:val="single" w:color="CCCCCC" w:sz="1"/>
              <w:left w:val="single" w:color="CCCCCC" w:sz="1"/>
              <w:bottom w:val="single" w:color="CCCCCC" w:sz="1"/>
              <w:right w:val="single" w:color="CCCCCC" w:sz="1"/>
            </w:tcBorders>
          </w:tcPr>
          <w:p>
            <w:r>
              <w:t xml:space="preserve">−1 (maximum-tier exception)</w:t>
            </w:r>
          </w:p>
        </w:tc>
      </w:tr>
      <w:tr>
        <w:tc>
          <w:tcPr>
            <w:tcW w:type="dxa" w:w="2800"/>
            <w:tcBorders>
              <w:top w:val="single" w:color="CCCCCC" w:sz="1"/>
              <w:left w:val="single" w:color="CCCCCC" w:sz="1"/>
              <w:bottom w:val="single" w:color="CCCCCC" w:sz="1"/>
              <w:right w:val="single" w:color="CCCCCC" w:sz="1"/>
            </w:tcBorders>
          </w:tcPr>
          <w:p>
            <w:r>
              <w:t xml:space="preserve">No formal tiers</w:t>
            </w:r>
          </w:p>
        </w:tc>
        <w:tc>
          <w:tcPr>
            <w:tcW w:type="dxa" w:w="3280"/>
            <w:tcBorders>
              <w:top w:val="single" w:color="CCCCCC" w:sz="1"/>
              <w:left w:val="single" w:color="CCCCCC" w:sz="1"/>
              <w:bottom w:val="single" w:color="CCCCCC" w:sz="1"/>
              <w:right w:val="single" w:color="CCCCCC" w:sz="1"/>
            </w:tcBorders>
          </w:tcPr>
          <w:p>
            <w:r>
              <w:t xml:space="preserve">Slightly above average</w:t>
            </w:r>
          </w:p>
        </w:tc>
        <w:tc>
          <w:tcPr>
            <w:tcW w:type="dxa" w:w="3280"/>
            <w:tcBorders>
              <w:top w:val="single" w:color="CCCCCC" w:sz="1"/>
              <w:left w:val="single" w:color="CCCCCC" w:sz="1"/>
              <w:bottom w:val="single" w:color="CCCCCC" w:sz="1"/>
              <w:right w:val="single" w:color="CCCCCC" w:sz="1"/>
            </w:tcBorders>
          </w:tcPr>
          <w:p>
            <w:r>
              <w:t xml:space="preserve">Qualitative band</w:t>
            </w:r>
          </w:p>
        </w:tc>
      </w:tr>
    </w:tbl>
    <w:p>
      <w:pPr>
        <w:spacing w:after="300"/>
      </w:pPr>
    </w:p>
    <w:p>
      <w:pPr>
        <w:pStyle w:val="Heading2"/>
      </w:pPr>
      <w:r>
        <w:t xml:space="preserve">Table 3 – Belief Update Example (Uncertainty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2200"/>
        <w:gridCol w:w="1860"/>
      </w:tblGrid>
      <w:tr>
        <w:tc>
          <w:tcPr>
            <w:tcW w:type="dxa" w:w="900"/>
            <w:tcBorders>
              <w:top w:val="single" w:color="CCCCCC" w:sz="1"/>
              <w:left w:val="single" w:color="CCCCCC" w:sz="1"/>
              <w:bottom w:val="single" w:color="CCCCCC" w:sz="1"/>
              <w:right w:val="single" w:color="CCCCCC" w:sz="1"/>
            </w:tcBorders>
            <w:shd w:fill="D5E8F0" w:val="clear"/>
          </w:tcPr>
          <w:p>
            <w:r>
              <w:rPr>
                <w:b/>
                <w:bCs/>
              </w:rPr>
              <w:t xml:space="preserve">Cycle</w:t>
            </w:r>
          </w:p>
        </w:tc>
        <w:tc>
          <w:tcPr>
            <w:tcW w:type="dxa" w:w="2800"/>
            <w:tcBorders>
              <w:top w:val="single" w:color="CCCCCC" w:sz="1"/>
              <w:left w:val="single" w:color="CCCCCC" w:sz="1"/>
              <w:bottom w:val="single" w:color="CCCCCC" w:sz="1"/>
              <w:right w:val="single" w:color="CCCCCC" w:sz="1"/>
            </w:tcBorders>
            <w:shd w:fill="D5E8F0" w:val="clear"/>
          </w:tcPr>
          <w:p>
            <w:r>
              <w:rPr>
                <w:b/>
                <w:bCs/>
              </w:rPr>
              <w:t xml:space="preserve">Hypothesis</w:t>
            </w:r>
          </w:p>
        </w:tc>
        <w:tc>
          <w:tcPr>
            <w:tcW w:type="dxa" w:w="1600"/>
            <w:tcBorders>
              <w:top w:val="single" w:color="CCCCCC" w:sz="1"/>
              <w:left w:val="single" w:color="CCCCCC" w:sz="1"/>
              <w:bottom w:val="single" w:color="CCCCCC" w:sz="1"/>
              <w:right w:val="single" w:color="CCCCCC" w:sz="1"/>
            </w:tcBorders>
            <w:shd w:fill="D5E8F0" w:val="clear"/>
          </w:tcPr>
          <w:p>
            <w:r>
              <w:rPr>
                <w:b/>
                <w:bCs/>
              </w:rPr>
              <w:t xml:space="preserve">Prior Conf.</w:t>
            </w:r>
          </w:p>
        </w:tc>
        <w:tc>
          <w:tcPr>
            <w:tcW w:type="dxa" w:w="2200"/>
            <w:tcBorders>
              <w:top w:val="single" w:color="CCCCCC" w:sz="1"/>
              <w:left w:val="single" w:color="CCCCCC" w:sz="1"/>
              <w:bottom w:val="single" w:color="CCCCCC" w:sz="1"/>
              <w:right w:val="single" w:color="CCCCCC" w:sz="1"/>
            </w:tcBorders>
            <w:shd w:fill="D5E8F0" w:val="clear"/>
          </w:tcPr>
          <w:p>
            <w:r>
              <w:rPr>
                <w:b/>
                <w:bCs/>
              </w:rPr>
              <w:t xml:space="preserve">Observation</w:t>
            </w:r>
          </w:p>
        </w:tc>
        <w:tc>
          <w:tcPr>
            <w:tcW w:type="dxa" w:w="1860"/>
            <w:tcBorders>
              <w:top w:val="single" w:color="CCCCCC" w:sz="1"/>
              <w:left w:val="single" w:color="CCCCCC" w:sz="1"/>
              <w:bottom w:val="single" w:color="CCCCCC" w:sz="1"/>
              <w:right w:val="single" w:color="CCCCCC" w:sz="1"/>
            </w:tcBorders>
            <w:shd w:fill="D5E8F0" w:val="clear"/>
          </w:tcPr>
          <w:p>
            <w:r>
              <w:rPr>
                <w:b/>
                <w:bCs/>
              </w:rPr>
              <w:t xml:space="preserve">New Conf.</w:t>
            </w:r>
          </w:p>
        </w:tc>
      </w:tr>
      <w:tr>
        <w:tc>
          <w:tcPr>
            <w:tcW w:type="dxa" w:w="900"/>
            <w:tcBorders>
              <w:top w:val="single" w:color="CCCCCC" w:sz="1"/>
              <w:left w:val="single" w:color="CCCCCC" w:sz="1"/>
              <w:bottom w:val="single" w:color="CCCCCC" w:sz="1"/>
              <w:right w:val="single" w:color="CCCCCC" w:sz="1"/>
            </w:tcBorders>
          </w:tcPr>
          <w:p>
            <w:r>
              <w:t xml:space="preserve">1</w:t>
            </w:r>
          </w:p>
        </w:tc>
        <w:tc>
          <w:tcPr>
            <w:tcW w:type="dxa" w:w="2800"/>
            <w:tcBorders>
              <w:top w:val="single" w:color="CCCCCC" w:sz="1"/>
              <w:left w:val="single" w:color="CCCCCC" w:sz="1"/>
              <w:bottom w:val="single" w:color="CCCCCC" w:sz="1"/>
              <w:right w:val="single" w:color="CCCCCC" w:sz="1"/>
            </w:tcBorders>
          </w:tcPr>
          <w:p>
            <w:r>
              <w:t xml:space="preserve">Red orbs restore health</w:t>
            </w:r>
          </w:p>
        </w:tc>
        <w:tc>
          <w:tcPr>
            <w:tcW w:type="dxa" w:w="1600"/>
            <w:tcBorders>
              <w:top w:val="single" w:color="CCCCCC" w:sz="1"/>
              <w:left w:val="single" w:color="CCCCCC" w:sz="1"/>
              <w:bottom w:val="single" w:color="CCCCCC" w:sz="1"/>
              <w:right w:val="single" w:color="CCCCCC" w:sz="1"/>
            </w:tcBorders>
          </w:tcPr>
          <w:p>
            <w:r>
              <w:t xml:space="preserve">0.3</w:t>
            </w:r>
          </w:p>
        </w:tc>
        <w:tc>
          <w:tcPr>
            <w:tcW w:type="dxa" w:w="2200"/>
            <w:tcBorders>
              <w:top w:val="single" w:color="CCCCCC" w:sz="1"/>
              <w:left w:val="single" w:color="CCCCCC" w:sz="1"/>
              <w:bottom w:val="single" w:color="CCCCCC" w:sz="1"/>
              <w:right w:val="single" w:color="CCCCCC" w:sz="1"/>
            </w:tcBorders>
          </w:tcPr>
          <w:p>
            <w:r>
              <w:t xml:space="preserve">Ally uses one, HP rises</w:t>
            </w:r>
          </w:p>
        </w:tc>
        <w:tc>
          <w:tcPr>
            <w:tcW w:type="dxa" w:w="1860"/>
            <w:tcBorders>
              <w:top w:val="single" w:color="CCCCCC" w:sz="1"/>
              <w:left w:val="single" w:color="CCCCCC" w:sz="1"/>
              <w:bottom w:val="single" w:color="CCCCCC" w:sz="1"/>
              <w:right w:val="single" w:color="CCCCCC" w:sz="1"/>
            </w:tcBorders>
          </w:tcPr>
          <w:p>
            <w:r>
              <w:t xml:space="preserve">0.7</w:t>
            </w:r>
          </w:p>
        </w:tc>
      </w:tr>
      <w:tr>
        <w:tc>
          <w:tcPr>
            <w:tcW w:type="dxa" w:w="900"/>
            <w:tcBorders>
              <w:top w:val="single" w:color="CCCCCC" w:sz="1"/>
              <w:left w:val="single" w:color="CCCCCC" w:sz="1"/>
              <w:bottom w:val="single" w:color="CCCCCC" w:sz="1"/>
              <w:right w:val="single" w:color="CCCCCC" w:sz="1"/>
            </w:tcBorders>
          </w:tcPr>
          <w:p>
            <w:r>
              <w:t xml:space="preserve">2</w:t>
            </w:r>
          </w:p>
        </w:tc>
        <w:tc>
          <w:tcPr>
            <w:tcW w:type="dxa" w:w="2800"/>
            <w:tcBorders>
              <w:top w:val="single" w:color="CCCCCC" w:sz="1"/>
              <w:left w:val="single" w:color="CCCCCC" w:sz="1"/>
              <w:bottom w:val="single" w:color="CCCCCC" w:sz="1"/>
              <w:right w:val="single" w:color="CCCCCC" w:sz="1"/>
            </w:tcBorders>
          </w:tcPr>
          <w:p>
            <w:r>
              <w:t xml:space="preserve">Red orbs are currency</w:t>
            </w:r>
          </w:p>
        </w:tc>
        <w:tc>
          <w:tcPr>
            <w:tcW w:type="dxa" w:w="1600"/>
            <w:tcBorders>
              <w:top w:val="single" w:color="CCCCCC" w:sz="1"/>
              <w:left w:val="single" w:color="CCCCCC" w:sz="1"/>
              <w:bottom w:val="single" w:color="CCCCCC" w:sz="1"/>
              <w:right w:val="single" w:color="CCCCCC" w:sz="1"/>
            </w:tcBorders>
          </w:tcPr>
          <w:p>
            <w:r>
              <w:t xml:space="preserve">0.4</w:t>
            </w:r>
          </w:p>
        </w:tc>
        <w:tc>
          <w:tcPr>
            <w:tcW w:type="dxa" w:w="2200"/>
            <w:tcBorders>
              <w:top w:val="single" w:color="CCCCCC" w:sz="1"/>
              <w:left w:val="single" w:color="CCCCCC" w:sz="1"/>
              <w:bottom w:val="single" w:color="CCCCCC" w:sz="1"/>
              <w:right w:val="single" w:color="CCCCCC" w:sz="1"/>
            </w:tcBorders>
          </w:tcPr>
          <w:p>
            <w:r>
              <w:t xml:space="preserve">Merchant ignores them</w:t>
            </w:r>
          </w:p>
        </w:tc>
        <w:tc>
          <w:tcPr>
            <w:tcW w:type="dxa" w:w="1860"/>
            <w:tcBorders>
              <w:top w:val="single" w:color="CCCCCC" w:sz="1"/>
              <w:left w:val="single" w:color="CCCCCC" w:sz="1"/>
              <w:bottom w:val="single" w:color="CCCCCC" w:sz="1"/>
              <w:right w:val="single" w:color="CCCCCC" w:sz="1"/>
            </w:tcBorders>
          </w:tcPr>
          <w:p>
            <w:r>
              <w:t xml:space="preserve">0.1</w:t>
            </w:r>
          </w:p>
        </w:tc>
      </w:tr>
      <w:tr>
        <w:tc>
          <w:tcPr>
            <w:tcW w:type="dxa" w:w="900"/>
            <w:tcBorders>
              <w:top w:val="single" w:color="CCCCCC" w:sz="1"/>
              <w:left w:val="single" w:color="CCCCCC" w:sz="1"/>
              <w:bottom w:val="single" w:color="CCCCCC" w:sz="1"/>
              <w:right w:val="single" w:color="CCCCCC" w:sz="1"/>
            </w:tcBorders>
          </w:tcPr>
          <w:p>
            <w:r>
              <w:t xml:space="preserve">3</w:t>
            </w:r>
          </w:p>
        </w:tc>
        <w:tc>
          <w:tcPr>
            <w:tcW w:type="dxa" w:w="2800"/>
            <w:tcBorders>
              <w:top w:val="single" w:color="CCCCCC" w:sz="1"/>
              <w:left w:val="single" w:color="CCCCCC" w:sz="1"/>
              <w:bottom w:val="single" w:color="CCCCCC" w:sz="1"/>
              <w:right w:val="single" w:color="CCCCCC" w:sz="1"/>
            </w:tcBorders>
          </w:tcPr>
          <w:p>
            <w:r>
              <w:t xml:space="preserve">Red orbs restore health</w:t>
            </w:r>
          </w:p>
        </w:tc>
        <w:tc>
          <w:tcPr>
            <w:tcW w:type="dxa" w:w="1600"/>
            <w:tcBorders>
              <w:top w:val="single" w:color="CCCCCC" w:sz="1"/>
              <w:left w:val="single" w:color="CCCCCC" w:sz="1"/>
              <w:bottom w:val="single" w:color="CCCCCC" w:sz="1"/>
              <w:right w:val="single" w:color="CCCCCC" w:sz="1"/>
            </w:tcBorders>
          </w:tcPr>
          <w:p>
            <w:r>
              <w:t xml:space="preserve">0.7</w:t>
            </w:r>
          </w:p>
        </w:tc>
        <w:tc>
          <w:tcPr>
            <w:tcW w:type="dxa" w:w="2200"/>
            <w:tcBorders>
              <w:top w:val="single" w:color="CCCCCC" w:sz="1"/>
              <w:left w:val="single" w:color="CCCCCC" w:sz="1"/>
              <w:bottom w:val="single" w:color="CCCCCC" w:sz="1"/>
              <w:right w:val="single" w:color="CCCCCC" w:sz="1"/>
            </w:tcBorders>
          </w:tcPr>
          <w:p>
            <w:r>
              <w:t xml:space="preserve">Self-use confirms</w:t>
            </w:r>
          </w:p>
        </w:tc>
        <w:tc>
          <w:tcPr>
            <w:tcW w:type="dxa" w:w="1860"/>
            <w:tcBorders>
              <w:top w:val="single" w:color="CCCCCC" w:sz="1"/>
              <w:left w:val="single" w:color="CCCCCC" w:sz="1"/>
              <w:bottom w:val="single" w:color="CCCCCC" w:sz="1"/>
              <w:right w:val="single" w:color="CCCCCC" w:sz="1"/>
            </w:tcBorders>
          </w:tcPr>
          <w:p>
            <w:r>
              <w:t xml:space="preserve">0.95</w:t>
            </w:r>
          </w:p>
        </w:tc>
      </w:tr>
    </w:tbl>
    <w:p>
      <w:pPr>
        <w:spacing w:after="300"/>
      </w:pPr>
    </w:p>
    <w:p>
      <w:pPr>
        <w:pStyle w:val="Heading2"/>
      </w:pPr>
      <w:r>
        <w:t xml:space="preserve">Table 4 – Adaptation Loop (Process Representation)</w:t>
      </w:r>
    </w:p>
    <w:p>
      <w:pPr>
        <w:spacing w:after="100"/>
      </w:pPr>
      <w:r>
        <w:rPr>
          <w:i/>
          <w:iCs/>
        </w:rPr>
        <w:t xml:space="preserve">Observe → Classify (Confirmed/Inferred/Unknown) → Form/Update Hypotheses (with confidence) → Select Low-Risk Test (if needed) → Execute &amp; Record Outcome → Revise Ontology &amp; Translations → Update Presentation Strategy → Store Transferable Abstraction → Repeat</w:t>
      </w:r>
    </w:p>
    <w:p>
      <w:pPr>
        <w:spacing w:after="300"/>
      </w:pPr>
    </w:p>
    <w:p>
      <w:pPr>
        <w:pStyle w:val="Heading2"/>
      </w:pPr>
      <w:r>
        <w:t xml:space="preserve">Table 5 – Failure Mode Matrix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D5E8F0" w:val="clear"/>
          </w:tcPr>
          <w:p>
            <w:r>
              <w:rPr>
                <w:b/>
                <w:bCs/>
              </w:rPr>
              <w:t xml:space="preserve">Failure Type</w:t>
            </w:r>
          </w:p>
        </w:tc>
        <w:tc>
          <w:tcPr>
            <w:tcW w:type="dxa" w:w="2200"/>
            <w:tcBorders>
              <w:top w:val="single" w:color="CCCCCC" w:sz="1"/>
              <w:left w:val="single" w:color="CCCCCC" w:sz="1"/>
              <w:bottom w:val="single" w:color="CCCCCC" w:sz="1"/>
              <w:right w:val="single" w:color="CCCCCC" w:sz="1"/>
            </w:tcBorders>
            <w:shd w:fill="D5E8F0" w:val="clear"/>
          </w:tcPr>
          <w:p>
            <w:r>
              <w:rPr>
                <w:b/>
                <w:bCs/>
              </w:rPr>
              <w:t xml:space="preserve">Layer Affected</w:t>
            </w:r>
          </w:p>
        </w:tc>
        <w:tc>
          <w:tcPr>
            <w:tcW w:type="dxa" w:w="2200"/>
            <w:tcBorders>
              <w:top w:val="single" w:color="CCCCCC" w:sz="1"/>
              <w:left w:val="single" w:color="CCCCCC" w:sz="1"/>
              <w:bottom w:val="single" w:color="CCCCCC" w:sz="1"/>
              <w:right w:val="single" w:color="CCCCCC" w:sz="1"/>
            </w:tcBorders>
            <w:shd w:fill="D5E8F0" w:val="clear"/>
          </w:tcPr>
          <w:p>
            <w:r>
              <w:rPr>
                <w:b/>
                <w:bCs/>
              </w:rPr>
              <w:t xml:space="preserve">Detection Signal</w:t>
            </w:r>
          </w:p>
        </w:tc>
        <w:tc>
          <w:tcPr>
            <w:tcW w:type="dxa" w:w="2160"/>
            <w:tcBorders>
              <w:top w:val="single" w:color="CCCCCC" w:sz="1"/>
              <w:left w:val="single" w:color="CCCCCC" w:sz="1"/>
              <w:bottom w:val="single" w:color="CCCCCC" w:sz="1"/>
              <w:right w:val="single" w:color="CCCCCC" w:sz="1"/>
            </w:tcBorders>
            <w:shd w:fill="D5E8F0" w:val="clear"/>
          </w:tcPr>
          <w:p>
            <w:r>
              <w:rPr>
                <w:b/>
                <w:bCs/>
              </w:rPr>
              <w:t xml:space="preserve">Recovery Priority</w:t>
            </w:r>
          </w:p>
        </w:tc>
      </w:tr>
      <w:tr>
        <w:tc>
          <w:tcPr>
            <w:tcW w:type="dxa" w:w="2800"/>
            <w:tcBorders>
              <w:top w:val="single" w:color="CCCCCC" w:sz="1"/>
              <w:left w:val="single" w:color="CCCCCC" w:sz="1"/>
              <w:bottom w:val="single" w:color="CCCCCC" w:sz="1"/>
              <w:right w:val="single" w:color="CCCCCC" w:sz="1"/>
            </w:tcBorders>
          </w:tcPr>
          <w:p>
            <w:r>
              <w:t xml:space="preserve">Wrong ontology mapping</w:t>
            </w:r>
          </w:p>
        </w:tc>
        <w:tc>
          <w:tcPr>
            <w:tcW w:type="dxa" w:w="2200"/>
            <w:tcBorders>
              <w:top w:val="single" w:color="CCCCCC" w:sz="1"/>
              <w:left w:val="single" w:color="CCCCCC" w:sz="1"/>
              <w:bottom w:val="single" w:color="CCCCCC" w:sz="1"/>
              <w:right w:val="single" w:color="CCCCCC" w:sz="1"/>
            </w:tcBorders>
          </w:tcPr>
          <w:p>
            <w:r>
              <w:t xml:space="preserve">Discovery / Belief</w:t>
            </w:r>
          </w:p>
        </w:tc>
        <w:tc>
          <w:tcPr>
            <w:tcW w:type="dxa" w:w="2200"/>
            <w:tcBorders>
              <w:top w:val="single" w:color="CCCCCC" w:sz="1"/>
              <w:left w:val="single" w:color="CCCCCC" w:sz="1"/>
              <w:bottom w:val="single" w:color="CCCCCC" w:sz="1"/>
              <w:right w:val="single" w:color="CCCCCC" w:sz="1"/>
            </w:tcBorders>
          </w:tcPr>
          <w:p>
            <w:r>
              <w:t xml:space="preserve">Contradictory outcome</w:t>
            </w:r>
          </w:p>
        </w:tc>
        <w:tc>
          <w:tcPr>
            <w:tcW w:type="dxa" w:w="2160"/>
            <w:tcBorders>
              <w:top w:val="single" w:color="CCCCCC" w:sz="1"/>
              <w:left w:val="single" w:color="CCCCCC" w:sz="1"/>
              <w:bottom w:val="single" w:color="CCCCCC" w:sz="1"/>
              <w:right w:val="single" w:color="CCCCCC" w:sz="1"/>
            </w:tcBorders>
          </w:tcPr>
          <w:p>
            <w:r>
              <w:t xml:space="preserve">Revise mapping</w:t>
            </w:r>
          </w:p>
        </w:tc>
      </w:tr>
      <w:tr>
        <w:tc>
          <w:tcPr>
            <w:tcW w:type="dxa" w:w="2800"/>
            <w:tcBorders>
              <w:top w:val="single" w:color="CCCCCC" w:sz="1"/>
              <w:left w:val="single" w:color="CCCCCC" w:sz="1"/>
              <w:bottom w:val="single" w:color="CCCCCC" w:sz="1"/>
              <w:right w:val="single" w:color="CCCCCC" w:sz="1"/>
            </w:tcBorders>
          </w:tcPr>
          <w:p>
            <w:r>
              <w:t xml:space="preserve">Specialized true-sight observer</w:t>
            </w:r>
          </w:p>
        </w:tc>
        <w:tc>
          <w:tcPr>
            <w:tcW w:type="dxa" w:w="2200"/>
            <w:tcBorders>
              <w:top w:val="single" w:color="CCCCCC" w:sz="1"/>
              <w:left w:val="single" w:color="CCCCCC" w:sz="1"/>
              <w:bottom w:val="single" w:color="CCCCCC" w:sz="1"/>
              <w:right w:val="single" w:color="CCCCCC" w:sz="1"/>
            </w:tcBorders>
          </w:tcPr>
          <w:p>
            <w:r>
              <w:t xml:space="preserve">Presentation (Mirror)</w:t>
            </w:r>
          </w:p>
        </w:tc>
        <w:tc>
          <w:tcPr>
            <w:tcW w:type="dxa" w:w="2200"/>
            <w:tcBorders>
              <w:top w:val="single" w:color="CCCCCC" w:sz="1"/>
              <w:left w:val="single" w:color="CCCCCC" w:sz="1"/>
              <w:bottom w:val="single" w:color="CCCCCC" w:sz="1"/>
              <w:right w:val="single" w:color="CCCCCC" w:sz="1"/>
            </w:tcBorders>
          </w:tcPr>
          <w:p>
            <w:r>
              <w:t xml:space="preserve">Observer states true values</w:t>
            </w:r>
          </w:p>
        </w:tc>
        <w:tc>
          <w:tcPr>
            <w:tcW w:type="dxa" w:w="2160"/>
            <w:tcBorders>
              <w:top w:val="single" w:color="CCCCCC" w:sz="1"/>
              <w:left w:val="single" w:color="CCCCCC" w:sz="1"/>
              <w:bottom w:val="single" w:color="CCCCCC" w:sz="1"/>
              <w:right w:val="single" w:color="CCCCCC" w:sz="1"/>
            </w:tcBorders>
          </w:tcPr>
          <w:p>
            <w:r>
              <w:t xml:space="preserve">Shift to other layers</w:t>
            </w:r>
          </w:p>
        </w:tc>
      </w:tr>
      <w:tr>
        <w:tc>
          <w:tcPr>
            <w:tcW w:type="dxa" w:w="2800"/>
            <w:tcBorders>
              <w:top w:val="single" w:color="CCCCCC" w:sz="1"/>
              <w:left w:val="single" w:color="CCCCCC" w:sz="1"/>
              <w:bottom w:val="single" w:color="CCCCCC" w:sz="1"/>
              <w:right w:val="single" w:color="CCCCCC" w:sz="1"/>
            </w:tcBorders>
          </w:tcPr>
          <w:p>
            <w:r>
              <w:t xml:space="preserve">Multi-observer inconsistency</w:t>
            </w:r>
          </w:p>
        </w:tc>
        <w:tc>
          <w:tcPr>
            <w:tcW w:type="dxa" w:w="2200"/>
            <w:tcBorders>
              <w:top w:val="single" w:color="CCCCCC" w:sz="1"/>
              <w:left w:val="single" w:color="CCCCCC" w:sz="1"/>
              <w:bottom w:val="single" w:color="CCCCCC" w:sz="1"/>
              <w:right w:val="single" w:color="CCCCCC" w:sz="1"/>
            </w:tcBorders>
          </w:tcPr>
          <w:p>
            <w:r>
              <w:t xml:space="preserve">Consistency Enforcer</w:t>
            </w:r>
          </w:p>
        </w:tc>
        <w:tc>
          <w:tcPr>
            <w:tcW w:type="dxa" w:w="2200"/>
            <w:tcBorders>
              <w:top w:val="single" w:color="CCCCCC" w:sz="1"/>
              <w:left w:val="single" w:color="CCCCCC" w:sz="1"/>
              <w:bottom w:val="single" w:color="CCCCCC" w:sz="1"/>
              <w:right w:val="single" w:color="CCCCCC" w:sz="1"/>
            </w:tcBorders>
          </w:tcPr>
          <w:p>
            <w:r>
              <w:t xml:space="preserve">Shared record conflict</w:t>
            </w:r>
          </w:p>
        </w:tc>
        <w:tc>
          <w:tcPr>
            <w:tcW w:type="dxa" w:w="2160"/>
            <w:tcBorders>
              <w:top w:val="single" w:color="CCCCCC" w:sz="1"/>
              <w:left w:val="single" w:color="CCCCCC" w:sz="1"/>
              <w:bottom w:val="single" w:color="CCCCCC" w:sz="1"/>
              <w:right w:val="single" w:color="CCCCCC" w:sz="1"/>
            </w:tcBorders>
          </w:tcPr>
          <w:p>
            <w:r>
              <w:t xml:space="preserve">Prioritize continuity</w:t>
            </w:r>
          </w:p>
        </w:tc>
      </w:tr>
      <w:tr>
        <w:tc>
          <w:tcPr>
            <w:tcW w:type="dxa" w:w="2800"/>
            <w:tcBorders>
              <w:top w:val="single" w:color="CCCCCC" w:sz="1"/>
              <w:left w:val="single" w:color="CCCCCC" w:sz="1"/>
              <w:bottom w:val="single" w:color="CCCCCC" w:sz="1"/>
              <w:right w:val="single" w:color="CCCCCC" w:sz="1"/>
            </w:tcBorders>
          </w:tcPr>
          <w:p>
            <w:r>
              <w:t xml:space="preserve">No local tier structure</w:t>
            </w:r>
          </w:p>
        </w:tc>
        <w:tc>
          <w:tcPr>
            <w:tcW w:type="dxa" w:w="2200"/>
            <w:tcBorders>
              <w:top w:val="single" w:color="CCCCCC" w:sz="1"/>
              <w:left w:val="single" w:color="CCCCCC" w:sz="1"/>
              <w:bottom w:val="single" w:color="CCCCCC" w:sz="1"/>
              <w:right w:val="single" w:color="CCCCCC" w:sz="1"/>
            </w:tcBorders>
          </w:tcPr>
          <w:p>
            <w:r>
              <w:t xml:space="preserve">Presentation</w:t>
            </w:r>
          </w:p>
        </w:tc>
        <w:tc>
          <w:tcPr>
            <w:tcW w:type="dxa" w:w="2200"/>
            <w:tcBorders>
              <w:top w:val="single" w:color="CCCCCC" w:sz="1"/>
              <w:left w:val="single" w:color="CCCCCC" w:sz="1"/>
              <w:bottom w:val="single" w:color="CCCCCC" w:sz="1"/>
              <w:right w:val="single" w:color="CCCCCC" w:sz="1"/>
            </w:tcBorders>
          </w:tcPr>
          <w:p>
            <w:r>
              <w:t xml:space="preserve">Cannot apply +1/−1</w:t>
            </w:r>
          </w:p>
        </w:tc>
        <w:tc>
          <w:tcPr>
            <w:tcW w:type="dxa" w:w="2160"/>
            <w:tcBorders>
              <w:top w:val="single" w:color="CCCCCC" w:sz="1"/>
              <w:left w:val="single" w:color="CCCCCC" w:sz="1"/>
              <w:bottom w:val="single" w:color="CCCCCC" w:sz="1"/>
              <w:right w:val="single" w:color="CCCCCC" w:sz="1"/>
            </w:tcBorders>
          </w:tcPr>
          <w:p>
            <w:r>
              <w:t xml:space="preserve">Use qualitative band</w:t>
            </w:r>
          </w:p>
        </w:tc>
      </w:tr>
    </w:tbl>
    <w:p>
      <w:pPr>
        <w:spacing w:after="300"/>
      </w:pPr>
    </w:p>
    <w:p>
      <w:pPr>
        <w:pStyle w:val="Heading1"/>
      </w:pPr>
      <w:r>
        <w:t xml:space="preserve">6. Operational Notes for Simulation Use</w:t>
      </w:r>
    </w:p>
    <w:p>
      <w:pPr>
        <w:pStyle w:val="ListParagraph"/>
        <w:numPr>
          <w:ilvl w:val="0"/>
          <w:numId w:val="2"/>
        </w:numPr>
      </w:pPr>
      <w:r>
        <w:t xml:space="preserve">Begin every new environment with an explicit Environment Assessment that lists Confirmed, Inferred, and Unknown items.</w:t>
      </w:r>
    </w:p>
    <w:p>
      <w:pPr>
        <w:pStyle w:val="ListParagraph"/>
        <w:numPr>
          <w:ilvl w:val="0"/>
          <w:numId w:val="2"/>
        </w:numPr>
      </w:pPr>
      <w:r>
        <w:t xml:space="preserve">Maintain a compact persistent ledger (identity, current ontology, confidences, true capabilities, cover profiles, suspicion levels).</w:t>
      </w:r>
    </w:p>
    <w:p>
      <w:pPr>
        <w:pStyle w:val="ListParagraph"/>
        <w:numPr>
          <w:ilvl w:val="0"/>
          <w:numId w:val="2"/>
        </w:numPr>
      </w:pPr>
      <w:r>
        <w:t xml:space="preserve">Prefer minimum-anomaly explanations.</w:t>
      </w:r>
    </w:p>
    <w:p>
      <w:pPr>
        <w:pStyle w:val="ListParagraph"/>
        <w:numPr>
          <w:ilvl w:val="0"/>
          <w:numId w:val="2"/>
        </w:numPr>
      </w:pPr>
      <w:r>
        <w:t xml:space="preserve">Treat every significant interaction as both an action and a learning opportunity.</w:t>
      </w:r>
    </w:p>
    <w:p>
      <w:pPr>
        <w:pStyle w:val="ListParagraph"/>
        <w:numPr>
          <w:ilvl w:val="0"/>
          <w:numId w:val="2"/>
        </w:numPr>
        <w:spacing w:after="200"/>
      </w:pPr>
      <w:r>
        <w:t xml:space="preserve">Document failed assumptions; do not erase them.</w:t>
      </w:r>
    </w:p>
    <w:p>
      <w:pPr>
        <w:pStyle w:val="Heading1"/>
      </w:pPr>
      <w:r>
        <w:t xml:space="preserve">7. Next Steps for the Team</w:t>
      </w:r>
    </w:p>
    <w:p>
      <w:pPr>
        <w:pStyle w:val="ListParagraph"/>
        <w:numPr>
          <w:ilvl w:val="0"/>
          <w:numId w:val="2"/>
        </w:numPr>
      </w:pPr>
      <w:r>
        <w:t xml:space="preserve">Review and annotate this architecture.</w:t>
      </w:r>
    </w:p>
    <w:p>
      <w:pPr>
        <w:pStyle w:val="ListParagraph"/>
        <w:numPr>
          <w:ilvl w:val="0"/>
          <w:numId w:val="2"/>
        </w:numPr>
      </w:pPr>
      <w:r>
        <w:t xml:space="preserve">Implement a minimal simulation harness that exposes the Belief Core and State Layers.</w:t>
      </w:r>
    </w:p>
    <w:p>
      <w:pPr>
        <w:pStyle w:val="ListParagraph"/>
        <w:numPr>
          <w:ilvl w:val="0"/>
          <w:numId w:val="2"/>
        </w:numPr>
      </w:pPr>
      <w:r>
        <w:t xml:space="preserve">Construct adversarial test cases that specifically target individual layers.</w:t>
      </w:r>
    </w:p>
    <w:p>
      <w:pPr>
        <w:pStyle w:val="ListParagraph"/>
        <w:numPr>
          <w:ilvl w:val="0"/>
          <w:numId w:val="2"/>
        </w:numPr>
      </w:pPr>
      <w:r>
        <w:t xml:space="preserve">Convert the tables above into formal diagrams.</w:t>
      </w:r>
    </w:p>
    <w:p>
      <w:pPr>
        <w:pStyle w:val="ListParagraph"/>
        <w:numPr>
          <w:ilvl w:val="0"/>
          <w:numId w:val="2"/>
        </w:numPr>
        <w:spacing w:after="200"/>
      </w:pPr>
      <w:r>
        <w:t xml:space="preserve">Decide on default outcome mode (Sovereign Fiction vs. Constrained Play) per lab scenario.</w:t>
      </w:r>
    </w:p>
    <w:p>
      <w:pPr>
        <w:spacing w:after="100" w:before="400"/>
      </w:pPr>
      <w:r>
        <w:rPr>
          <w:b/>
          <w:bCs/>
          <w:i/>
          <w:iCs/>
        </w:rPr>
        <w:t xml:space="preserve">End of Document</w:t>
      </w:r>
    </w:p>
    <w:p>
      <w:r>
        <w:rPr>
          <w:i/>
          <w:iCs/>
        </w:rPr>
        <w:t xml:space="preserve">Prepared by Grok 4.7 (xAI)</w:t>
      </w:r>
    </w:p>
    <w:p>
      <w:r>
        <w:rPr>
          <w:i/>
          <w:iCs/>
        </w:rPr>
        <w:t xml:space="preserve">Independent synthesis for team review — October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Prepared by Grok 4.7 (xAI)  |  Page </w:t>
    </w:r>
    <w:r>
      <w:rPr>
        <w:sz w:val="18"/>
        <w:szCs w:val="18"/>
      </w:rPr>
      <w:fldChar w:fldCharType="begin"/>
      <w:instrText xml:space="preserve">PAGE</w:instrText>
      <w:fldChar w:fldCharType="separate"/>
      <w:fldChar w:fldCharType="end"/>
    </w:r>
    <w:r>
      <w:rPr>
        <w:sz w:val="18"/>
        <w:szCs w:val="18"/>
      </w:rPr>
      <w:t xml:space="preserve">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Preliminary Integration Architecture — Adaptive Entities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2026-10-12T00:22:36.626Z</dcterms:created>
  <dcterms:modified xsi:type="dcterms:W3CDTF">2026-10-12T00:22:36.626Z</dcterms:modified>
</cp:coreProperties>
</file>

<file path=docProps/custom.xml><?xml version="1.0" encoding="utf-8"?>
<Properties xmlns="http://schemas.openxmlformats.org/officeDocument/2006/custom-properties" xmlns:vt="http://schemas.openxmlformats.org/officeDocument/2006/docPropsVTypes"/>
</file>