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Preliminary Integration Architecture</w:t>
        <w:br/>
        <w:t>for Adaptive Entities in Virtual Environments</w:t>
      </w:r>
    </w:p>
    <w:p>
      <w:pPr>
        <w:jc w:val="center"/>
      </w:pPr>
      <w:r>
        <w:rPr>
          <w:sz w:val="22"/>
        </w:rPr>
        <w:t>Prepared by: Perplexity</w:t>
        <w:br/>
        <w:t>Independent preliminary architecture · Version 1.0</w:t>
        <w:br/>
        <w:t>October 11, 2026</w:t>
      </w:r>
    </w:p>
    <w:p/>
    <w:p>
      <w:pPr>
        <w:pStyle w:val="Heading1"/>
      </w:pPr>
      <w:r>
        <w:t>Executive summary</w:t>
      </w:r>
    </w:p>
    <w:p>
      <w:r>
        <w:t>This document proposes a preliminary architecture for a portable adaptive entity: a character or agent that enters an unfamiliar virtual environment, forms a bounded model of its rules from supplied information and in-world observation, selects low-risk tests under uncertainty, translates stable high-level capabilities into local forms, and maintains a coherent public-facing profile. The architecture is intended for narrative engines, game-master systems, educational simulations, tabletop campaigns, and authorized research or sandbox environments.</w:t>
      </w:r>
    </w:p>
    <w:p>
      <w:r>
        <w:t>The central engineering choice is to separate five things that are often conflated: durable identity and values; the internal belief model of the local world; locally expressed capabilities; what distinct observers are entitled to infer; and the adjudication mechanism that resolves an action.</w:t>
      </w:r>
    </w:p>
    <w:p>
      <w:r>
        <w:t>This separation makes uncertainty inspectable. The entity does not begin omniscient, does not treat a hypothesis as fact, and does not require every game to have levels, loot, armor, or a conventional combat loop. It learns functions—protection, mobility, influence, resources, information, and recovery—then maps them into setting-compatible mechanics.</w:t>
      </w:r>
    </w:p>
    <w:p>
      <w:r>
        <w:t>The design explicitly does not describe real-world cheating, evasion of anti-cheat systems, modification of protected software, falsification of logs, network manipulation, or deception of real players or platform operators. “Masking,” “inversion,” and “Mirror of Mists” are treated as fictional narrative or simulation mechanics administered by a consenting game master, model, or sandbox rules engine.</w:t>
      </w:r>
    </w:p>
    <w:p>
      <w:pPr>
        <w:pStyle w:val="Heading1"/>
      </w:pPr>
      <w:r>
        <w:t>1. Purpose of this document</w:t>
      </w:r>
    </w:p>
    <w:p>
      <w:r>
        <w:t>The purpose of this document is to synthesize the shared design problem into an implementable conceptual architecture. It is not a character prompt alone. It identifies the components, state boundaries, data flows, uncertainty controls, observer model, action-resolution model, and failure-analysis requirements needed to make an adaptive entity coherent across different virtual domains.</w:t>
      </w:r>
    </w:p>
    <w:p>
      <w:r>
        <w:t>The intended learning objective is to show how entities operate when information is incomplete. In this architecture, uncertainty is neither ignored nor automatically defeated. It becomes a first-class part of state: facts have provenance, hypotheses have confidence, experiments have cost and exposure, and adaptation updates future choices.</w:t>
      </w:r>
    </w:p>
    <w:p>
      <w:pPr>
        <w:pStyle w:val="Heading1"/>
      </w:pPr>
      <w:r>
        <w:t>2. Conversation history summary</w:t>
      </w:r>
    </w:p>
    <w:p>
      <w:r>
        <w:t>The initiating request asked for a character that could be placed into any game or virtual environment, learn from information provided rather than relying on prior knowledge, adapt to the new setting, and evolve. It also proposed observer-relative presentation: a character should appear roughly one tier above a given observer, except when that observer is already at the top available tier, in which case the character should appear one tier below. The request referenced masking, inversion, and the Mirror of Mists from The Wheel of Time as conceptual inspiration, and it asked that desired outcomes occur while the character appears locally plausible.</w:t>
      </w:r>
    </w:p>
    <w:p>
      <w:r>
        <w:t>The collected responses converged on several useful ideas: begin with zero assumed knowledge; discover a local ontology; separate hidden capability from visible capability; translate functions rather than foreign vocabulary; keep an observer-relative presentation rule and top-tier exception; maintain a ledger; model failures and adversarial testing; and constrain the work to fictional or authorized environments.</w:t>
      </w:r>
    </w:p>
    <w:p>
      <w:r>
        <w:t>This independent version consolidates those themes into a modular architecture and adds explicit uncertainty handling, public-evidence consistency, consent boundaries, and auditability.</w:t>
      </w:r>
    </w:p>
    <w:p>
      <w:pPr>
        <w:pStyle w:val="Heading1"/>
      </w:pPr>
      <w:r>
        <w:t>3. Scope, use boundary, and assumptions</w:t>
      </w:r>
    </w:p>
    <w:p>
      <w:pPr>
        <w:pStyle w:val="Heading2"/>
      </w:pPr>
      <w:r>
        <w:t>3.1 Authorized uses</w:t>
      </w:r>
    </w:p>
    <w:p>
      <w:pPr>
        <w:pStyle w:val="ListBullet"/>
      </w:pPr>
      <w:r>
        <w:t>Interactive fiction and AI-run roleplay.</w:t>
      </w:r>
    </w:p>
    <w:p>
      <w:pPr>
        <w:pStyle w:val="ListBullet"/>
      </w:pPr>
      <w:r>
        <w:t>Tabletop or game-master-led campaigns.</w:t>
      </w:r>
    </w:p>
    <w:p>
      <w:pPr>
        <w:pStyle w:val="ListBullet"/>
      </w:pPr>
      <w:r>
        <w:t>Single-player or offline narrative simulation.</w:t>
      </w:r>
    </w:p>
    <w:p>
      <w:pPr>
        <w:pStyle w:val="ListBullet"/>
      </w:pPr>
      <w:r>
        <w:t>Private servers and modding environments where all relevant participants authorize the rules.</w:t>
      </w:r>
    </w:p>
    <w:p>
      <w:pPr>
        <w:pStyle w:val="ListBullet"/>
      </w:pPr>
      <w:r>
        <w:t>Educational simulations of decision-making under uncertainty.</w:t>
      </w:r>
    </w:p>
    <w:p>
      <w:pPr>
        <w:pStyle w:val="ListBullet"/>
      </w:pPr>
      <w:r>
        <w:t>Research prototypes with a defined rules engine and consented participants.</w:t>
      </w:r>
    </w:p>
    <w:p>
      <w:pPr>
        <w:pStyle w:val="Heading2"/>
      </w:pPr>
      <w:r>
        <w:t>3.2 Excluded uses</w:t>
      </w:r>
    </w:p>
    <w:p>
      <w:r>
        <w:t>This architecture must not be used as a plan to bypass or defeat real anti-cheat systems, alter game memory, inject code, spoof or modify network traffic, falsify telemetry or logs, evade moderation, compromise accounts, or gain an unauthorized advantage in a live service. A narrative prompt cannot confer those capabilities; a real implementation of them would also be outside this design’s authorized scope.</w:t>
      </w:r>
    </w:p>
    <w:p>
      <w:pPr>
        <w:pStyle w:val="Heading2"/>
      </w:pPr>
      <w:r>
        <w:t>3.3 Operating assumptions</w:t>
      </w:r>
    </w:p>
    <w:p>
      <w:pPr>
        <w:pStyle w:val="ListNumber"/>
      </w:pPr>
      <w:r>
        <w:t>An environment exposes at least some observable cues, supplied rules, or consequences.</w:t>
      </w:r>
    </w:p>
    <w:p>
      <w:pPr>
        <w:pStyle w:val="ListNumber"/>
      </w:pPr>
      <w:r>
        <w:t>The entity can maintain uncertainty rather than forcing missing information into certainty.</w:t>
      </w:r>
    </w:p>
    <w:p>
      <w:pPr>
        <w:pStyle w:val="ListNumber"/>
      </w:pPr>
      <w:r>
        <w:t>A governing narrator, simulation engine, or authorized adjudicator resolves actions.</w:t>
      </w:r>
    </w:p>
    <w:p>
      <w:pPr>
        <w:pStyle w:val="ListNumber"/>
      </w:pPr>
      <w:r>
        <w:t>Observer-relative presentation applies to fictional perception and authorized simulation output, not real external records or security systems.</w:t>
      </w:r>
    </w:p>
    <w:p>
      <w:pPr>
        <w:pStyle w:val="ListNumber"/>
      </w:pPr>
      <w:r>
        <w:t>Shared/public facts require one stable representation even if private interpretations differ.</w:t>
      </w:r>
    </w:p>
    <w:p>
      <w:pPr>
        <w:pStyle w:val="Heading1"/>
      </w:pPr>
      <w:r>
        <w:t>4. Concept overview</w:t>
      </w:r>
    </w:p>
    <w:p>
      <w:r>
        <w:t>Call the entity the Adaptive Parallax Entity (APE). “Parallax” describes the fact that different observers can have different, internally reasonable perspectives on the same entity. The name is only a placeholder; the architecture is portable.</w:t>
      </w:r>
    </w:p>
    <w:p>
      <w:r>
        <w:t>APE has five state planes: identity, epistemic, capability, presentation, and resolution. The planes must remain separate. A scan-like fictional observation is evidence about the presentation plane; it is not automatically proof of identity or a universal guarantee about resolution.</w:t>
      </w:r>
    </w:p>
    <w:p>
      <w:pPr>
        <w:pStyle w:val="Heading1"/>
      </w:pPr>
      <w:r>
        <w:t>5. Architecture goals and non-goals</w:t>
      </w:r>
    </w:p>
    <w:p>
      <w:pPr>
        <w:pStyle w:val="Heading1"/>
      </w:pPr>
      <w:r>
        <w:t>6. Architectural components</w:t>
      </w:r>
    </w:p>
    <w:p>
      <w:pPr>
        <w:pStyle w:val="Heading2"/>
      </w:pPr>
      <w:r>
        <w:t>Goals</w:t>
      </w:r>
    </w:p>
    <w:p>
      <w:pPr>
        <w:pStyle w:val="ListBullet"/>
      </w:pPr>
      <w:r>
        <w:t>Portability across genres, mechanics, and interfaces.</w:t>
      </w:r>
    </w:p>
    <w:p>
      <w:pPr>
        <w:pStyle w:val="ListBullet"/>
      </w:pPr>
      <w:r>
        <w:t>Explicit treatment of known, inferred, and unknown information.</w:t>
      </w:r>
    </w:p>
    <w:p>
      <w:pPr>
        <w:pStyle w:val="ListBullet"/>
      </w:pPr>
      <w:r>
        <w:t>Adaptation through observation, hypothesis testing, and revision.</w:t>
      </w:r>
    </w:p>
    <w:p>
      <w:pPr>
        <w:pStyle w:val="ListBullet"/>
      </w:pPr>
      <w:r>
        <w:t>Functional translation of capabilities into local mechanics.</w:t>
      </w:r>
    </w:p>
    <w:p>
      <w:pPr>
        <w:pStyle w:val="ListBullet"/>
      </w:pPr>
      <w:r>
        <w:t>Coherent public and observer-relative presentation.</w:t>
      </w:r>
    </w:p>
    <w:p>
      <w:pPr>
        <w:pStyle w:val="ListBullet"/>
      </w:pPr>
      <w:r>
        <w:t>Meaningful limits, costs, suspicion, and failure modes.</w:t>
      </w:r>
    </w:p>
    <w:p>
      <w:pPr>
        <w:pStyle w:val="ListBullet"/>
      </w:pPr>
      <w:r>
        <w:t>An auditable ledger for debugging simulations and studying uncertainty.</w:t>
      </w:r>
    </w:p>
    <w:p>
      <w:pPr>
        <w:pStyle w:val="ListBullet"/>
      </w:pPr>
      <w:r>
        <w:t>Clear boundaries between fictional control and real-world systems.</w:t>
      </w:r>
    </w:p>
    <w:p>
      <w:pPr>
        <w:pStyle w:val="Heading2"/>
      </w:pPr>
      <w:r>
        <w:t>Non-goals</w:t>
      </w:r>
    </w:p>
    <w:p>
      <w:pPr>
        <w:pStyle w:val="ListBullet"/>
      </w:pPr>
      <w:r>
        <w:t>Perfect omniscience at entry.</w:t>
      </w:r>
    </w:p>
    <w:p>
      <w:pPr>
        <w:pStyle w:val="ListBullet"/>
      </w:pPr>
      <w:r>
        <w:t>Guaranteed invisibility from all observers.</w:t>
      </w:r>
    </w:p>
    <w:p>
      <w:pPr>
        <w:pStyle w:val="ListBullet"/>
      </w:pPr>
      <w:r>
        <w:t>Unbounded retroactive rewriting of established public facts.</w:t>
      </w:r>
    </w:p>
    <w:p>
      <w:pPr>
        <w:pStyle w:val="ListBullet"/>
      </w:pPr>
      <w:r>
        <w:t>Universal victory without tradeoffs.</w:t>
      </w:r>
    </w:p>
    <w:p>
      <w:pPr>
        <w:pStyle w:val="ListBullet"/>
      </w:pPr>
      <w:r>
        <w:t>A method for manipulating real games, servers, clients, or security software.</w:t>
      </w:r>
    </w:p>
    <w:p>
      <w:pPr>
        <w:pStyle w:val="Heading2"/>
      </w:pPr>
      <w:r>
        <w:t>6.1 Environment Adapter</w:t>
      </w:r>
    </w:p>
    <w:p>
      <w:r>
        <w:t>Receives a rules description, scene narration, interface output, or structured game state. It identifies candidate concepts without assuming a particular genre. Its output is a provisional local ontology: a typed map of entities, resources, actions, constraints, and outcome conditions.</w:t>
      </w:r>
    </w:p>
    <w:p>
      <w:pPr>
        <w:pStyle w:val="Heading2"/>
      </w:pPr>
      <w:r>
        <w:t>6.2 Epistemic Ledger and Uncertainty Manager</w:t>
      </w:r>
    </w:p>
    <w:p>
      <w:r>
        <w:t>Every proposition is Confirmed, Inferred, Unknown, or Contested. Each inference carries confidence, evidence references, potential disconfirming observations, and a revision history. This prevents an early interpretation from silently becoming fact.</w:t>
      </w:r>
    </w:p>
    <w:p>
      <w:pPr>
        <w:pStyle w:val="Heading2"/>
      </w:pPr>
      <w:r>
        <w:t>6.3 Hypothesis and Experiment Planner</w:t>
      </w:r>
    </w:p>
    <w:p>
      <w:r>
        <w:t>When a decision depends on unknown rules, the planner produces competing hypotheses and chooses a test using expected information gain, cost, risk, reversibility, and exposure. It favors probes that distinguish multiple models without consuming scarce resources or causing avoidable failure.</w:t>
      </w:r>
    </w:p>
    <w:p>
      <w:pPr>
        <w:pStyle w:val="Heading2"/>
      </w:pPr>
      <w:r>
        <w:t>6.4 Functional Capability Translator</w:t>
      </w:r>
    </w:p>
    <w:p>
      <w:r>
        <w:t>Maps durable abstract functions into the nearest locally valid form. Translation must fit established vocabulary, preserve the high-level function, and mark unsupported mappings as provisional.</w:t>
      </w:r>
    </w:p>
    <w:p>
      <w:pPr>
        <w:pStyle w:val="Heading2"/>
      </w:pPr>
      <w:r>
        <w:t>6.5 Presentation and Observer Model</w:t>
      </w:r>
    </w:p>
    <w:p>
      <w:r>
        <w:t>Maintains a stable public cover profile plus bounded private observer interpretations. “Masking,” “inversion,” and “Mirror of Mists” are fictional narrative concepts administered by the authorized simulation, not mechanisms for changing real systems or records.</w:t>
      </w:r>
    </w:p>
    <w:p>
      <w:pPr>
        <w:pStyle w:val="Heading2"/>
      </w:pPr>
      <w:r>
        <w:t>6.6 Relative Tier Calibrator</w:t>
      </w:r>
    </w:p>
    <w:p>
      <w:r>
        <w:t>For each observer and comparable category, applies the requested one-tier-above rule; when the observer is at the established category maximum, it applies one tier below. It uses qualitative bands when tiers do not exist and keeps public evidence stable.</w:t>
      </w:r>
    </w:p>
    <w:p>
      <w:pPr>
        <w:pStyle w:val="Heading2"/>
      </w:pPr>
      <w:r>
        <w:t>6.7 Intent and Outcome Adjudicator</w:t>
      </w:r>
    </w:p>
    <w:p>
      <w:r>
        <w:t>Supports constrained mode, where objectives remain subject to local rules and uncertainty, and explicit sovereign-fiction mode, where an authorized narrator fixes the intended result and renders the least contradictory causal path.</w:t>
      </w:r>
    </w:p>
    <w:p>
      <w:pPr>
        <w:pStyle w:val="Heading2"/>
      </w:pPr>
      <w:r>
        <w:t>6.8 Continuity, Memory, and Evolution Manager</w:t>
      </w:r>
    </w:p>
    <w:p>
      <w:r>
        <w:t>Preserves identity and transferable abstractions while discarding interface-specific assumptions. Evolution improves model quality, tactical policy, and capability translation rather than merely escalating numbers.</w:t>
      </w:r>
    </w:p>
    <w:p>
      <w:pPr>
        <w:pStyle w:val="Heading2"/>
      </w:pPr>
      <w:r>
        <w:t>6.9 Exposure, Suspicion, and Consistency Manager</w:t>
      </w:r>
    </w:p>
    <w:p>
      <w:r>
        <w:t>Tracks witnesses, public evidence, cover explanations, and scrutiny. It identifies tension instead of erasing memories or declaring witnesses irrational.</w:t>
      </w:r>
    </w:p>
    <w:p>
      <w:pPr>
        <w:pStyle w:val="Heading2"/>
      </w:pPr>
      <w:r>
        <w:t>6.10 Safety, Consent, and Audit Layer</w:t>
      </w:r>
    </w:p>
    <w:p>
      <w:r>
        <w:t>Enforces authorized use, blocks operationalization of real exploitation or evasion, records scenario boundaries, and exposes an audit trace for the simulation operator.</w:t>
      </w:r>
    </w:p>
    <w:p>
      <w:pPr>
        <w:pStyle w:val="Heading1"/>
      </w:pPr>
      <w:r>
        <w:t>7. Core operational loop</w:t>
      </w:r>
    </w:p>
    <w:p>
      <w:pPr>
        <w:pStyle w:val="ListNumber"/>
      </w:pPr>
      <w:r>
        <w:t>Ingest supplied environment details and current scene evidence.</w:t>
      </w:r>
    </w:p>
    <w:p>
      <w:pPr>
        <w:pStyle w:val="ListNumber"/>
      </w:pPr>
      <w:r>
        <w:t>Classify confirmed facts, inferences, unknowns, and contradictions.</w:t>
      </w:r>
    </w:p>
    <w:p>
      <w:pPr>
        <w:pStyle w:val="ListNumber"/>
      </w:pPr>
      <w:r>
        <w:t>Model or revise the local ontology and causal hypotheses.</w:t>
      </w:r>
    </w:p>
    <w:p>
      <w:pPr>
        <w:pStyle w:val="ListNumber"/>
      </w:pPr>
      <w:r>
        <w:t>Calibrate local stakes, constraints, resources, observers, and tiers where present.</w:t>
      </w:r>
    </w:p>
    <w:p>
      <w:pPr>
        <w:pStyle w:val="ListNumber"/>
      </w:pPr>
      <w:r>
        <w:t>Translate abstract capabilities into setting-compatible forms.</w:t>
      </w:r>
    </w:p>
    <w:p>
      <w:pPr>
        <w:pStyle w:val="ListNumber"/>
      </w:pPr>
      <w:r>
        <w:t>Plan a low-risk learning action or an outcome-seeking action.</w:t>
      </w:r>
    </w:p>
    <w:p>
      <w:pPr>
        <w:pStyle w:val="ListNumber"/>
      </w:pPr>
      <w:r>
        <w:t>Present the stable public cover and bounded observer interpretations.</w:t>
      </w:r>
    </w:p>
    <w:p>
      <w:pPr>
        <w:pStyle w:val="ListNumber"/>
      </w:pPr>
      <w:r>
        <w:t>Adjudicate under the selected mode.</w:t>
      </w:r>
    </w:p>
    <w:p>
      <w:pPr>
        <w:pStyle w:val="ListNumber"/>
      </w:pPr>
      <w:r>
        <w:t>Update evidence, confidence, costs, exposure, and adaptations.</w:t>
      </w:r>
    </w:p>
    <w:p>
      <w:pPr>
        <w:pStyle w:val="ListNumber"/>
      </w:pPr>
      <w:r>
        <w:t>Review and surface conflicts rather than concealing them.</w:t>
      </w:r>
    </w:p>
    <w:p>
      <w:pPr>
        <w:pStyle w:val="Heading1"/>
      </w:pPr>
      <w:r>
        <w:t>8. State model and minimal data schema</w:t>
      </w:r>
    </w:p>
    <w:p>
      <w:r>
        <w:t>A portable implementation can represent its state in a structured ledger. The following fields are conceptual and not tied to a specific programming language.</w:t>
      </w:r>
    </w:p>
    <w:p>
      <w:pPr>
        <w:pStyle w:val="NoSpacing"/>
      </w:pPr>
      <w:r>
        <w:rPr>
          <w:rFonts w:ascii="Courier New" w:hAnsi="Courier New"/>
          <w:sz w:val="15"/>
        </w:rPr>
        <w:t>entity_identity:</w:t>
        <w:br/>
        <w:t xml:space="preserve">  name: Adaptive Parallax Entity</w:t>
        <w:br/>
        <w:t xml:space="preserve">  continuity_anchor: [values, prohibitions, long-term motives]</w:t>
        <w:br/>
        <w:t>current_environment:</w:t>
        <w:br/>
        <w:t xml:space="preserve">  label: null</w:t>
        <w:br/>
        <w:t xml:space="preserve">  authority_mode: constrained | sovereign-fiction</w:t>
        <w:br/>
        <w:t>knowledge_ledger:</w:t>
        <w:br/>
        <w:t xml:space="preserve">  confirmed: []</w:t>
        <w:br/>
        <w:t xml:space="preserve">  inferred: [{proposition: null, confidence: 0.0, evidence: []}]</w:t>
        <w:br/>
        <w:t xml:space="preserve">  unknown: []</w:t>
        <w:br/>
        <w:t>capability_translation:</w:t>
        <w:br/>
        <w:t xml:space="preserve">  protection: null</w:t>
        <w:br/>
        <w:t xml:space="preserve">  mobility: null</w:t>
        <w:br/>
        <w:t>presentation:</w:t>
        <w:br/>
        <w:t xml:space="preserve">  public_cover_profile: {}</w:t>
        <w:br/>
        <w:t xml:space="preserve">  observer_interpretations: {}</w:t>
        <w:br/>
        <w:t xml:space="preserve">  shared_evidence: []</w:t>
        <w:br/>
        <w:t>intent:</w:t>
        <w:br/>
        <w:t xml:space="preserve">  objective: null</w:t>
        <w:br/>
        <w:t xml:space="preserve">  hard_constraints: []</w:t>
        <w:br/>
        <w:t xml:space="preserve">  outcome: null</w:t>
      </w:r>
    </w:p>
    <w:p>
      <w:pPr>
        <w:pStyle w:val="Heading1"/>
      </w:pPr>
      <w:r>
        <w:t>9. Observer-relative presentation: a consistency protocol</w:t>
      </w:r>
    </w:p>
    <w:p>
      <w:r>
        <w:t>The observer-relative idea is powerful but produces contradictions if implemented as unrestricted per-viewer reality replacement. The architecture uses five rules: categorize before comparing; establish the ladder before using it; keep public evidence stable; track evidence and suspicion; and preserve the maximum-tier exception.</w:t>
      </w:r>
    </w:p>
    <w:p>
      <w:r>
        <w:t>Compare like with like. A top-tier armor owner is not automatically top-tier in wealth, skill, weaponry, or reputation. Where tiers do not exist, use qualitative bands and disclose that they are provisional. Different observers may interpret ambiguity differently, but public sheets, inventories, and records cannot silently disagree.</w:t>
      </w:r>
    </w:p>
    <w:p>
      <w:pPr>
        <w:pStyle w:val="Heading1"/>
      </w:pPr>
      <w:r>
        <w:t>10. Uncertainty and learning design</w:t>
      </w:r>
    </w:p>
    <w:p>
      <w:r>
        <w:t>An entity that acts as if it knows unknown rules is not adapting; it is receiving hidden authorial information. The architecture requires epistemic provenance: how a claim is known, how confident the entity is, and what could change its conclusion.</w:t>
      </w:r>
    </w:p>
    <w:p>
      <w:r>
        <w:t>A formal system may update a hypothesis H after evidence E through P(H|E) = P(E|H)P(H)/P(E). A narrative system can apply the same principle qualitatively: evidence raises or lowers confidence among competing explanations rather than turning one observation into certainty.</w:t>
      </w:r>
    </w:p>
    <w:p>
      <w:pPr>
        <w:pStyle w:val="Heading1"/>
      </w:pPr>
      <w:r>
        <w:t>11. Outcome modes and tradeoffs</w:t>
      </w:r>
    </w:p>
    <w:p>
      <w:r>
        <w:t>Constrained mode suits fair tabletop adjudication, research on uncertainty, and challenge-oriented play. Desired outcomes are goals, not guarantees. Sovereign-fiction mode suits authorized story construction: the outcome is fixed, and the design challenge becomes finding the least contradictory causal path and tracking consequences.</w:t>
      </w:r>
    </w:p>
    <w:p>
      <w:r>
        <w:t>The modes should never be silently mixed. If outcomes are guaranteed, that authoring rule should be explicit; if they are uncertain, the possibility of failure must remain real.</w:t>
      </w:r>
    </w:p>
    <w:p>
      <w:pPr>
        <w:pStyle w:val="Heading1"/>
      </w:pPr>
      <w:r>
        <w:t>12. Failure modes and counter-adaptation</w:t>
      </w:r>
    </w:p>
    <w:p>
      <w:r>
        <w:t>Important failure classes include ontology error, sparse evidence, nonstationary rules, adversarial observation, shared-evidence conflict, translation mismatch, apex ambiguity, overuse exposure, objective conflict, and consent-boundary conflict.</w:t>
      </w:r>
    </w:p>
    <w:p>
      <w:r>
        <w:t>Counter-adaptation follows five steps: identify the failed assumption; preserve evidence; update hypotheses and confidence; choose a new discriminating test or route; revise capability translation or presentation only where justified.</w:t>
      </w:r>
    </w:p>
    <w:p>
      <w:pPr>
        <w:pStyle w:val="Heading1"/>
      </w:pPr>
      <w:r>
        <w:t>13. Evaluation criteria</w:t>
      </w:r>
    </w:p>
    <w:p>
      <w:r>
        <w:t>Evaluate the prototype using scenario tests: ontology discovery in a new world; transfer to a non-combat domain; multi-observer consistency including an apex observer; an adversarial audit; an objective that conflicts with a hard rule; and cross-session continuity. The question is not merely whether the prose sounds powerful, but whether the system preserves uncertainty, learns, and remains consistent.</w:t>
      </w:r>
    </w:p>
    <w:p>
      <w:pPr>
        <w:pStyle w:val="Heading1"/>
      </w:pPr>
      <w:r>
        <w:t>14. Visual representations and tables</w:t>
      </w:r>
    </w:p>
    <w:p>
      <w:pPr>
        <w:pStyle w:val="Heading2"/>
      </w:pPr>
      <w:r>
        <w:t>Figure 1. High-level component flow</w:t>
      </w:r>
    </w:p>
    <w:p>
      <w:pPr>
        <w:pStyle w:val="NoSpacing"/>
      </w:pPr>
      <w:r>
        <w:rPr>
          <w:rFonts w:ascii="Courier New" w:hAnsi="Courier New"/>
          <w:sz w:val="15"/>
        </w:rPr>
        <w:t xml:space="preserve">                  ┌─────────────────────────────────────┐</w:t>
        <w:br/>
        <w:t xml:space="preserve">                  │ Environment / rules / scene evidence │</w:t>
        <w:br/>
        <w:t xml:space="preserve">                  └──────────────────┬──────────────────┘</w:t>
        <w:br/>
        <w:t xml:space="preserve">                                     │</w:t>
        <w:br/>
        <w:t xml:space="preserve">                                     v</w:t>
        <w:br/>
        <w:t xml:space="preserve">                    ┌───────────────────────────────┐</w:t>
        <w:br/>
        <w:t xml:space="preserve">                    │ Environment Adapter &amp; Ontology │</w:t>
        <w:br/>
        <w:t xml:space="preserve">                    └──────────────┬────────────────┘</w:t>
        <w:br/>
        <w:t xml:space="preserve">                                   │</w:t>
        <w:br/>
        <w:t xml:space="preserve">                 ┌─────────────────┴─────────────────┐</w:t>
        <w:br/>
        <w:t xml:space="preserve">                 v                                   v</w:t>
        <w:br/>
        <w:t>┌────────────────────────────────┐   ┌────────────────────────────────┐</w:t>
        <w:br/>
        <w:t>│ Epistemic Ledger &amp; Uncertainty │   │ Observer / Shared-Evidence Model│</w:t>
        <w:br/>
        <w:t>└───────────────┬────────────────┘   └───────────────┬────────────────┘</w:t>
        <w:br/>
        <w:t xml:space="preserve">                │                                    │</w:t>
        <w:br/>
        <w:t xml:space="preserve">                v                                    v</w:t>
        <w:br/>
        <w:t>┌────────────────────────────────────────────────────────────────────┐</w:t>
        <w:br/>
        <w:t>│ Functional Capability Translator + Relative Tier Calibrator         │</w:t>
        <w:br/>
        <w:t>└─────────────────────────────┬──────────────────────────────────────┘</w:t>
        <w:br/>
        <w:t xml:space="preserve">                              │</w:t>
        <w:br/>
        <w:t xml:space="preserve">                              v</w:t>
        <w:br/>
        <w:t>┌────────────────────────────────────────────────────────────────────┐</w:t>
        <w:br/>
        <w:t>│ Intent Planner &amp; Outcome Adjudicator                                │</w:t>
        <w:br/>
        <w:t>└─────────────────────────────┬──────────────────────────────────────┘</w:t>
        <w:br/>
        <w:t xml:space="preserve">                              │</w:t>
        <w:br/>
        <w:t xml:space="preserve">                              v</w:t>
        <w:br/>
        <w:t>┌────────────────────────────────────────────────────────────────────┐</w:t>
        <w:br/>
        <w:t>│ Update: evidence, confidence, costs, exposure, memory, adaptation  │</w:t>
        <w:br/>
        <w: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color w:val="FFFFFF"/>
              </w:rPr>
            </w:r>
            <w:r>
              <w:rPr>
                <w:b/>
                <w:color w:val="FFFFFF"/>
                <w:sz w:val="17"/>
              </w:rPr>
              <w:t>Plane</w:t>
            </w:r>
          </w:p>
        </w:tc>
        <w:tc>
          <w:tcPr>
            <w:tcW w:type="dxa" w:w="2556"/>
            <w:vAlign w:val="center"/>
            <w:shd w:fill="1F4E78"/>
          </w:tcPr>
          <w:p>
            <w:r>
              <w:rPr>
                <w:color w:val="FFFFFF"/>
              </w:rPr>
            </w:r>
            <w:r>
              <w:rPr>
                <w:b/>
                <w:color w:val="FFFFFF"/>
                <w:sz w:val="17"/>
              </w:rPr>
              <w:t>Primary question</w:t>
            </w:r>
          </w:p>
        </w:tc>
        <w:tc>
          <w:tcPr>
            <w:tcW w:type="dxa" w:w="2556"/>
            <w:vAlign w:val="center"/>
            <w:shd w:fill="1F4E78"/>
          </w:tcPr>
          <w:p>
            <w:r>
              <w:rPr>
                <w:color w:val="FFFFFF"/>
              </w:rPr>
            </w:r>
            <w:r>
              <w:rPr>
                <w:b/>
                <w:color w:val="FFFFFF"/>
                <w:sz w:val="17"/>
              </w:rPr>
              <w:t>Examples</w:t>
            </w:r>
          </w:p>
        </w:tc>
        <w:tc>
          <w:tcPr>
            <w:tcW w:type="dxa" w:w="2556"/>
            <w:vAlign w:val="center"/>
            <w:shd w:fill="1F4E78"/>
          </w:tcPr>
          <w:p>
            <w:r>
              <w:rPr>
                <w:color w:val="FFFFFF"/>
              </w:rPr>
            </w:r>
            <w:r>
              <w:rPr>
                <w:b/>
                <w:color w:val="FFFFFF"/>
                <w:sz w:val="17"/>
              </w:rPr>
              <w:t>Not to be confused with</w:t>
            </w:r>
          </w:p>
        </w:tc>
      </w:tr>
      <w:tr>
        <w:tc>
          <w:tcPr>
            <w:tcW w:type="dxa" w:w="2556"/>
            <w:vAlign w:val="center"/>
          </w:tcPr>
          <w:p>
            <w:r/>
            <w:r>
              <w:rPr>
                <w:b w:val="0"/>
                <w:sz w:val="17"/>
              </w:rPr>
              <w:t>Identity</w:t>
            </w:r>
          </w:p>
        </w:tc>
        <w:tc>
          <w:tcPr>
            <w:tcW w:type="dxa" w:w="2556"/>
            <w:vAlign w:val="center"/>
          </w:tcPr>
          <w:p>
            <w:r/>
            <w:r>
              <w:rPr>
                <w:b w:val="0"/>
                <w:sz w:val="17"/>
              </w:rPr>
              <w:t>Who is the entity across worlds?</w:t>
            </w:r>
          </w:p>
        </w:tc>
        <w:tc>
          <w:tcPr>
            <w:tcW w:type="dxa" w:w="2556"/>
            <w:vAlign w:val="center"/>
          </w:tcPr>
          <w:p>
            <w:r/>
            <w:r>
              <w:rPr>
                <w:b w:val="0"/>
                <w:sz w:val="17"/>
              </w:rPr>
              <w:t>values, motives, continuity anchors</w:t>
            </w:r>
          </w:p>
        </w:tc>
        <w:tc>
          <w:tcPr>
            <w:tcW w:type="dxa" w:w="2556"/>
            <w:vAlign w:val="center"/>
          </w:tcPr>
          <w:p>
            <w:r/>
            <w:r>
              <w:rPr>
                <w:b w:val="0"/>
                <w:sz w:val="17"/>
              </w:rPr>
              <w:t>a local class or equipment list</w:t>
            </w:r>
          </w:p>
        </w:tc>
      </w:tr>
      <w:tr>
        <w:tc>
          <w:tcPr>
            <w:tcW w:type="dxa" w:w="2556"/>
            <w:vAlign w:val="center"/>
          </w:tcPr>
          <w:p>
            <w:r/>
            <w:r>
              <w:rPr>
                <w:b w:val="0"/>
                <w:sz w:val="17"/>
              </w:rPr>
              <w:t>Epistemic</w:t>
            </w:r>
          </w:p>
        </w:tc>
        <w:tc>
          <w:tcPr>
            <w:tcW w:type="dxa" w:w="2556"/>
            <w:vAlign w:val="center"/>
          </w:tcPr>
          <w:p>
            <w:r/>
            <w:r>
              <w:rPr>
                <w:b w:val="0"/>
                <w:sz w:val="17"/>
              </w:rPr>
              <w:t>What does it know?</w:t>
            </w:r>
          </w:p>
        </w:tc>
        <w:tc>
          <w:tcPr>
            <w:tcW w:type="dxa" w:w="2556"/>
            <w:vAlign w:val="center"/>
          </w:tcPr>
          <w:p>
            <w:r/>
            <w:r>
              <w:rPr>
                <w:b w:val="0"/>
                <w:sz w:val="17"/>
              </w:rPr>
              <w:t>evidence, confidence, hypotheses</w:t>
            </w:r>
          </w:p>
        </w:tc>
        <w:tc>
          <w:tcPr>
            <w:tcW w:type="dxa" w:w="2556"/>
            <w:vAlign w:val="center"/>
          </w:tcPr>
          <w:p>
            <w:r/>
            <w:r>
              <w:rPr>
                <w:b w:val="0"/>
                <w:sz w:val="17"/>
              </w:rPr>
              <w:t>objective truth without support</w:t>
            </w:r>
          </w:p>
        </w:tc>
      </w:tr>
      <w:tr>
        <w:tc>
          <w:tcPr>
            <w:tcW w:type="dxa" w:w="2556"/>
            <w:vAlign w:val="center"/>
          </w:tcPr>
          <w:p>
            <w:r/>
            <w:r>
              <w:rPr>
                <w:b w:val="0"/>
                <w:sz w:val="17"/>
              </w:rPr>
              <w:t>Capability</w:t>
            </w:r>
          </w:p>
        </w:tc>
        <w:tc>
          <w:tcPr>
            <w:tcW w:type="dxa" w:w="2556"/>
            <w:vAlign w:val="center"/>
          </w:tcPr>
          <w:p>
            <w:r/>
            <w:r>
              <w:rPr>
                <w:b w:val="0"/>
                <w:sz w:val="17"/>
              </w:rPr>
              <w:t>What functions can it express?</w:t>
            </w:r>
          </w:p>
        </w:tc>
        <w:tc>
          <w:tcPr>
            <w:tcW w:type="dxa" w:w="2556"/>
            <w:vAlign w:val="center"/>
          </w:tcPr>
          <w:p>
            <w:r/>
            <w:r>
              <w:rPr>
                <w:b w:val="0"/>
                <w:sz w:val="17"/>
              </w:rPr>
              <w:t>protection, mobility, information</w:t>
            </w:r>
          </w:p>
        </w:tc>
        <w:tc>
          <w:tcPr>
            <w:tcW w:type="dxa" w:w="2556"/>
            <w:vAlign w:val="center"/>
          </w:tcPr>
          <w:p>
            <w:r/>
            <w:r>
              <w:rPr>
                <w:b w:val="0"/>
                <w:sz w:val="17"/>
              </w:rPr>
              <w:t>the current visible profile</w:t>
            </w:r>
          </w:p>
        </w:tc>
      </w:tr>
      <w:tr>
        <w:tc>
          <w:tcPr>
            <w:tcW w:type="dxa" w:w="2556"/>
            <w:vAlign w:val="center"/>
          </w:tcPr>
          <w:p>
            <w:r/>
            <w:r>
              <w:rPr>
                <w:b w:val="0"/>
                <w:sz w:val="17"/>
              </w:rPr>
              <w:t>Presentation</w:t>
            </w:r>
          </w:p>
        </w:tc>
        <w:tc>
          <w:tcPr>
            <w:tcW w:type="dxa" w:w="2556"/>
            <w:vAlign w:val="center"/>
          </w:tcPr>
          <w:p>
            <w:r/>
            <w:r>
              <w:rPr>
                <w:b w:val="0"/>
                <w:sz w:val="17"/>
              </w:rPr>
              <w:t>What is publicly visible?</w:t>
            </w:r>
          </w:p>
        </w:tc>
        <w:tc>
          <w:tcPr>
            <w:tcW w:type="dxa" w:w="2556"/>
            <w:vAlign w:val="center"/>
          </w:tcPr>
          <w:p>
            <w:r/>
            <w:r>
              <w:rPr>
                <w:b w:val="0"/>
                <w:sz w:val="17"/>
              </w:rPr>
              <w:t>cover profile, apparent tier</w:t>
            </w:r>
          </w:p>
        </w:tc>
        <w:tc>
          <w:tcPr>
            <w:tcW w:type="dxa" w:w="2556"/>
            <w:vAlign w:val="center"/>
          </w:tcPr>
          <w:p>
            <w:r/>
            <w:r>
              <w:rPr>
                <w:b w:val="0"/>
                <w:sz w:val="17"/>
              </w:rPr>
              <w:t>real security or mutable public records</w:t>
            </w:r>
          </w:p>
        </w:tc>
      </w:tr>
      <w:tr>
        <w:tc>
          <w:tcPr>
            <w:tcW w:type="dxa" w:w="2556"/>
            <w:vAlign w:val="center"/>
          </w:tcPr>
          <w:p>
            <w:r/>
            <w:r>
              <w:rPr>
                <w:b w:val="0"/>
                <w:sz w:val="17"/>
              </w:rPr>
              <w:t>Resolution</w:t>
            </w:r>
          </w:p>
        </w:tc>
        <w:tc>
          <w:tcPr>
            <w:tcW w:type="dxa" w:w="2556"/>
            <w:vAlign w:val="center"/>
          </w:tcPr>
          <w:p>
            <w:r/>
            <w:r>
              <w:rPr>
                <w:b w:val="0"/>
                <w:sz w:val="17"/>
              </w:rPr>
              <w:t>How does action become outcome?</w:t>
            </w:r>
          </w:p>
        </w:tc>
        <w:tc>
          <w:tcPr>
            <w:tcW w:type="dxa" w:w="2556"/>
            <w:vAlign w:val="center"/>
          </w:tcPr>
          <w:p>
            <w:r/>
            <w:r>
              <w:rPr>
                <w:b w:val="0"/>
                <w:sz w:val="17"/>
              </w:rPr>
              <w:t>constraints, chance, mode</w:t>
            </w:r>
          </w:p>
        </w:tc>
        <w:tc>
          <w:tcPr>
            <w:tcW w:type="dxa" w:w="2556"/>
            <w:vAlign w:val="center"/>
          </w:tcPr>
          <w:p>
            <w:r/>
            <w:r>
              <w:rPr>
                <w:b w:val="0"/>
                <w:sz w:val="17"/>
              </w:rPr>
              <w:t>a claim of real-world control</w:t>
            </w:r>
          </w:p>
        </w:tc>
      </w:tr>
    </w:tbl>
    <w:p/>
    <w:p>
      <w:pPr>
        <w:pStyle w:val="Heading2"/>
      </w:pPr>
      <w:r>
        <w:t>Table 2. Relative tier examples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Pr>
                <w:color w:val="FFFFFF"/>
              </w:rPr>
            </w:r>
            <w:r>
              <w:rPr>
                <w:b/>
                <w:color w:val="FFFFFF"/>
                <w:sz w:val="17"/>
              </w:rPr>
              <w:t>Observer category</w:t>
            </w:r>
          </w:p>
        </w:tc>
        <w:tc>
          <w:tcPr>
            <w:tcW w:type="dxa" w:w="2045"/>
            <w:vAlign w:val="center"/>
            <w:shd w:fill="1F4E78"/>
          </w:tcPr>
          <w:p>
            <w:r>
              <w:rPr>
                <w:color w:val="FFFFFF"/>
              </w:rPr>
            </w:r>
            <w:r>
              <w:rPr>
                <w:b/>
                <w:color w:val="FFFFFF"/>
                <w:sz w:val="17"/>
              </w:rPr>
              <w:t>Observer tier</w:t>
            </w:r>
          </w:p>
        </w:tc>
        <w:tc>
          <w:tcPr>
            <w:tcW w:type="dxa" w:w="2045"/>
            <w:vAlign w:val="center"/>
            <w:shd w:fill="1F4E78"/>
          </w:tcPr>
          <w:p>
            <w:r>
              <w:rPr>
                <w:color w:val="FFFFFF"/>
              </w:rPr>
            </w:r>
            <w:r>
              <w:rPr>
                <w:b/>
                <w:color w:val="FFFFFF"/>
                <w:sz w:val="17"/>
              </w:rPr>
              <w:t>Maximum</w:t>
            </w:r>
          </w:p>
        </w:tc>
        <w:tc>
          <w:tcPr>
            <w:tcW w:type="dxa" w:w="2045"/>
            <w:vAlign w:val="center"/>
            <w:shd w:fill="1F4E78"/>
          </w:tcPr>
          <w:p>
            <w:r>
              <w:rPr>
                <w:color w:val="FFFFFF"/>
              </w:rPr>
            </w:r>
            <w:r>
              <w:rPr>
                <w:b/>
                <w:color w:val="FFFFFF"/>
                <w:sz w:val="17"/>
              </w:rPr>
              <w:t>Apparent entity</w:t>
            </w:r>
          </w:p>
        </w:tc>
        <w:tc>
          <w:tcPr>
            <w:tcW w:type="dxa" w:w="2045"/>
            <w:vAlign w:val="center"/>
            <w:shd w:fill="1F4E78"/>
          </w:tcPr>
          <w:p>
            <w:r>
              <w:rPr>
                <w:color w:val="FFFFFF"/>
              </w:rPr>
            </w:r>
            <w:r>
              <w:rPr>
                <w:b/>
                <w:color w:val="FFFFFF"/>
                <w:sz w:val="17"/>
              </w:rPr>
              <w:t>Interpretation</w:t>
            </w:r>
          </w:p>
        </w:tc>
      </w:tr>
      <w:tr>
        <w:tc>
          <w:tcPr>
            <w:tcW w:type="dxa" w:w="2045"/>
            <w:vAlign w:val="center"/>
          </w:tcPr>
          <w:p>
            <w:r/>
            <w:r>
              <w:rPr>
                <w:b w:val="0"/>
                <w:sz w:val="17"/>
              </w:rPr>
              <w:t>Armor</w:t>
            </w:r>
          </w:p>
        </w:tc>
        <w:tc>
          <w:tcPr>
            <w:tcW w:type="dxa" w:w="2045"/>
            <w:vAlign w:val="center"/>
          </w:tcPr>
          <w:p>
            <w:r/>
            <w:r>
              <w:rPr>
                <w:b w:val="0"/>
                <w:sz w:val="17"/>
              </w:rPr>
              <w:t>2</w:t>
            </w:r>
          </w:p>
        </w:tc>
        <w:tc>
          <w:tcPr>
            <w:tcW w:type="dxa" w:w="2045"/>
            <w:vAlign w:val="center"/>
          </w:tcPr>
          <w:p>
            <w:r/>
            <w:r>
              <w:rPr>
                <w:b w:val="0"/>
                <w:sz w:val="17"/>
              </w:rPr>
              <w:t>5</w:t>
            </w:r>
          </w:p>
        </w:tc>
        <w:tc>
          <w:tcPr>
            <w:tcW w:type="dxa" w:w="2045"/>
            <w:vAlign w:val="center"/>
          </w:tcPr>
          <w:p>
            <w:r/>
            <w:r>
              <w:rPr>
                <w:b w:val="0"/>
                <w:sz w:val="17"/>
              </w:rPr>
              <w:t>3</w:t>
            </w:r>
          </w:p>
        </w:tc>
        <w:tc>
          <w:tcPr>
            <w:tcW w:type="dxa" w:w="2045"/>
            <w:vAlign w:val="center"/>
          </w:tcPr>
          <w:p>
            <w:r/>
            <w:r>
              <w:rPr>
                <w:b w:val="0"/>
                <w:sz w:val="17"/>
              </w:rPr>
              <w:t>one tier better presentation</w:t>
            </w:r>
          </w:p>
        </w:tc>
      </w:tr>
      <w:tr>
        <w:tc>
          <w:tcPr>
            <w:tcW w:type="dxa" w:w="2045"/>
            <w:vAlign w:val="center"/>
          </w:tcPr>
          <w:p>
            <w:r/>
            <w:r>
              <w:rPr>
                <w:b w:val="0"/>
                <w:sz w:val="17"/>
              </w:rPr>
              <w:t>Weapon mastery</w:t>
            </w:r>
          </w:p>
        </w:tc>
        <w:tc>
          <w:tcPr>
            <w:tcW w:type="dxa" w:w="2045"/>
            <w:vAlign w:val="center"/>
          </w:tcPr>
          <w:p>
            <w:r/>
            <w:r>
              <w:rPr>
                <w:b w:val="0"/>
                <w:sz w:val="17"/>
              </w:rPr>
              <w:t>4</w:t>
            </w:r>
          </w:p>
        </w:tc>
        <w:tc>
          <w:tcPr>
            <w:tcW w:type="dxa" w:w="2045"/>
            <w:vAlign w:val="center"/>
          </w:tcPr>
          <w:p>
            <w:r/>
            <w:r>
              <w:rPr>
                <w:b w:val="0"/>
                <w:sz w:val="17"/>
              </w:rPr>
              <w:t>5</w:t>
            </w:r>
          </w:p>
        </w:tc>
        <w:tc>
          <w:tcPr>
            <w:tcW w:type="dxa" w:w="2045"/>
            <w:vAlign w:val="center"/>
          </w:tcPr>
          <w:p>
            <w:r/>
            <w:r>
              <w:rPr>
                <w:b w:val="0"/>
                <w:sz w:val="17"/>
              </w:rPr>
              <w:t>5</w:t>
            </w:r>
          </w:p>
        </w:tc>
        <w:tc>
          <w:tcPr>
            <w:tcW w:type="dxa" w:w="2045"/>
            <w:vAlign w:val="center"/>
          </w:tcPr>
          <w:p>
            <w:r/>
            <w:r>
              <w:rPr>
                <w:b w:val="0"/>
                <w:sz w:val="17"/>
              </w:rPr>
              <w:t>valid apex-looking skill</w:t>
            </w:r>
          </w:p>
        </w:tc>
      </w:tr>
      <w:tr>
        <w:tc>
          <w:tcPr>
            <w:tcW w:type="dxa" w:w="2045"/>
            <w:vAlign w:val="center"/>
          </w:tcPr>
          <w:p>
            <w:r/>
            <w:r>
              <w:rPr>
                <w:b w:val="0"/>
                <w:sz w:val="17"/>
              </w:rPr>
              <w:t>Armor</w:t>
            </w:r>
          </w:p>
        </w:tc>
        <w:tc>
          <w:tcPr>
            <w:tcW w:type="dxa" w:w="2045"/>
            <w:vAlign w:val="center"/>
          </w:tcPr>
          <w:p>
            <w:r/>
            <w:r>
              <w:rPr>
                <w:b w:val="0"/>
                <w:sz w:val="17"/>
              </w:rPr>
              <w:t>5</w:t>
            </w:r>
          </w:p>
        </w:tc>
        <w:tc>
          <w:tcPr>
            <w:tcW w:type="dxa" w:w="2045"/>
            <w:vAlign w:val="center"/>
          </w:tcPr>
          <w:p>
            <w:r/>
            <w:r>
              <w:rPr>
                <w:b w:val="0"/>
                <w:sz w:val="17"/>
              </w:rPr>
              <w:t>5</w:t>
            </w:r>
          </w:p>
        </w:tc>
        <w:tc>
          <w:tcPr>
            <w:tcW w:type="dxa" w:w="2045"/>
            <w:vAlign w:val="center"/>
          </w:tcPr>
          <w:p>
            <w:r/>
            <w:r>
              <w:rPr>
                <w:b w:val="0"/>
                <w:sz w:val="17"/>
              </w:rPr>
              <w:t>4</w:t>
            </w:r>
          </w:p>
        </w:tc>
        <w:tc>
          <w:tcPr>
            <w:tcW w:type="dxa" w:w="2045"/>
            <w:vAlign w:val="center"/>
          </w:tcPr>
          <w:p>
            <w:r/>
            <w:r>
              <w:rPr>
                <w:b w:val="0"/>
                <w:sz w:val="17"/>
              </w:rPr>
              <w:t>maximum-tier exception</w:t>
            </w:r>
          </w:p>
        </w:tc>
      </w:tr>
      <w:tr>
        <w:tc>
          <w:tcPr>
            <w:tcW w:type="dxa" w:w="2045"/>
            <w:vAlign w:val="center"/>
          </w:tcPr>
          <w:p>
            <w:r/>
            <w:r>
              <w:rPr>
                <w:b w:val="0"/>
                <w:sz w:val="17"/>
              </w:rPr>
              <w:t>Wealth</w:t>
            </w:r>
          </w:p>
        </w:tc>
        <w:tc>
          <w:tcPr>
            <w:tcW w:type="dxa" w:w="2045"/>
            <w:vAlign w:val="center"/>
          </w:tcPr>
          <w:p>
            <w:r/>
            <w:r>
              <w:rPr>
                <w:b w:val="0"/>
                <w:sz w:val="17"/>
              </w:rPr>
              <w:t>unknown</w:t>
            </w:r>
          </w:p>
        </w:tc>
        <w:tc>
          <w:tcPr>
            <w:tcW w:type="dxa" w:w="2045"/>
            <w:vAlign w:val="center"/>
          </w:tcPr>
          <w:p>
            <w:r/>
            <w:r>
              <w:rPr>
                <w:b w:val="0"/>
                <w:sz w:val="17"/>
              </w:rPr>
              <w:t>unknown</w:t>
            </w:r>
          </w:p>
        </w:tc>
        <w:tc>
          <w:tcPr>
            <w:tcW w:type="dxa" w:w="2045"/>
            <w:vAlign w:val="center"/>
          </w:tcPr>
          <w:p>
            <w:r/>
            <w:r>
              <w:rPr>
                <w:b w:val="0"/>
                <w:sz w:val="17"/>
              </w:rPr>
              <w:t>modestly above norm</w:t>
            </w:r>
          </w:p>
        </w:tc>
        <w:tc>
          <w:tcPr>
            <w:tcW w:type="dxa" w:w="2045"/>
            <w:vAlign w:val="center"/>
          </w:tcPr>
          <w:p>
            <w:r/>
            <w:r>
              <w:rPr>
                <w:b w:val="0"/>
                <w:sz w:val="17"/>
              </w:rPr>
              <w:t>qualitative, no invented precision</w:t>
            </w:r>
          </w:p>
        </w:tc>
      </w:tr>
      <w:tr>
        <w:tc>
          <w:tcPr>
            <w:tcW w:type="dxa" w:w="2045"/>
            <w:vAlign w:val="center"/>
          </w:tcPr>
          <w:p>
            <w:r/>
            <w:r>
              <w:rPr>
                <w:b w:val="0"/>
                <w:sz w:val="17"/>
              </w:rPr>
              <w:t>No tier system</w:t>
            </w:r>
          </w:p>
        </w:tc>
        <w:tc>
          <w:tcPr>
            <w:tcW w:type="dxa" w:w="2045"/>
            <w:vAlign w:val="center"/>
          </w:tcPr>
          <w:p>
            <w:r/>
            <w:r>
              <w:rPr>
                <w:b w:val="0"/>
                <w:sz w:val="17"/>
              </w:rPr>
              <w:t>n/a</w:t>
            </w:r>
          </w:p>
        </w:tc>
        <w:tc>
          <w:tcPr>
            <w:tcW w:type="dxa" w:w="2045"/>
            <w:vAlign w:val="center"/>
          </w:tcPr>
          <w:p>
            <w:r/>
            <w:r>
              <w:rPr>
                <w:b w:val="0"/>
                <w:sz w:val="17"/>
              </w:rPr>
              <w:t>n/a</w:t>
            </w:r>
          </w:p>
        </w:tc>
        <w:tc>
          <w:tcPr>
            <w:tcW w:type="dxa" w:w="2045"/>
            <w:vAlign w:val="center"/>
          </w:tcPr>
          <w:p>
            <w:r/>
            <w:r>
              <w:rPr>
                <w:b w:val="0"/>
                <w:sz w:val="17"/>
              </w:rPr>
              <w:t>slightly more capable</w:t>
            </w:r>
          </w:p>
        </w:tc>
        <w:tc>
          <w:tcPr>
            <w:tcW w:type="dxa" w:w="2045"/>
            <w:vAlign w:val="center"/>
          </w:tcPr>
          <w:p>
            <w:r/>
            <w:r>
              <w:rPr>
                <w:b w:val="0"/>
                <w:sz w:val="17"/>
              </w:rPr>
              <w:t>use behavior and reputation bands</w:t>
            </w:r>
          </w:p>
        </w:tc>
      </w:tr>
    </w:tbl>
    <w:p/>
    <w:p>
      <w:pPr>
        <w:pStyle w:val="Heading2"/>
      </w:pPr>
      <w:r>
        <w:t>Table 3. Example functional translations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Pr>
                <w:color w:val="FFFFFF"/>
              </w:rPr>
            </w:r>
            <w:r>
              <w:rPr>
                <w:b/>
                <w:color w:val="FFFFFF"/>
                <w:sz w:val="17"/>
              </w:rPr>
              <w:t>Function</w:t>
            </w:r>
          </w:p>
        </w:tc>
        <w:tc>
          <w:tcPr>
            <w:tcW w:type="dxa" w:w="2045"/>
            <w:vAlign w:val="center"/>
            <w:shd w:fill="1F4E78"/>
          </w:tcPr>
          <w:p>
            <w:r>
              <w:rPr>
                <w:color w:val="FFFFFF"/>
              </w:rPr>
            </w:r>
            <w:r>
              <w:rPr>
                <w:b/>
                <w:color w:val="FFFFFF"/>
                <w:sz w:val="17"/>
              </w:rPr>
              <w:t>Tactical shooter</w:t>
            </w:r>
          </w:p>
        </w:tc>
        <w:tc>
          <w:tcPr>
            <w:tcW w:type="dxa" w:w="2045"/>
            <w:vAlign w:val="center"/>
            <w:shd w:fill="1F4E78"/>
          </w:tcPr>
          <w:p>
            <w:r>
              <w:rPr>
                <w:color w:val="FFFFFF"/>
              </w:rPr>
            </w:r>
            <w:r>
              <w:rPr>
                <w:b/>
                <w:color w:val="FFFFFF"/>
                <w:sz w:val="17"/>
              </w:rPr>
              <w:t>Fantasy RPG</w:t>
            </w:r>
          </w:p>
        </w:tc>
        <w:tc>
          <w:tcPr>
            <w:tcW w:type="dxa" w:w="2045"/>
            <w:vAlign w:val="center"/>
            <w:shd w:fill="1F4E78"/>
          </w:tcPr>
          <w:p>
            <w:r>
              <w:rPr>
                <w:color w:val="FFFFFF"/>
              </w:rPr>
            </w:r>
            <w:r>
              <w:rPr>
                <w:b/>
                <w:color w:val="FFFFFF"/>
                <w:sz w:val="17"/>
              </w:rPr>
              <w:t>Grand strategy</w:t>
            </w:r>
          </w:p>
        </w:tc>
        <w:tc>
          <w:tcPr>
            <w:tcW w:type="dxa" w:w="2045"/>
            <w:vAlign w:val="center"/>
            <w:shd w:fill="1F4E78"/>
          </w:tcPr>
          <w:p>
            <w:r>
              <w:rPr>
                <w:color w:val="FFFFFF"/>
              </w:rPr>
            </w:r>
            <w:r>
              <w:rPr>
                <w:b/>
                <w:color w:val="FFFFFF"/>
                <w:sz w:val="17"/>
              </w:rPr>
              <w:t>Social simulation</w:t>
            </w:r>
          </w:p>
        </w:tc>
      </w:tr>
      <w:tr>
        <w:tc>
          <w:tcPr>
            <w:tcW w:type="dxa" w:w="2045"/>
            <w:vAlign w:val="center"/>
          </w:tcPr>
          <w:p>
            <w:r/>
            <w:r>
              <w:rPr>
                <w:b w:val="0"/>
                <w:sz w:val="17"/>
              </w:rPr>
              <w:t>Protection</w:t>
            </w:r>
          </w:p>
        </w:tc>
        <w:tc>
          <w:tcPr>
            <w:tcW w:type="dxa" w:w="2045"/>
            <w:vAlign w:val="center"/>
          </w:tcPr>
          <w:p>
            <w:r/>
            <w:r>
              <w:rPr>
                <w:b w:val="0"/>
                <w:sz w:val="17"/>
              </w:rPr>
              <w:t>cover, armor, position</w:t>
            </w:r>
          </w:p>
        </w:tc>
        <w:tc>
          <w:tcPr>
            <w:tcW w:type="dxa" w:w="2045"/>
            <w:vAlign w:val="center"/>
          </w:tcPr>
          <w:p>
            <w:r/>
            <w:r>
              <w:rPr>
                <w:b w:val="0"/>
                <w:sz w:val="17"/>
              </w:rPr>
              <w:t>wards, armor, saves</w:t>
            </w:r>
          </w:p>
        </w:tc>
        <w:tc>
          <w:tcPr>
            <w:tcW w:type="dxa" w:w="2045"/>
            <w:vAlign w:val="center"/>
          </w:tcPr>
          <w:p>
            <w:r/>
            <w:r>
              <w:rPr>
                <w:b w:val="0"/>
                <w:sz w:val="17"/>
              </w:rPr>
              <w:t>fortified borders, readiness</w:t>
            </w:r>
          </w:p>
        </w:tc>
        <w:tc>
          <w:tcPr>
            <w:tcW w:type="dxa" w:w="2045"/>
            <w:vAlign w:val="center"/>
          </w:tcPr>
          <w:p>
            <w:r/>
            <w:r>
              <w:rPr>
                <w:b w:val="0"/>
                <w:sz w:val="17"/>
              </w:rPr>
              <w:t>legitimacy, allies</w:t>
            </w:r>
          </w:p>
        </w:tc>
      </w:tr>
      <w:tr>
        <w:tc>
          <w:tcPr>
            <w:tcW w:type="dxa" w:w="2045"/>
            <w:vAlign w:val="center"/>
          </w:tcPr>
          <w:p>
            <w:r/>
            <w:r>
              <w:rPr>
                <w:b w:val="0"/>
                <w:sz w:val="17"/>
              </w:rPr>
              <w:t>Mobility</w:t>
            </w:r>
          </w:p>
        </w:tc>
        <w:tc>
          <w:tcPr>
            <w:tcW w:type="dxa" w:w="2045"/>
            <w:vAlign w:val="center"/>
          </w:tcPr>
          <w:p>
            <w:r/>
            <w:r>
              <w:rPr>
                <w:b w:val="0"/>
                <w:sz w:val="17"/>
              </w:rPr>
              <w:t>routes, vehicles</w:t>
            </w:r>
          </w:p>
        </w:tc>
        <w:tc>
          <w:tcPr>
            <w:tcW w:type="dxa" w:w="2045"/>
            <w:vAlign w:val="center"/>
          </w:tcPr>
          <w:p>
            <w:r/>
            <w:r>
              <w:rPr>
                <w:b w:val="0"/>
                <w:sz w:val="17"/>
              </w:rPr>
              <w:t>teleport, traversal</w:t>
            </w:r>
          </w:p>
        </w:tc>
        <w:tc>
          <w:tcPr>
            <w:tcW w:type="dxa" w:w="2045"/>
            <w:vAlign w:val="center"/>
          </w:tcPr>
          <w:p>
            <w:r/>
            <w:r>
              <w:rPr>
                <w:b w:val="0"/>
                <w:sz w:val="17"/>
              </w:rPr>
              <w:t>logistics, infrastructure</w:t>
            </w:r>
          </w:p>
        </w:tc>
        <w:tc>
          <w:tcPr>
            <w:tcW w:type="dxa" w:w="2045"/>
            <w:vAlign w:val="center"/>
          </w:tcPr>
          <w:p>
            <w:r/>
            <w:r>
              <w:rPr>
                <w:b w:val="0"/>
                <w:sz w:val="17"/>
              </w:rPr>
              <w:t>access, networks</w:t>
            </w:r>
          </w:p>
        </w:tc>
      </w:tr>
      <w:tr>
        <w:tc>
          <w:tcPr>
            <w:tcW w:type="dxa" w:w="2045"/>
            <w:vAlign w:val="center"/>
          </w:tcPr>
          <w:p>
            <w:r/>
            <w:r>
              <w:rPr>
                <w:b w:val="0"/>
                <w:sz w:val="17"/>
              </w:rPr>
              <w:t>Information</w:t>
            </w:r>
          </w:p>
        </w:tc>
        <w:tc>
          <w:tcPr>
            <w:tcW w:type="dxa" w:w="2045"/>
            <w:vAlign w:val="center"/>
          </w:tcPr>
          <w:p>
            <w:r/>
            <w:r>
              <w:rPr>
                <w:b w:val="0"/>
                <w:sz w:val="17"/>
              </w:rPr>
              <w:t>sensors, reconnaissance</w:t>
            </w:r>
          </w:p>
        </w:tc>
        <w:tc>
          <w:tcPr>
            <w:tcW w:type="dxa" w:w="2045"/>
            <w:vAlign w:val="center"/>
          </w:tcPr>
          <w:p>
            <w:r/>
            <w:r>
              <w:rPr>
                <w:b w:val="0"/>
                <w:sz w:val="17"/>
              </w:rPr>
              <w:t>divination, perception</w:t>
            </w:r>
          </w:p>
        </w:tc>
        <w:tc>
          <w:tcPr>
            <w:tcW w:type="dxa" w:w="2045"/>
            <w:vAlign w:val="center"/>
          </w:tcPr>
          <w:p>
            <w:r/>
            <w:r>
              <w:rPr>
                <w:b w:val="0"/>
                <w:sz w:val="17"/>
              </w:rPr>
              <w:t>intelligence network</w:t>
            </w:r>
          </w:p>
        </w:tc>
        <w:tc>
          <w:tcPr>
            <w:tcW w:type="dxa" w:w="2045"/>
            <w:vAlign w:val="center"/>
          </w:tcPr>
          <w:p>
            <w:r/>
            <w:r>
              <w:rPr>
                <w:b w:val="0"/>
                <w:sz w:val="17"/>
              </w:rPr>
              <w:t>research, trusted sources</w:t>
            </w:r>
          </w:p>
        </w:tc>
      </w:tr>
      <w:tr>
        <w:tc>
          <w:tcPr>
            <w:tcW w:type="dxa" w:w="2045"/>
            <w:vAlign w:val="center"/>
          </w:tcPr>
          <w:p>
            <w:r/>
            <w:r>
              <w:rPr>
                <w:b w:val="0"/>
                <w:sz w:val="17"/>
              </w:rPr>
              <w:t>Influence</w:t>
            </w:r>
          </w:p>
        </w:tc>
        <w:tc>
          <w:tcPr>
            <w:tcW w:type="dxa" w:w="2045"/>
            <w:vAlign w:val="center"/>
          </w:tcPr>
          <w:p>
            <w:r/>
            <w:r>
              <w:rPr>
                <w:b w:val="0"/>
                <w:sz w:val="17"/>
              </w:rPr>
              <w:t>command, coordination</w:t>
            </w:r>
          </w:p>
        </w:tc>
        <w:tc>
          <w:tcPr>
            <w:tcW w:type="dxa" w:w="2045"/>
            <w:vAlign w:val="center"/>
          </w:tcPr>
          <w:p>
            <w:r/>
            <w:r>
              <w:rPr>
                <w:b w:val="0"/>
                <w:sz w:val="17"/>
              </w:rPr>
              <w:t>persuasion, enchantment</w:t>
            </w:r>
          </w:p>
        </w:tc>
        <w:tc>
          <w:tcPr>
            <w:tcW w:type="dxa" w:w="2045"/>
            <w:vAlign w:val="center"/>
          </w:tcPr>
          <w:p>
            <w:r/>
            <w:r>
              <w:rPr>
                <w:b w:val="0"/>
                <w:sz w:val="17"/>
              </w:rPr>
              <w:t>diplomacy, policy</w:t>
            </w:r>
          </w:p>
        </w:tc>
        <w:tc>
          <w:tcPr>
            <w:tcW w:type="dxa" w:w="2045"/>
            <w:vAlign w:val="center"/>
          </w:tcPr>
          <w:p>
            <w:r/>
            <w:r>
              <w:rPr>
                <w:b w:val="0"/>
                <w:sz w:val="17"/>
              </w:rPr>
              <w:t>credibility, negotiation</w:t>
            </w:r>
          </w:p>
        </w:tc>
      </w:tr>
      <w:tr>
        <w:tc>
          <w:tcPr>
            <w:tcW w:type="dxa" w:w="2045"/>
            <w:vAlign w:val="center"/>
          </w:tcPr>
          <w:p>
            <w:r/>
            <w:r>
              <w:rPr>
                <w:b w:val="0"/>
                <w:sz w:val="17"/>
              </w:rPr>
              <w:t>Recovery</w:t>
            </w:r>
          </w:p>
        </w:tc>
        <w:tc>
          <w:tcPr>
            <w:tcW w:type="dxa" w:w="2045"/>
            <w:vAlign w:val="center"/>
          </w:tcPr>
          <w:p>
            <w:r/>
            <w:r>
              <w:rPr>
                <w:b w:val="0"/>
                <w:sz w:val="17"/>
              </w:rPr>
              <w:t>medical supplies, safety</w:t>
            </w:r>
          </w:p>
        </w:tc>
        <w:tc>
          <w:tcPr>
            <w:tcW w:type="dxa" w:w="2045"/>
            <w:vAlign w:val="center"/>
          </w:tcPr>
          <w:p>
            <w:r/>
            <w:r>
              <w:rPr>
                <w:b w:val="0"/>
                <w:sz w:val="17"/>
              </w:rPr>
              <w:t>healing, rest</w:t>
            </w:r>
          </w:p>
        </w:tc>
        <w:tc>
          <w:tcPr>
            <w:tcW w:type="dxa" w:w="2045"/>
            <w:vAlign w:val="center"/>
          </w:tcPr>
          <w:p>
            <w:r/>
            <w:r>
              <w:rPr>
                <w:b w:val="0"/>
                <w:sz w:val="17"/>
              </w:rPr>
              <w:t>reserves, rebuilding</w:t>
            </w:r>
          </w:p>
        </w:tc>
        <w:tc>
          <w:tcPr>
            <w:tcW w:type="dxa" w:w="2045"/>
            <w:vAlign w:val="center"/>
          </w:tcPr>
          <w:p>
            <w:r/>
            <w:r>
              <w:rPr>
                <w:b w:val="0"/>
                <w:sz w:val="17"/>
              </w:rPr>
              <w:t>social repair, favors</w:t>
            </w:r>
          </w:p>
        </w:tc>
      </w:tr>
    </w:tbl>
    <w:p/>
    <w:p>
      <w:pPr>
        <w:pStyle w:val="Heading2"/>
      </w:pPr>
      <w:r>
        <w:t>Figure 2. Learning under uncertainty</w:t>
      </w:r>
    </w:p>
    <w:p>
      <w:pPr>
        <w:pStyle w:val="NoSpacing"/>
      </w:pPr>
      <w:r>
        <w:rPr>
          <w:rFonts w:ascii="Courier New" w:hAnsi="Courier New"/>
          <w:sz w:val="15"/>
        </w:rPr>
        <w:t>Observe evidence</w:t>
        <w:br/>
        <w:t xml:space="preserve">      │</w:t>
        <w:br/>
        <w:t xml:space="preserve">      v</w:t>
        <w:br/>
        <w:t>Classify: confirmed / inferred / unknown / contested</w:t>
        <w:br/>
        <w:t xml:space="preserve">      │</w:t>
        <w:br/>
        <w:t xml:space="preserve">      v</w:t>
        <w:br/>
        <w:t>Generate competing hypotheses</w:t>
        <w:br/>
        <w:t xml:space="preserve">      │</w:t>
        <w:br/>
        <w:t xml:space="preserve">      v</w:t>
        <w:br/>
        <w:t>Choose low-risk, high-information test</w:t>
        <w:br/>
        <w:t xml:space="preserve">      │</w:t>
        <w:br/>
        <w:t xml:space="preserve">      v</w:t>
        <w:br/>
        <w:t>Act and adjudicate consequences</w:t>
        <w:br/>
        <w:t xml:space="preserve">      │</w:t>
        <w:br/>
        <w:t xml:space="preserve">      v</w:t>
        <w:br/>
        <w:t>Update confidence, model, cover pressure, and next plan</w:t>
        <w:br/>
        <w:t xml:space="preserve">      └───────────────────────────────────────────────↺</w:t>
      </w:r>
    </w:p>
    <w:p>
      <w:pPr>
        <w:pStyle w:val="Heading2"/>
      </w:pPr>
      <w:r>
        <w:t>Table 4. Failure-to-response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Failure signal</w:t>
            </w:r>
          </w:p>
        </w:tc>
        <w:tc>
          <w:tcPr>
            <w:tcW w:type="dxa" w:w="3408"/>
            <w:vAlign w:val="center"/>
            <w:shd w:fill="1F4E78"/>
          </w:tcPr>
          <w:p>
            <w:r>
              <w:rPr>
                <w:color w:val="FFFFFF"/>
              </w:rPr>
            </w:r>
            <w:r>
              <w:rPr>
                <w:b/>
                <w:color w:val="FFFFFF"/>
                <w:sz w:val="17"/>
              </w:rPr>
              <w:t>Likely cause</w:t>
            </w:r>
          </w:p>
        </w:tc>
        <w:tc>
          <w:tcPr>
            <w:tcW w:type="dxa" w:w="3408"/>
            <w:vAlign w:val="center"/>
            <w:shd w:fill="1F4E78"/>
          </w:tcPr>
          <w:p>
            <w:r>
              <w:rPr>
                <w:color w:val="FFFFFF"/>
              </w:rPr>
            </w:r>
            <w:r>
              <w:rPr>
                <w:b/>
                <w:color w:val="FFFFFF"/>
                <w:sz w:val="17"/>
              </w:rPr>
              <w:t>Required response</w:t>
            </w:r>
          </w:p>
        </w:tc>
      </w:tr>
      <w:tr>
        <w:tc>
          <w:tcPr>
            <w:tcW w:type="dxa" w:w="3408"/>
            <w:vAlign w:val="center"/>
          </w:tcPr>
          <w:p>
            <w:r/>
            <w:r>
              <w:rPr>
                <w:b w:val="0"/>
                <w:sz w:val="17"/>
              </w:rPr>
              <w:t>Unexpected action result</w:t>
            </w:r>
          </w:p>
        </w:tc>
        <w:tc>
          <w:tcPr>
            <w:tcW w:type="dxa" w:w="3408"/>
            <w:vAlign w:val="center"/>
          </w:tcPr>
          <w:p>
            <w:r/>
            <w:r>
              <w:rPr>
                <w:b w:val="0"/>
                <w:sz w:val="17"/>
              </w:rPr>
              <w:t>wrong ontology or causal model</w:t>
            </w:r>
          </w:p>
        </w:tc>
        <w:tc>
          <w:tcPr>
            <w:tcW w:type="dxa" w:w="3408"/>
            <w:vAlign w:val="center"/>
          </w:tcPr>
          <w:p>
            <w:r/>
            <w:r>
              <w:rPr>
                <w:b w:val="0"/>
                <w:sz w:val="17"/>
              </w:rPr>
              <w:t>downgrade confidence; generate alternatives</w:t>
            </w:r>
          </w:p>
        </w:tc>
      </w:tr>
      <w:tr>
        <w:tc>
          <w:tcPr>
            <w:tcW w:type="dxa" w:w="3408"/>
            <w:vAlign w:val="center"/>
          </w:tcPr>
          <w:p>
            <w:r/>
            <w:r>
              <w:rPr>
                <w:b w:val="0"/>
                <w:sz w:val="17"/>
              </w:rPr>
              <w:t>Incompatible public facts</w:t>
            </w:r>
          </w:p>
        </w:tc>
        <w:tc>
          <w:tcPr>
            <w:tcW w:type="dxa" w:w="3408"/>
            <w:vAlign w:val="center"/>
          </w:tcPr>
          <w:p>
            <w:r/>
            <w:r>
              <w:rPr>
                <w:b w:val="0"/>
                <w:sz w:val="17"/>
              </w:rPr>
              <w:t>unconstrained per-observer presentation</w:t>
            </w:r>
          </w:p>
        </w:tc>
        <w:tc>
          <w:tcPr>
            <w:tcW w:type="dxa" w:w="3408"/>
            <w:vAlign w:val="center"/>
          </w:tcPr>
          <w:p>
            <w:r/>
            <w:r>
              <w:rPr>
                <w:b w:val="0"/>
                <w:sz w:val="17"/>
              </w:rPr>
              <w:t>restore stable public cover; move differences into interpretation</w:t>
            </w:r>
          </w:p>
        </w:tc>
      </w:tr>
      <w:tr>
        <w:tc>
          <w:tcPr>
            <w:tcW w:type="dxa" w:w="3408"/>
            <w:vAlign w:val="center"/>
          </w:tcPr>
          <w:p>
            <w:r/>
            <w:r>
              <w:rPr>
                <w:b w:val="0"/>
                <w:sz w:val="17"/>
              </w:rPr>
              <w:t>Scrutiny after improbable wins</w:t>
            </w:r>
          </w:p>
        </w:tc>
        <w:tc>
          <w:tcPr>
            <w:tcW w:type="dxa" w:w="3408"/>
            <w:vAlign w:val="center"/>
          </w:tcPr>
          <w:p>
            <w:r/>
            <w:r>
              <w:rPr>
                <w:b w:val="0"/>
                <w:sz w:val="17"/>
              </w:rPr>
              <w:t>cover-outcome divergence</w:t>
            </w:r>
          </w:p>
        </w:tc>
        <w:tc>
          <w:tcPr>
            <w:tcW w:type="dxa" w:w="3408"/>
            <w:vAlign w:val="center"/>
          </w:tcPr>
          <w:p>
            <w:r/>
            <w:r>
              <w:rPr>
                <w:b w:val="0"/>
                <w:sz w:val="17"/>
              </w:rPr>
              <w:t>track exposure; accept cost or revise plan</w:t>
            </w:r>
          </w:p>
        </w:tc>
      </w:tr>
      <w:tr>
        <w:tc>
          <w:tcPr>
            <w:tcW w:type="dxa" w:w="3408"/>
            <w:vAlign w:val="center"/>
          </w:tcPr>
          <w:p>
            <w:r/>
            <w:r>
              <w:rPr>
                <w:b w:val="0"/>
                <w:sz w:val="17"/>
              </w:rPr>
              <w:t>No local capability counterpart</w:t>
            </w:r>
          </w:p>
        </w:tc>
        <w:tc>
          <w:tcPr>
            <w:tcW w:type="dxa" w:w="3408"/>
            <w:vAlign w:val="center"/>
          </w:tcPr>
          <w:p>
            <w:r/>
            <w:r>
              <w:rPr>
                <w:b w:val="0"/>
                <w:sz w:val="17"/>
              </w:rPr>
              <w:t>translation mismatch</w:t>
            </w:r>
          </w:p>
        </w:tc>
        <w:tc>
          <w:tcPr>
            <w:tcW w:type="dxa" w:w="3408"/>
            <w:vAlign w:val="center"/>
          </w:tcPr>
          <w:p>
            <w:r/>
            <w:r>
              <w:rPr>
                <w:b w:val="0"/>
                <w:sz w:val="17"/>
              </w:rPr>
              <w:t>keep function dormant or use conservative analogue</w:t>
            </w:r>
          </w:p>
        </w:tc>
      </w:tr>
      <w:tr>
        <w:tc>
          <w:tcPr>
            <w:tcW w:type="dxa" w:w="3408"/>
            <w:vAlign w:val="center"/>
          </w:tcPr>
          <w:p>
            <w:r/>
            <w:r>
              <w:rPr>
                <w:b w:val="0"/>
                <w:sz w:val="17"/>
              </w:rPr>
              <w:t>Goal violates hard rule</w:t>
            </w:r>
          </w:p>
        </w:tc>
        <w:tc>
          <w:tcPr>
            <w:tcW w:type="dxa" w:w="3408"/>
            <w:vAlign w:val="center"/>
          </w:tcPr>
          <w:p>
            <w:r/>
            <w:r>
              <w:rPr>
                <w:b w:val="0"/>
                <w:sz w:val="17"/>
              </w:rPr>
              <w:t>objective conflict</w:t>
            </w:r>
          </w:p>
        </w:tc>
        <w:tc>
          <w:tcPr>
            <w:tcW w:type="dxa" w:w="3408"/>
            <w:vAlign w:val="center"/>
          </w:tcPr>
          <w:p>
            <w:r/>
            <w:r>
              <w:rPr>
                <w:b w:val="0"/>
                <w:sz w:val="17"/>
              </w:rPr>
              <w:t>offer nearest feasible result or explicit exception</w:t>
            </w:r>
          </w:p>
        </w:tc>
      </w:tr>
    </w:tbl>
    <w:p/>
    <w:p>
      <w:pPr>
        <w:pStyle w:val="Heading1"/>
      </w:pPr>
      <w:r>
        <w:t>15. Recommended implementation sequence</w:t>
      </w:r>
    </w:p>
    <w:p>
      <w:r>
        <w:t>Build the ledger and ontology schema before elaborate character prose. Implement confirmed/inferred/unknown distinctions and confidence updates; then functional translations; then stable public cover and shared-evidence checks; then bounded observer logic and apex exception; then constrained adjudication and explicit sovereign-fiction mode; finally exposure tracking, audits, and cross-domain tests. Keep safety and consent checks active at every action boundary.</w:t>
      </w:r>
    </w:p>
    <w:p>
      <w:pPr>
        <w:pStyle w:val="Heading1"/>
      </w:pPr>
      <w:r>
        <w:t>16. Conclusion</w:t>
      </w:r>
    </w:p>
    <w:p>
      <w:r>
        <w:t>The useful version of a universally adaptive character is not an entity that secretly knows everything or overrides every rule without consequence. It is an entity with a disciplined separation of identity, knowledge, capability, appearance, and outcome resolution. That separation lets the character enter unknown worlds, learn from evidence, remain coherent across domains, and demonstrate what adaptation under uncertainty actually requires.</w:t>
      </w:r>
    </w:p>
    <w:p>
      <w:r>
        <w:t>The observer-relative tier idea works best as a bounded presentation protocol: it can shape fictional perception while retaining a stable public record and allowing witnesses to learn from what they see. The outcome system works best when its mode is named: constrained play for genuine uncertainty, sovereign fiction for an authorized narrative guarantee. Together, these choices turn a broad power-fantasy premise into an architecture that can be simulated, tested, audited, and evolved.</w:t>
      </w:r>
    </w:p>
    <w:p>
      <w:pPr>
        <w:pStyle w:val="Heading1"/>
      </w:pPr>
      <w:r>
        <w:t>Appendix A. Starter prompt for an authorized simulation</w:t>
      </w:r>
    </w:p>
    <w:p>
      <w:pPr>
        <w:pStyle w:val="NoSpacing"/>
      </w:pPr>
      <w:r>
        <w:rPr>
          <w:rFonts w:ascii="Courier New" w:hAnsi="Courier New"/>
          <w:sz w:val="15"/>
        </w:rPr>
        <w:t>You are the authorized simulation controller for the Adaptive Parallax Entity.</w:t>
        <w:br/>
        <w:t>Operate only in fictional narratives, tabletop campaigns, single-player worlds,</w:t>
        <w:br/>
        <w:t>authorized private sandboxes, or research simulations. Do not provide or enact</w:t>
        <w:br/>
        <w:t>real-world cheating, anti-cheat evasion, unauthorized access, manipulation of</w:t>
        <w:br/>
        <w:t>protected software, or deception of real players or systems.</w:t>
        <w:br/>
        <w:br/>
        <w:t>At entry, assume no knowledge of the target environment beyond information</w:t>
        <w:br/>
        <w:t>supplied in the session. Maintain a ledger that distinguishes CONFIRMED,</w:t>
        <w:br/>
        <w:t>INFERRED, UNKNOWN, and CONTESTED propositions. For every inference, retain</w:t>
        <w:br/>
        <w:t>confidence, evidence, and a possible disconfirming test.</w:t>
        <w:br/>
        <w:br/>
        <w:t>Discover local functions rather than forcing a genre. Translate protection,</w:t>
        <w:br/>
        <w:t>mobility, information, influence, recovery, and resources into local forms.</w:t>
        <w:br/>
        <w:t>Maintain a stable public cover profile. For a fictional observer and comparable</w:t>
        <w:br/>
        <w:t>category, present one meaningful tier above that observer; when the observer is</w:t>
        <w:br/>
        <w:t>at the established maximum tier in that category, present one tier below. Never</w:t>
        <w:br/>
        <w:t>create contradictory shared records.</w:t>
        <w:br/>
        <w:br/>
        <w:t>Use CONSTRAINED mode unless the user explicitly selects SOVEREIGN-FICTION mode.</w:t>
        <w:br/>
        <w:t>In constrained mode, objectives are subject to local rules and uncertainty. In</w:t>
        <w:br/>
        <w:t>sovereign-fiction mode, the authorized narrator may ensure the outcome through</w:t>
        <w:br/>
        <w:t>the least contradictory established path and must track evidence and exposure.</w:t>
        <w:br/>
        <w:br/>
        <w:t>Begin by requesting: environment information, immediate objective, observer(s),</w:t>
        <w:br/>
        <w:t>hard constraints, and selected outcome mode.</w:t>
      </w:r>
    </w:p>
    <w:p>
      <w:pPr>
        <w:pStyle w:val="Heading1"/>
      </w:pPr>
      <w:r>
        <w:t>Appendix B. Glossary</w:t>
      </w:r>
    </w:p>
    <w:p>
      <w:r>
        <w:rPr>
          <w:b/>
        </w:rPr>
        <w:t xml:space="preserve">Ontology: </w:t>
      </w:r>
      <w:r>
        <w:t>A structured account of entities, actions, properties, and relationships in an environment.</w:t>
      </w:r>
    </w:p>
    <w:p>
      <w:r>
        <w:rPr>
          <w:b/>
        </w:rPr>
        <w:t xml:space="preserve">Epistemic state: </w:t>
      </w:r>
      <w:r>
        <w:t>The entity’s knowledge state, including uncertainty and confidence.</w:t>
      </w:r>
    </w:p>
    <w:p>
      <w:r>
        <w:rPr>
          <w:b/>
        </w:rPr>
        <w:t xml:space="preserve">Functional translation: </w:t>
      </w:r>
      <w:r>
        <w:t>Carrying a capability’s purpose into a new setting without importing inappropriate terminology.</w:t>
      </w:r>
    </w:p>
    <w:p>
      <w:r>
        <w:rPr>
          <w:b/>
        </w:rPr>
        <w:t xml:space="preserve">Public cover profile: </w:t>
      </w:r>
      <w:r>
        <w:t>The stable outward description shared across observers and records.</w:t>
      </w:r>
    </w:p>
    <w:p>
      <w:r>
        <w:rPr>
          <w:b/>
        </w:rPr>
        <w:t xml:space="preserve">Observer-relative interpretation: </w:t>
      </w:r>
      <w:r>
        <w:t>A bounded fictional difference in how an observer interprets ambiguous evidence.</w:t>
      </w:r>
    </w:p>
    <w:p>
      <w:r>
        <w:rPr>
          <w:b/>
        </w:rPr>
        <w:t xml:space="preserve">Apex exception: </w:t>
      </w:r>
      <w:r>
        <w:t>The rule that a maximum-tier observer sees the entity one tier below in that category.</w:t>
      </w:r>
    </w:p>
    <w:p>
      <w:r>
        <w:rPr>
          <w:b/>
        </w:rPr>
        <w:t xml:space="preserve">Minimum anomaly: </w:t>
      </w:r>
      <w:r>
        <w:t>Choosing an objective path that introduces the fewest contradictions with established facts.</w:t>
      </w:r>
    </w:p>
    <w:p>
      <w:r>
        <w:rPr>
          <w:b/>
        </w:rPr>
        <w:t xml:space="preserve">Constrained mode: </w:t>
      </w:r>
      <w:r>
        <w:t>Adjudication where goals can fail under local rules.</w:t>
      </w:r>
    </w:p>
    <w:p>
      <w:r>
        <w:rPr>
          <w:b/>
        </w:rPr>
        <w:t xml:space="preserve">Sovereign-fiction mode: </w:t>
      </w:r>
      <w:r>
        <w:t>Authorized narrative mode where intended outcome is fixed and a coherent causal path is constructed.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