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b/>
          <w:bCs/>
          <w:color w:val="808080"/>
          <w:sz w:val="24"/>
          <w:szCs w:val="24"/>
        </w:rPr>
        <w:t xml:space="preserve">OMNIVERSAL ARCHITECT LABS</w:t>
      </w:r>
    </w:p>
    <w:p>
      <w:pPr>
        <w:spacing w:after="600"/>
        <w:jc w:val="center"/>
      </w:pPr>
      <w:r>
        <w:rPr>
          <w:i/>
          <w:iCs/>
          <w:color w:val="808080"/>
          <w:sz w:val="20"/>
          <w:szCs w:val="20"/>
        </w:rPr>
        <w:t xml:space="preserve">Multi-AI Simulation Lab Program</w:t>
      </w:r>
    </w:p>
    <w:p>
      <w:pPr>
        <w:spacing w:after="120"/>
        <w:jc w:val="center"/>
      </w:pPr>
      <w:r>
        <w:rPr>
          <w:b/>
          <w:bCs/>
          <w:color w:val="1F3864"/>
          <w:sz w:val="44"/>
          <w:szCs w:val="44"/>
        </w:rPr>
        <w:t xml:space="preserve">TRIDACTYL MANIPULATION SYSTEMS</w:t>
      </w:r>
    </w:p>
    <w:p>
      <w:pPr>
        <w:spacing w:after="40"/>
        <w:jc w:val="center"/>
      </w:pPr>
      <w:r>
        <w:rPr>
          <w:b/>
          <w:bCs/>
          <w:color w:val="2E5395"/>
          <w:sz w:val="28"/>
          <w:szCs w:val="28"/>
        </w:rPr>
        <w:t xml:space="preserve">A Comparative Evolutionary-Biomechanics Simulation Lab</w:t>
      </w:r>
    </w:p>
    <w:p>
      <w:pPr>
        <w:spacing w:after="700"/>
        <w:jc w:val="center"/>
      </w:pPr>
      <w:r>
        <w:rPr>
          <w:color w:val="2E5395"/>
          <w:sz w:val="28"/>
          <w:szCs w:val="28"/>
        </w:rPr>
        <w:t xml:space="preserve">Research Design Framework</w:t>
      </w:r>
    </w:p>
    <w:p>
      <w:pPr>
        <w:spacing w:after="800"/>
        <w:jc w:val="center"/>
      </w:pPr>
      <w:r>
        <w:rPr>
          <w:i/>
          <w:iCs/>
          <w:sz w:val="20"/>
          <w:szCs w:val="20"/>
        </w:rPr>
        <w:t xml:space="preserve">Claude Independent Design Track — Claim Provenance and Drift Lab (CPDL) lineage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shd w:fill="1F3864" w:val="clear"/>
            <w:tcMar>
              <w:top w:type="dxa" w:w="80"/>
              <w:left w:type="dxa" w:w="100"/>
              <w:bottom w:type="dxa" w:w="80"/>
              <w:right w:type="dxa" w:w="100"/>
            </w:tcMar>
          </w:tcPr>
          <w:p>
            <w:r>
              <w:rPr>
                <w:b/>
                <w:bCs/>
                <w:color w:val="FFFFFF"/>
                <w:sz w:val="20"/>
                <w:szCs w:val="20"/>
              </w:rPr>
              <w:t xml:space="preserve">Document ID</w:t>
            </w:r>
          </w:p>
        </w:tc>
        <w:tc>
          <w:tcPr>
            <w:tcW w:type="dxa" w:w="4000"/>
            <w:tcMar>
              <w:top w:type="dxa" w:w="80"/>
              <w:left w:type="dxa" w:w="100"/>
              <w:bottom w:type="dxa" w:w="80"/>
              <w:right w:type="dxa" w:w="100"/>
            </w:tcMar>
          </w:tcPr>
          <w:p>
            <w:r>
              <w:rPr>
                <w:b w:val="false"/>
                <w:bCs w:val="false"/>
                <w:sz w:val="20"/>
                <w:szCs w:val="20"/>
              </w:rPr>
              <w:t xml:space="preserve">OAL-SIMLAB-TDS-C-001</w:t>
            </w:r>
          </w:p>
        </w:tc>
      </w:tr>
      <w:tr>
        <w:tc>
          <w:tcPr>
            <w:tcW w:type="dxa" w:w="3000"/>
            <w:shd w:fill="1F3864" w:val="clear"/>
            <w:tcMar>
              <w:top w:type="dxa" w:w="80"/>
              <w:left w:type="dxa" w:w="100"/>
              <w:bottom w:type="dxa" w:w="80"/>
              <w:right w:type="dxa" w:w="100"/>
            </w:tcMar>
          </w:tcPr>
          <w:p>
            <w:r>
              <w:rPr>
                <w:b/>
                <w:bCs/>
                <w:color w:val="FFFFFF"/>
                <w:sz w:val="20"/>
                <w:szCs w:val="20"/>
              </w:rPr>
              <w:t xml:space="preserve">Version</w:t>
            </w:r>
          </w:p>
        </w:tc>
        <w:tc>
          <w:tcPr>
            <w:tcW w:type="dxa" w:w="4000"/>
            <w:tcMar>
              <w:top w:type="dxa" w:w="80"/>
              <w:left w:type="dxa" w:w="100"/>
              <w:bottom w:type="dxa" w:w="80"/>
              <w:right w:type="dxa" w:w="100"/>
            </w:tcMar>
          </w:tcPr>
          <w:p>
            <w:r>
              <w:rPr>
                <w:b w:val="false"/>
                <w:bCs w:val="false"/>
                <w:sz w:val="20"/>
                <w:szCs w:val="20"/>
              </w:rPr>
              <w:t xml:space="preserve">v0.1 (Initial Draft)</w:t>
            </w:r>
          </w:p>
        </w:tc>
      </w:tr>
      <w:tr>
        <w:tc>
          <w:tcPr>
            <w:tcW w:type="dxa" w:w="3000"/>
            <w:shd w:fill="1F3864" w:val="clear"/>
            <w:tcMar>
              <w:top w:type="dxa" w:w="80"/>
              <w:left w:type="dxa" w:w="100"/>
              <w:bottom w:type="dxa" w:w="80"/>
              <w:right w:type="dxa" w:w="100"/>
            </w:tcMar>
          </w:tcPr>
          <w:p>
            <w:r>
              <w:rPr>
                <w:b/>
                <w:bCs/>
                <w:color w:val="FFFFFF"/>
                <w:sz w:val="20"/>
                <w:szCs w:val="20"/>
              </w:rPr>
              <w:t xml:space="preserve">Date</w:t>
            </w:r>
          </w:p>
        </w:tc>
        <w:tc>
          <w:tcPr>
            <w:tcW w:type="dxa" w:w="4000"/>
            <w:tcMar>
              <w:top w:type="dxa" w:w="80"/>
              <w:left w:type="dxa" w:w="100"/>
              <w:bottom w:type="dxa" w:w="80"/>
              <w:right w:type="dxa" w:w="100"/>
            </w:tcMar>
          </w:tcPr>
          <w:p>
            <w:r>
              <w:rPr>
                <w:b w:val="false"/>
                <w:bCs w:val="false"/>
                <w:sz w:val="20"/>
                <w:szCs w:val="20"/>
              </w:rPr>
              <w:t xml:space="preserve">September 21, 2026</w:t>
            </w:r>
          </w:p>
        </w:tc>
      </w:tr>
      <w:tr>
        <w:tc>
          <w:tcPr>
            <w:tcW w:type="dxa" w:w="3000"/>
            <w:shd w:fill="1F3864" w:val="clear"/>
            <w:tcMar>
              <w:top w:type="dxa" w:w="80"/>
              <w:left w:type="dxa" w:w="100"/>
              <w:bottom w:type="dxa" w:w="80"/>
              <w:right w:type="dxa" w:w="100"/>
            </w:tcMar>
          </w:tcPr>
          <w:p>
            <w:r>
              <w:rPr>
                <w:b/>
                <w:bCs/>
                <w:color w:val="FFFFFF"/>
                <w:sz w:val="20"/>
                <w:szCs w:val="20"/>
              </w:rPr>
              <w:t xml:space="preserve">Prepared By</w:t>
            </w:r>
          </w:p>
        </w:tc>
        <w:tc>
          <w:tcPr>
            <w:tcW w:type="dxa" w:w="4000"/>
            <w:tcMar>
              <w:top w:type="dxa" w:w="80"/>
              <w:left w:type="dxa" w:w="100"/>
              <w:bottom w:type="dxa" w:w="80"/>
              <w:right w:type="dxa" w:w="100"/>
            </w:tcMar>
          </w:tcPr>
          <w:p>
            <w:r>
              <w:rPr>
                <w:b w:val="false"/>
                <w:bCs w:val="false"/>
                <w:sz w:val="20"/>
                <w:szCs w:val="20"/>
              </w:rPr>
              <w:t xml:space="preserve">Claude (Anthropic)</w:t>
            </w:r>
          </w:p>
        </w:tc>
      </w:tr>
      <w:tr>
        <w:tc>
          <w:tcPr>
            <w:tcW w:type="dxa" w:w="3000"/>
            <w:shd w:fill="1F3864" w:val="clear"/>
            <w:tcMar>
              <w:top w:type="dxa" w:w="80"/>
              <w:left w:type="dxa" w:w="100"/>
              <w:bottom w:type="dxa" w:w="80"/>
              <w:right w:type="dxa" w:w="100"/>
            </w:tcMar>
          </w:tcPr>
          <w:p>
            <w:r>
              <w:rPr>
                <w:b/>
                <w:bCs/>
                <w:color w:val="FFFFFF"/>
                <w:sz w:val="20"/>
                <w:szCs w:val="20"/>
              </w:rPr>
              <w:t xml:space="preserve">Requested By</w:t>
            </w:r>
          </w:p>
        </w:tc>
        <w:tc>
          <w:tcPr>
            <w:tcW w:type="dxa" w:w="4000"/>
            <w:tcMar>
              <w:top w:type="dxa" w:w="80"/>
              <w:left w:type="dxa" w:w="100"/>
              <w:bottom w:type="dxa" w:w="80"/>
              <w:right w:type="dxa" w:w="100"/>
            </w:tcMar>
          </w:tcPr>
          <w:p>
            <w:r>
              <w:rPr>
                <w:b w:val="false"/>
                <w:bCs w:val="false"/>
                <w:sz w:val="20"/>
                <w:szCs w:val="20"/>
              </w:rPr>
              <w:t xml:space="preserve">Nathan Lewis II, Architect of Record, OAL</w:t>
            </w:r>
          </w:p>
        </w:tc>
      </w:tr>
      <w:tr>
        <w:tc>
          <w:tcPr>
            <w:tcW w:type="dxa" w:w="3000"/>
            <w:shd w:fill="1F3864" w:val="clear"/>
            <w:tcMar>
              <w:top w:type="dxa" w:w="80"/>
              <w:left w:type="dxa" w:w="100"/>
              <w:bottom w:type="dxa" w:w="80"/>
              <w:right w:type="dxa" w:w="100"/>
            </w:tcMar>
          </w:tcPr>
          <w:p>
            <w:r>
              <w:rPr>
                <w:b/>
                <w:bCs/>
                <w:color w:val="FFFFFF"/>
                <w:sz w:val="20"/>
                <w:szCs w:val="20"/>
              </w:rPr>
              <w:t xml:space="preserve">Companion Records</w:t>
            </w:r>
          </w:p>
        </w:tc>
        <w:tc>
          <w:tcPr>
            <w:tcW w:type="dxa" w:w="4000"/>
            <w:tcMar>
              <w:top w:type="dxa" w:w="80"/>
              <w:left w:type="dxa" w:w="100"/>
              <w:bottom w:type="dxa" w:w="80"/>
              <w:right w:type="dxa" w:w="100"/>
            </w:tcMar>
          </w:tcPr>
          <w:p>
            <w:r>
              <w:rPr>
                <w:b w:val="false"/>
                <w:bCs w:val="false"/>
                <w:sz w:val="20"/>
                <w:szCs w:val="20"/>
              </w:rPr>
              <w:t xml:space="preserve">Independent parallel drafts from ChatGPT, Grok, Perplexity, Gemini, and Copilot (see §0 note)</w:t>
            </w:r>
          </w:p>
        </w:tc>
      </w:tr>
    </w:tbl>
    <w:p>
      <w:r>
        <w:br w:type="page"/>
      </w:r>
    </w:p>
    <w:p>
      <w:pPr>
        <w:pStyle w:val="Heading1"/>
        <w:spacing w:after="160" w:before="360"/>
      </w:pPr>
      <w:r>
        <w:t xml:space="preserve">0. Framing Note</w:t>
      </w:r>
    </w:p>
    <w:p>
      <w:pPr>
        <w:spacing w:after="160"/>
      </w:pPr>
      <w:r>
        <w:t xml:space="preserve">This document treats the tridactyl-dexterity hypothesis as a live research question worth a formal simulation-lab design, consistent with the standing OAL principle that simulation labs are a legitimate tool for working out a given environment's underlying laws, rules, and mechanics — not a default target for skepticism. Nathan requested that each AI in the multi-AI working group render an independent version of this framework rather than converge on a single shared draft. This draft is built from Claude's established lane in that working group: documentation, claim provenance, and drift-tracking (the Claim Provenance and Drift Lab, CPDL), applied here to a biomechanics/evolution question rather than a governance question.</w:t>
      </w:r>
    </w:p>
    <w:p>
      <w:pPr>
        <w:spacing w:after="160"/>
      </w:pPr>
      <w:r>
        <w:t xml:space="preserve">Concretely, that means this version differs from the parallel drafts in one structural way: before laying out the simulation architecture, it separates every substantive claim circulating in the five-AI discussion into an evidentiary-status ledger (§2). The simulation lab itself (§4–§5) is then built to specifically test the claims that ledger marks as speculative or untested, rather than re-deriving the claims already marked established.</w:t>
      </w:r>
    </w:p>
    <w:p>
      <w:pPr>
        <w:pStyle w:val="Heading1"/>
        <w:spacing w:after="160" w:before="360"/>
      </w:pPr>
      <w:r>
        <w:t xml:space="preserve">1. Purpose and Scope</w:t>
      </w:r>
    </w:p>
    <w:p>
      <w:pPr>
        <w:spacing w:after="160"/>
      </w:pPr>
      <w:r>
        <w:t xml:space="preserve">This framework specifies a simulation lab to investigate a single central question:</w:t>
      </w:r>
    </w:p>
    <w:p>
      <w:pPr>
        <w:spacing w:after="240" w:before="120"/>
        <w:jc w:val="center"/>
      </w:pPr>
      <w:r>
        <w:rPr>
          <w:i/>
          <w:iCs/>
        </w:rPr>
        <w:t xml:space="preserve">Can a tridactyl (three-digit-per-hand) manipulation system, purpose-evolved rather than derived by amputation from a pentadactyl ancestor, match or exceed human (pentadactyl) manipulation capability across a defined task battery — and if so, under what anatomical, neural, and ecological conditions?</w:t>
      </w:r>
    </w:p>
    <w:p>
      <w:pPr>
        <w:spacing w:after="160"/>
      </w:pPr>
      <w:r>
        <w:t xml:space="preserve">Scope is explicitly bounded to three linked domains:</w:t>
      </w:r>
    </w:p>
    <w:p>
      <w:pPr>
        <w:pStyle w:val="ListParagraph"/>
        <w:numPr>
          <w:ilvl w:val="0"/>
          <w:numId w:val="2"/>
        </w:numPr>
        <w:spacing w:after="80"/>
      </w:pPr>
      <w:r>
        <w:t xml:space="preserve">Biomechanical/evolutionary plausibility — whether a three-digit hand-system can be internally consistent and competitive under plausible developmental and selective constraints.</w:t>
      </w:r>
    </w:p>
    <w:p>
      <w:pPr>
        <w:pStyle w:val="ListParagraph"/>
        <w:numPr>
          <w:ilvl w:val="0"/>
          <w:numId w:val="2"/>
        </w:numPr>
        <w:spacing w:after="80"/>
      </w:pPr>
      <w:r>
        <w:t xml:space="preserve">Cultural/cognitive emergence — what numeral systems, gesture vocabularies, and interface paradigms a tridactyl population would plausibly converge on.</w:t>
      </w:r>
    </w:p>
    <w:p>
      <w:pPr>
        <w:pStyle w:val="ListParagraph"/>
        <w:numPr>
          <w:ilvl w:val="0"/>
          <w:numId w:val="2"/>
        </w:numPr>
        <w:spacing w:after="80"/>
      </w:pPr>
      <w:r>
        <w:t xml:space="preserve">Generative-media production — whether a tridactyl anatomy is in fact easier to render, rig, and animate coherently than a pentadactyl one, and under what conditioning regime.</w:t>
      </w:r>
    </w:p>
    <w:p>
      <w:pPr>
        <w:spacing w:after="160"/>
      </w:pPr>
      <w:r>
        <w:t xml:space="preserve">Out of scope: any claim that humans should have, or evolutionarily "should have," three digits. The lab tests a counterfactual species, not a revision of human anatomy.</w:t>
      </w:r>
    </w:p>
    <w:p>
      <w:pPr>
        <w:pStyle w:val="Heading1"/>
        <w:spacing w:after="160" w:before="360"/>
      </w:pPr>
      <w:r>
        <w:t xml:space="preserve">2. Claim Provenance Ledger</w:t>
      </w:r>
    </w:p>
    <w:p>
      <w:pPr>
        <w:spacing w:after="160"/>
      </w:pPr>
      <w:r>
        <w:t xml:space="preserve">Before building the test architecture, every substantive claim raised across the five parallel AI conversations (ChatGPT, Grok, Perplexity, Gemini, Copilot) and Nathan's original hypothesis is logged here with its evidentiary status. This ledger is the input the simulation lab is designed against — established claims are held fixed as model constraints; speculative claims become the hypotheses the lab is built to test.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300"/>
        <w:gridCol w:w="1600"/>
        <w:gridCol w:w="2800"/>
        <w:gridCol w:w="1300"/>
      </w:tblGrid>
      <w:tr>
        <w:trPr>
          <w:tblHeader/>
        </w:trPr>
        <w:tc>
          <w:tcPr>
            <w:tcW w:type="dxa" w:w="4300"/>
            <w:shd w:fill="1F3864" w:val="clear"/>
            <w:tcMar>
              <w:top w:type="dxa" w:w="80"/>
              <w:left w:type="dxa" w:w="100"/>
              <w:bottom w:type="dxa" w:w="80"/>
              <w:right w:type="dxa" w:w="100"/>
            </w:tcMar>
          </w:tcPr>
          <w:p>
            <w:r>
              <w:rPr>
                <w:b/>
                <w:bCs/>
                <w:color w:val="FFFFFF"/>
                <w:sz w:val="20"/>
                <w:szCs w:val="20"/>
              </w:rPr>
              <w:t xml:space="preserve">Claim</w:t>
            </w:r>
          </w:p>
        </w:tc>
        <w:tc>
          <w:tcPr>
            <w:tcW w:type="dxa" w:w="1600"/>
            <w:shd w:fill="1F3864" w:val="clear"/>
            <w:tcMar>
              <w:top w:type="dxa" w:w="80"/>
              <w:left w:type="dxa" w:w="100"/>
              <w:bottom w:type="dxa" w:w="80"/>
              <w:right w:type="dxa" w:w="100"/>
            </w:tcMar>
          </w:tcPr>
          <w:p>
            <w:r>
              <w:rPr>
                <w:b/>
                <w:bCs/>
                <w:color w:val="FFFFFF"/>
                <w:sz w:val="20"/>
                <w:szCs w:val="20"/>
              </w:rPr>
              <w:t xml:space="preserve">Source(s)</w:t>
            </w:r>
          </w:p>
        </w:tc>
        <w:tc>
          <w:tcPr>
            <w:tcW w:type="dxa" w:w="2800"/>
            <w:shd w:fill="1F3864" w:val="clear"/>
            <w:tcMar>
              <w:top w:type="dxa" w:w="80"/>
              <w:left w:type="dxa" w:w="100"/>
              <w:bottom w:type="dxa" w:w="80"/>
              <w:right w:type="dxa" w:w="100"/>
            </w:tcMar>
          </w:tcPr>
          <w:p>
            <w:r>
              <w:rPr>
                <w:b/>
                <w:bCs/>
                <w:color w:val="FFFFFF"/>
                <w:sz w:val="20"/>
                <w:szCs w:val="20"/>
              </w:rPr>
              <w:t xml:space="preserve">Evidentiary Status</w:t>
            </w:r>
          </w:p>
        </w:tc>
        <w:tc>
          <w:tcPr>
            <w:tcW w:type="dxa" w:w="1300"/>
            <w:shd w:fill="1F3864" w:val="clear"/>
            <w:tcMar>
              <w:top w:type="dxa" w:w="80"/>
              <w:left w:type="dxa" w:w="100"/>
              <w:bottom w:type="dxa" w:w="80"/>
              <w:right w:type="dxa" w:w="100"/>
            </w:tcMar>
          </w:tcPr>
          <w:p>
            <w:r>
              <w:rPr>
                <w:b/>
                <w:bCs/>
                <w:color w:val="FFFFFF"/>
                <w:sz w:val="20"/>
                <w:szCs w:val="20"/>
              </w:rPr>
              <w:t xml:space="preserve">Confidence</w:t>
            </w:r>
          </w:p>
        </w:tc>
      </w:tr>
      <w:tr>
        <w:tc>
          <w:tcPr>
            <w:tcW w:type="dxa" w:w="4300"/>
            <w:tcMar>
              <w:top w:type="dxa" w:w="80"/>
              <w:left w:type="dxa" w:w="100"/>
              <w:bottom w:type="dxa" w:w="80"/>
              <w:right w:type="dxa" w:w="100"/>
            </w:tcMar>
          </w:tcPr>
          <w:p>
            <w:r>
              <w:rPr>
                <w:b w:val="false"/>
                <w:bCs w:val="false"/>
                <w:sz w:val="20"/>
                <w:szCs w:val="20"/>
              </w:rPr>
              <w:t xml:space="preserve">Three non-collinear fingertip contacts can, under friction assumptions, control an object through all six spatial degrees of freedom (classic 3-finger, 3-joint dexterous-hand result).</w:t>
            </w:r>
          </w:p>
        </w:tc>
        <w:tc>
          <w:tcPr>
            <w:tcW w:type="dxa" w:w="1600"/>
            <w:tcMar>
              <w:top w:type="dxa" w:w="80"/>
              <w:left w:type="dxa" w:w="100"/>
              <w:bottom w:type="dxa" w:w="80"/>
              <w:right w:type="dxa" w:w="100"/>
            </w:tcMar>
          </w:tcPr>
          <w:p>
            <w:r>
              <w:rPr>
                <w:b w:val="false"/>
                <w:bCs w:val="false"/>
                <w:sz w:val="20"/>
                <w:szCs w:val="20"/>
              </w:rPr>
              <w:t xml:space="preserve">Perplexity; Grok</w:t>
            </w:r>
          </w:p>
        </w:tc>
        <w:tc>
          <w:tcPr>
            <w:tcW w:type="dxa" w:w="2800"/>
            <w:tcMar>
              <w:top w:type="dxa" w:w="80"/>
              <w:left w:type="dxa" w:w="100"/>
              <w:bottom w:type="dxa" w:w="80"/>
              <w:right w:type="dxa" w:w="100"/>
            </w:tcMar>
          </w:tcPr>
          <w:p>
            <w:r>
              <w:rPr>
                <w:b w:val="false"/>
                <w:bCs w:val="false"/>
                <w:sz w:val="20"/>
                <w:szCs w:val="20"/>
              </w:rPr>
              <w:t xml:space="preserve">Established — robotics/grasp theory (Salisbury-class result)</w:t>
            </w:r>
          </w:p>
        </w:tc>
        <w:tc>
          <w:tcPr>
            <w:tcW w:type="dxa" w:w="1300"/>
            <w:tcMar>
              <w:top w:type="dxa" w:w="80"/>
              <w:left w:type="dxa" w:w="100"/>
              <w:bottom w:type="dxa" w:w="80"/>
              <w:right w:type="dxa" w:w="100"/>
            </w:tcMar>
          </w:tcPr>
          <w:p>
            <w:r>
              <w:rPr>
                <w:b w:val="false"/>
                <w:bCs w:val="false"/>
                <w:sz w:val="20"/>
                <w:szCs w:val="20"/>
              </w:rPr>
              <w:t xml:space="preserve">High</w:t>
            </w:r>
          </w:p>
        </w:tc>
      </w:tr>
      <w:tr>
        <w:tc>
          <w:tcPr>
            <w:tcW w:type="dxa" w:w="4300"/>
            <w:tcMar>
              <w:top w:type="dxa" w:w="80"/>
              <w:left w:type="dxa" w:w="100"/>
              <w:bottom w:type="dxa" w:w="80"/>
              <w:right w:type="dxa" w:w="100"/>
            </w:tcMar>
          </w:tcPr>
          <w:p>
            <w:r>
              <w:rPr>
                <w:b w:val="false"/>
                <w:bCs w:val="false"/>
                <w:sz w:val="20"/>
                <w:szCs w:val="20"/>
              </w:rPr>
              <w:t xml:space="preserve">A supernumerary sixth digit can have independent musculature, distinct cortical representation, and enable one-handed tasks that five-fingered hands require two hands for, without degrading ordinary hand control.</w:t>
            </w:r>
          </w:p>
        </w:tc>
        <w:tc>
          <w:tcPr>
            <w:tcW w:type="dxa" w:w="1600"/>
            <w:tcMar>
              <w:top w:type="dxa" w:w="80"/>
              <w:left w:type="dxa" w:w="100"/>
              <w:bottom w:type="dxa" w:w="80"/>
              <w:right w:type="dxa" w:w="100"/>
            </w:tcMar>
          </w:tcPr>
          <w:p>
            <w:r>
              <w:rPr>
                <w:b w:val="false"/>
                <w:bCs w:val="false"/>
                <w:sz w:val="20"/>
                <w:szCs w:val="20"/>
              </w:rPr>
              <w:t xml:space="preserve">ChatGPT (six-finger polydactyly study)</w:t>
            </w:r>
          </w:p>
        </w:tc>
        <w:tc>
          <w:tcPr>
            <w:tcW w:type="dxa" w:w="2800"/>
            <w:tcMar>
              <w:top w:type="dxa" w:w="80"/>
              <w:left w:type="dxa" w:w="100"/>
              <w:bottom w:type="dxa" w:w="80"/>
              <w:right w:type="dxa" w:w="100"/>
            </w:tcMar>
          </w:tcPr>
          <w:p>
            <w:r>
              <w:rPr>
                <w:b w:val="false"/>
                <w:bCs w:val="false"/>
                <w:sz w:val="20"/>
                <w:szCs w:val="20"/>
              </w:rPr>
              <w:t xml:space="preserve">Established — published case-study findings</w:t>
            </w:r>
          </w:p>
        </w:tc>
        <w:tc>
          <w:tcPr>
            <w:tcW w:type="dxa" w:w="1300"/>
            <w:tcMar>
              <w:top w:type="dxa" w:w="80"/>
              <w:left w:type="dxa" w:w="100"/>
              <w:bottom w:type="dxa" w:w="80"/>
              <w:right w:type="dxa" w:w="100"/>
            </w:tcMar>
          </w:tcPr>
          <w:p>
            <w:r>
              <w:rPr>
                <w:b w:val="false"/>
                <w:bCs w:val="false"/>
                <w:sz w:val="20"/>
                <w:szCs w:val="20"/>
              </w:rPr>
              <w:t xml:space="preserve">High</w:t>
            </w:r>
          </w:p>
        </w:tc>
      </w:tr>
      <w:tr>
        <w:tc>
          <w:tcPr>
            <w:tcW w:type="dxa" w:w="4300"/>
            <w:tcMar>
              <w:top w:type="dxa" w:w="80"/>
              <w:left w:type="dxa" w:w="100"/>
              <w:bottom w:type="dxa" w:w="80"/>
              <w:right w:type="dxa" w:w="100"/>
            </w:tcMar>
          </w:tcPr>
          <w:p>
            <w:r>
              <w:rPr>
                <w:b w:val="false"/>
                <w:bCs w:val="false"/>
                <w:sz w:val="20"/>
                <w:szCs w:val="20"/>
              </w:rPr>
              <w:t xml:space="preserve">Early tetrapods (Acanthostega, Ichthyostega, Tulerpeton) had six to eight digits; pentadactyly is a later-fixed, not an original or uniquely optimal, ground plan.</w:t>
            </w:r>
          </w:p>
        </w:tc>
        <w:tc>
          <w:tcPr>
            <w:tcW w:type="dxa" w:w="1600"/>
            <w:tcMar>
              <w:top w:type="dxa" w:w="80"/>
              <w:left w:type="dxa" w:w="100"/>
              <w:bottom w:type="dxa" w:w="80"/>
              <w:right w:type="dxa" w:w="100"/>
            </w:tcMar>
          </w:tcPr>
          <w:p>
            <w:r>
              <w:rPr>
                <w:b w:val="false"/>
                <w:bCs w:val="false"/>
                <w:sz w:val="20"/>
                <w:szCs w:val="20"/>
              </w:rPr>
              <w:t xml:space="preserve">ChatGPT; Grok</w:t>
            </w:r>
          </w:p>
        </w:tc>
        <w:tc>
          <w:tcPr>
            <w:tcW w:type="dxa" w:w="2800"/>
            <w:tcMar>
              <w:top w:type="dxa" w:w="80"/>
              <w:left w:type="dxa" w:w="100"/>
              <w:bottom w:type="dxa" w:w="80"/>
              <w:right w:type="dxa" w:w="100"/>
            </w:tcMar>
          </w:tcPr>
          <w:p>
            <w:r>
              <w:rPr>
                <w:b w:val="false"/>
                <w:bCs w:val="false"/>
                <w:sz w:val="20"/>
                <w:szCs w:val="20"/>
              </w:rPr>
              <w:t xml:space="preserve">Established — paleontological record</w:t>
            </w:r>
          </w:p>
        </w:tc>
        <w:tc>
          <w:tcPr>
            <w:tcW w:type="dxa" w:w="1300"/>
            <w:tcMar>
              <w:top w:type="dxa" w:w="80"/>
              <w:left w:type="dxa" w:w="100"/>
              <w:bottom w:type="dxa" w:w="80"/>
              <w:right w:type="dxa" w:w="100"/>
            </w:tcMar>
          </w:tcPr>
          <w:p>
            <w:r>
              <w:rPr>
                <w:b w:val="false"/>
                <w:bCs w:val="false"/>
                <w:sz w:val="20"/>
                <w:szCs w:val="20"/>
              </w:rPr>
              <w:t xml:space="preserve">High</w:t>
            </w:r>
          </w:p>
        </w:tc>
      </w:tr>
      <w:tr>
        <w:tc>
          <w:tcPr>
            <w:tcW w:type="dxa" w:w="4300"/>
            <w:tcMar>
              <w:top w:type="dxa" w:w="80"/>
              <w:left w:type="dxa" w:w="100"/>
              <w:bottom w:type="dxa" w:w="80"/>
              <w:right w:type="dxa" w:w="100"/>
            </w:tcMar>
          </w:tcPr>
          <w:p>
            <w:r>
              <w:rPr>
                <w:b w:val="false"/>
                <w:bCs w:val="false"/>
                <w:sz w:val="20"/>
                <w:szCs w:val="20"/>
              </w:rPr>
              <w:t xml:space="preserve">Human fingers exhibit involuntary coupling / "enslaving" (e.g., ring-finger coupling to neighbors); no human finger is a fully independent control channel.</w:t>
            </w:r>
          </w:p>
        </w:tc>
        <w:tc>
          <w:tcPr>
            <w:tcW w:type="dxa" w:w="1600"/>
            <w:tcMar>
              <w:top w:type="dxa" w:w="80"/>
              <w:left w:type="dxa" w:w="100"/>
              <w:bottom w:type="dxa" w:w="80"/>
              <w:right w:type="dxa" w:w="100"/>
            </w:tcMar>
          </w:tcPr>
          <w:p>
            <w:r>
              <w:rPr>
                <w:b w:val="false"/>
                <w:bCs w:val="false"/>
                <w:sz w:val="20"/>
                <w:szCs w:val="20"/>
              </w:rPr>
              <w:t xml:space="preserve">Perplexity; Grok; Gemini</w:t>
            </w:r>
          </w:p>
        </w:tc>
        <w:tc>
          <w:tcPr>
            <w:tcW w:type="dxa" w:w="2800"/>
            <w:tcMar>
              <w:top w:type="dxa" w:w="80"/>
              <w:left w:type="dxa" w:w="100"/>
              <w:bottom w:type="dxa" w:w="80"/>
              <w:right w:type="dxa" w:w="100"/>
            </w:tcMar>
          </w:tcPr>
          <w:p>
            <w:r>
              <w:rPr>
                <w:b w:val="false"/>
                <w:bCs w:val="false"/>
                <w:sz w:val="20"/>
                <w:szCs w:val="20"/>
              </w:rPr>
              <w:t xml:space="preserve">Established — biomechanics literature</w:t>
            </w:r>
          </w:p>
        </w:tc>
        <w:tc>
          <w:tcPr>
            <w:tcW w:type="dxa" w:w="1300"/>
            <w:tcMar>
              <w:top w:type="dxa" w:w="80"/>
              <w:left w:type="dxa" w:w="100"/>
              <w:bottom w:type="dxa" w:w="80"/>
              <w:right w:type="dxa" w:w="100"/>
            </w:tcMar>
          </w:tcPr>
          <w:p>
            <w:r>
              <w:rPr>
                <w:b w:val="false"/>
                <w:bCs w:val="false"/>
                <w:sz w:val="20"/>
                <w:szCs w:val="20"/>
              </w:rPr>
              <w:t xml:space="preserve">High</w:t>
            </w:r>
          </w:p>
        </w:tc>
      </w:tr>
      <w:tr>
        <w:tc>
          <w:tcPr>
            <w:tcW w:type="dxa" w:w="4300"/>
            <w:tcMar>
              <w:top w:type="dxa" w:w="80"/>
              <w:left w:type="dxa" w:w="100"/>
              <w:bottom w:type="dxa" w:w="80"/>
              <w:right w:type="dxa" w:w="100"/>
            </w:tcMar>
          </w:tcPr>
          <w:p>
            <w:r>
              <w:rPr>
                <w:b w:val="false"/>
                <w:bCs w:val="false"/>
                <w:sz w:val="20"/>
                <w:szCs w:val="20"/>
              </w:rPr>
              <w:t xml:space="preserve">Digit reduction has evolved repeatedly (horses, birds, other tetrapods) via Hox/Sonic Hedgehog-pathway timing changes.</w:t>
            </w:r>
          </w:p>
        </w:tc>
        <w:tc>
          <w:tcPr>
            <w:tcW w:type="dxa" w:w="1600"/>
            <w:tcMar>
              <w:top w:type="dxa" w:w="80"/>
              <w:left w:type="dxa" w:w="100"/>
              <w:bottom w:type="dxa" w:w="80"/>
              <w:right w:type="dxa" w:w="100"/>
            </w:tcMar>
          </w:tcPr>
          <w:p>
            <w:r>
              <w:rPr>
                <w:b w:val="false"/>
                <w:bCs w:val="false"/>
                <w:sz w:val="20"/>
                <w:szCs w:val="20"/>
              </w:rPr>
              <w:t xml:space="preserve">Perplexity; ChatGPT</w:t>
            </w:r>
          </w:p>
        </w:tc>
        <w:tc>
          <w:tcPr>
            <w:tcW w:type="dxa" w:w="2800"/>
            <w:tcMar>
              <w:top w:type="dxa" w:w="80"/>
              <w:left w:type="dxa" w:w="100"/>
              <w:bottom w:type="dxa" w:w="80"/>
              <w:right w:type="dxa" w:w="100"/>
            </w:tcMar>
          </w:tcPr>
          <w:p>
            <w:r>
              <w:rPr>
                <w:b w:val="false"/>
                <w:bCs w:val="false"/>
                <w:sz w:val="20"/>
                <w:szCs w:val="20"/>
              </w:rPr>
              <w:t xml:space="preserve">Established — developmental biology</w:t>
            </w:r>
          </w:p>
        </w:tc>
        <w:tc>
          <w:tcPr>
            <w:tcW w:type="dxa" w:w="1300"/>
            <w:tcMar>
              <w:top w:type="dxa" w:w="80"/>
              <w:left w:type="dxa" w:w="100"/>
              <w:bottom w:type="dxa" w:w="80"/>
              <w:right w:type="dxa" w:w="100"/>
            </w:tcMar>
          </w:tcPr>
          <w:p>
            <w:r>
              <w:rPr>
                <w:b w:val="false"/>
                <w:bCs w:val="false"/>
                <w:sz w:val="20"/>
                <w:szCs w:val="20"/>
              </w:rPr>
              <w:t xml:space="preserve">High</w:t>
            </w:r>
          </w:p>
        </w:tc>
      </w:tr>
      <w:tr>
        <w:tc>
          <w:tcPr>
            <w:tcW w:type="dxa" w:w="4300"/>
            <w:tcMar>
              <w:top w:type="dxa" w:w="80"/>
              <w:left w:type="dxa" w:w="100"/>
              <w:bottom w:type="dxa" w:w="80"/>
              <w:right w:type="dxa" w:w="100"/>
            </w:tcMar>
          </w:tcPr>
          <w:p>
            <w:r>
              <w:rPr>
                <w:b w:val="false"/>
                <w:bCs w:val="false"/>
                <w:sz w:val="20"/>
                <w:szCs w:val="20"/>
              </w:rPr>
              <w:t xml:space="preserve">All known terrestrial cases of natural digit reduction trade manipulation for specialized locomotion (running, flying, digging) — none trend toward superior fine manipulation.</w:t>
            </w:r>
          </w:p>
        </w:tc>
        <w:tc>
          <w:tcPr>
            <w:tcW w:type="dxa" w:w="1600"/>
            <w:tcMar>
              <w:top w:type="dxa" w:w="80"/>
              <w:left w:type="dxa" w:w="100"/>
              <w:bottom w:type="dxa" w:w="80"/>
              <w:right w:type="dxa" w:w="100"/>
            </w:tcMar>
          </w:tcPr>
          <w:p>
            <w:r>
              <w:rPr>
                <w:b w:val="false"/>
                <w:bCs w:val="false"/>
                <w:sz w:val="20"/>
                <w:szCs w:val="20"/>
              </w:rPr>
              <w:t xml:space="preserve">Claude (synthesis); Grok</w:t>
            </w:r>
          </w:p>
        </w:tc>
        <w:tc>
          <w:tcPr>
            <w:tcW w:type="dxa" w:w="2800"/>
            <w:tcMar>
              <w:top w:type="dxa" w:w="80"/>
              <w:left w:type="dxa" w:w="100"/>
              <w:bottom w:type="dxa" w:w="80"/>
              <w:right w:type="dxa" w:w="100"/>
            </w:tcMar>
          </w:tcPr>
          <w:p>
            <w:r>
              <w:rPr>
                <w:b w:val="false"/>
                <w:bCs w:val="false"/>
                <w:sz w:val="20"/>
                <w:szCs w:val="20"/>
              </w:rPr>
              <w:t xml:space="preserve">Established as an absence-of-evidence pattern, not a proof of impossibility</w:t>
            </w:r>
          </w:p>
        </w:tc>
        <w:tc>
          <w:tcPr>
            <w:tcW w:type="dxa" w:w="1300"/>
            <w:tcMar>
              <w:top w:type="dxa" w:w="80"/>
              <w:left w:type="dxa" w:w="100"/>
              <w:bottom w:type="dxa" w:w="80"/>
              <w:right w:type="dxa" w:w="100"/>
            </w:tcMar>
          </w:tcPr>
          <w:p>
            <w:r>
              <w:rPr>
                <w:b w:val="false"/>
                <w:bCs w:val="false"/>
                <w:sz w:val="20"/>
                <w:szCs w:val="20"/>
              </w:rPr>
              <w:t xml:space="preserve">Medium-High</w:t>
            </w:r>
          </w:p>
        </w:tc>
      </w:tr>
      <w:tr>
        <w:tc>
          <w:tcPr>
            <w:tcW w:type="dxa" w:w="4300"/>
            <w:tcMar>
              <w:top w:type="dxa" w:w="80"/>
              <w:left w:type="dxa" w:w="100"/>
              <w:bottom w:type="dxa" w:w="80"/>
              <w:right w:type="dxa" w:w="100"/>
            </w:tcMar>
          </w:tcPr>
          <w:p>
            <w:r>
              <w:rPr>
                <w:b w:val="false"/>
                <w:bCs w:val="false"/>
                <w:sz w:val="20"/>
                <w:szCs w:val="20"/>
              </w:rPr>
              <w:t xml:space="preserve">Finger gnosis correlates with early numerical cognition (counting, magnitude, arithmetic), with a small unique effect size after controlling for other predictors.</w:t>
            </w:r>
          </w:p>
        </w:tc>
        <w:tc>
          <w:tcPr>
            <w:tcW w:type="dxa" w:w="1600"/>
            <w:tcMar>
              <w:top w:type="dxa" w:w="80"/>
              <w:left w:type="dxa" w:w="100"/>
              <w:bottom w:type="dxa" w:w="80"/>
              <w:right w:type="dxa" w:w="100"/>
            </w:tcMar>
          </w:tcPr>
          <w:p>
            <w:r>
              <w:rPr>
                <w:b w:val="false"/>
                <w:bCs w:val="false"/>
                <w:sz w:val="20"/>
                <w:szCs w:val="20"/>
              </w:rPr>
              <w:t xml:space="preserve">ChatGPT</w:t>
            </w:r>
          </w:p>
        </w:tc>
        <w:tc>
          <w:tcPr>
            <w:tcW w:type="dxa" w:w="2800"/>
            <w:tcMar>
              <w:top w:type="dxa" w:w="80"/>
              <w:left w:type="dxa" w:w="100"/>
              <w:bottom w:type="dxa" w:w="80"/>
              <w:right w:type="dxa" w:w="100"/>
            </w:tcMar>
          </w:tcPr>
          <w:p>
            <w:r>
              <w:rPr>
                <w:b w:val="false"/>
                <w:bCs w:val="false"/>
                <w:sz w:val="20"/>
                <w:szCs w:val="20"/>
              </w:rPr>
              <w:t xml:space="preserve">Established, small-effect — developmental psychology literature</w:t>
            </w:r>
          </w:p>
        </w:tc>
        <w:tc>
          <w:tcPr>
            <w:tcW w:type="dxa" w:w="1300"/>
            <w:tcMar>
              <w:top w:type="dxa" w:w="80"/>
              <w:left w:type="dxa" w:w="100"/>
              <w:bottom w:type="dxa" w:w="80"/>
              <w:right w:type="dxa" w:w="100"/>
            </w:tcMar>
          </w:tcPr>
          <w:p>
            <w:r>
              <w:rPr>
                <w:b w:val="false"/>
                <w:bCs w:val="false"/>
                <w:sz w:val="20"/>
                <w:szCs w:val="20"/>
              </w:rPr>
              <w:t xml:space="preserve">Medium</w:t>
            </w:r>
          </w:p>
        </w:tc>
      </w:tr>
      <w:tr>
        <w:tc>
          <w:tcPr>
            <w:tcW w:type="dxa" w:w="4300"/>
            <w:tcMar>
              <w:top w:type="dxa" w:w="80"/>
              <w:left w:type="dxa" w:w="100"/>
              <w:bottom w:type="dxa" w:w="80"/>
              <w:right w:type="dxa" w:w="100"/>
            </w:tcMar>
          </w:tcPr>
          <w:p>
            <w:r>
              <w:rPr>
                <w:b w:val="false"/>
                <w:bCs w:val="false"/>
                <w:sz w:val="20"/>
                <w:szCs w:val="20"/>
              </w:rPr>
              <w:t xml:space="preserve">A 7-step evolutionary pathway from a 5-digit ancestor to an optimized 3-digit precision hand (digit loss → strengthening → joint-range gain → cortical reallocation → tool coevolution).</w:t>
            </w:r>
          </w:p>
        </w:tc>
        <w:tc>
          <w:tcPr>
            <w:tcW w:type="dxa" w:w="1600"/>
            <w:tcMar>
              <w:top w:type="dxa" w:w="80"/>
              <w:left w:type="dxa" w:w="100"/>
              <w:bottom w:type="dxa" w:w="80"/>
              <w:right w:type="dxa" w:w="100"/>
            </w:tcMar>
          </w:tcPr>
          <w:p>
            <w:r>
              <w:rPr>
                <w:b w:val="false"/>
                <w:bCs w:val="false"/>
                <w:sz w:val="20"/>
                <w:szCs w:val="20"/>
              </w:rPr>
              <w:t xml:space="preserve">Perplexity</w:t>
            </w:r>
          </w:p>
        </w:tc>
        <w:tc>
          <w:tcPr>
            <w:tcW w:type="dxa" w:w="2800"/>
            <w:tcMar>
              <w:top w:type="dxa" w:w="80"/>
              <w:left w:type="dxa" w:w="100"/>
              <w:bottom w:type="dxa" w:w="80"/>
              <w:right w:type="dxa" w:w="100"/>
            </w:tcMar>
          </w:tcPr>
          <w:p>
            <w:r>
              <w:rPr>
                <w:b w:val="false"/>
                <w:bCs w:val="false"/>
                <w:sz w:val="20"/>
                <w:szCs w:val="20"/>
              </w:rPr>
              <w:t xml:space="preserve">Speculative extrapolation — internally consistent, but no fossil or comparative-anatomy precedent supports the direction (precision-seeking) of this specific sequence</w:t>
            </w:r>
          </w:p>
        </w:tc>
        <w:tc>
          <w:tcPr>
            <w:tcW w:type="dxa" w:w="1300"/>
            <w:tcMar>
              <w:top w:type="dxa" w:w="80"/>
              <w:left w:type="dxa" w:w="100"/>
              <w:bottom w:type="dxa" w:w="80"/>
              <w:right w:type="dxa" w:w="100"/>
            </w:tcMar>
          </w:tcPr>
          <w:p>
            <w:r>
              <w:rPr>
                <w:b w:val="false"/>
                <w:bCs w:val="false"/>
                <w:sz w:val="20"/>
                <w:szCs w:val="20"/>
              </w:rPr>
              <w:t xml:space="preserve">Low-Medium</w:t>
            </w:r>
          </w:p>
        </w:tc>
      </w:tr>
      <w:tr>
        <w:tc>
          <w:tcPr>
            <w:tcW w:type="dxa" w:w="4300"/>
            <w:tcMar>
              <w:top w:type="dxa" w:w="80"/>
              <w:left w:type="dxa" w:w="100"/>
              <w:bottom w:type="dxa" w:w="80"/>
              <w:right w:type="dxa" w:w="100"/>
            </w:tcMar>
          </w:tcPr>
          <w:p>
            <w:r>
              <w:rPr>
                <w:b w:val="false"/>
                <w:bCs w:val="false"/>
                <w:sz w:val="20"/>
                <w:szCs w:val="20"/>
              </w:rPr>
              <w:t xml:space="preserve">A tridactyl species would plausibly gravitate toward base-6 (senary) counting and measurement systems.</w:t>
            </w:r>
          </w:p>
        </w:tc>
        <w:tc>
          <w:tcPr>
            <w:tcW w:type="dxa" w:w="1600"/>
            <w:tcMar>
              <w:top w:type="dxa" w:w="80"/>
              <w:left w:type="dxa" w:w="100"/>
              <w:bottom w:type="dxa" w:w="80"/>
              <w:right w:type="dxa" w:w="100"/>
            </w:tcMar>
          </w:tcPr>
          <w:p>
            <w:r>
              <w:rPr>
                <w:b w:val="false"/>
                <w:bCs w:val="false"/>
                <w:sz w:val="20"/>
                <w:szCs w:val="20"/>
              </w:rPr>
              <w:t xml:space="preserve">ChatGPT; Copilot</w:t>
            </w:r>
          </w:p>
        </w:tc>
        <w:tc>
          <w:tcPr>
            <w:tcW w:type="dxa" w:w="2800"/>
            <w:tcMar>
              <w:top w:type="dxa" w:w="80"/>
              <w:left w:type="dxa" w:w="100"/>
              <w:bottom w:type="dxa" w:w="80"/>
              <w:right w:type="dxa" w:w="100"/>
            </w:tcMar>
          </w:tcPr>
          <w:p>
            <w:r>
              <w:rPr>
                <w:b w:val="false"/>
                <w:bCs w:val="false"/>
                <w:sz w:val="20"/>
                <w:szCs w:val="20"/>
              </w:rPr>
              <w:t xml:space="preserve">Plausible cultural inference from finger-counting anthropology; not determinative (human cultures show base-5, base-10, base-20, and mixed systems from five-fingered hands)</w:t>
            </w:r>
          </w:p>
        </w:tc>
        <w:tc>
          <w:tcPr>
            <w:tcW w:type="dxa" w:w="1300"/>
            <w:tcMar>
              <w:top w:type="dxa" w:w="80"/>
              <w:left w:type="dxa" w:w="100"/>
              <w:bottom w:type="dxa" w:w="80"/>
              <w:right w:type="dxa" w:w="100"/>
            </w:tcMar>
          </w:tcPr>
          <w:p>
            <w:r>
              <w:rPr>
                <w:b w:val="false"/>
                <w:bCs w:val="false"/>
                <w:sz w:val="20"/>
                <w:szCs w:val="20"/>
              </w:rPr>
              <w:t xml:space="preserve">Medium</w:t>
            </w:r>
          </w:p>
        </w:tc>
      </w:tr>
      <w:tr>
        <w:tc>
          <w:tcPr>
            <w:tcW w:type="dxa" w:w="4300"/>
            <w:tcMar>
              <w:top w:type="dxa" w:w="80"/>
              <w:left w:type="dxa" w:w="100"/>
              <w:bottom w:type="dxa" w:w="80"/>
              <w:right w:type="dxa" w:w="100"/>
            </w:tcMar>
          </w:tcPr>
          <w:p>
            <w:r>
              <w:rPr>
                <w:b w:val="false"/>
                <w:bCs w:val="false"/>
                <w:sz w:val="20"/>
                <w:szCs w:val="20"/>
              </w:rPr>
              <w:t xml:space="preserve">Three-digit anatomy reduces pose space, joint count, and self-occlusion, and so is intrinsically easier for generative image/video models to render consistently.</w:t>
            </w:r>
          </w:p>
        </w:tc>
        <w:tc>
          <w:tcPr>
            <w:tcW w:type="dxa" w:w="1600"/>
            <w:tcMar>
              <w:top w:type="dxa" w:w="80"/>
              <w:left w:type="dxa" w:w="100"/>
              <w:bottom w:type="dxa" w:w="80"/>
              <w:right w:type="dxa" w:w="100"/>
            </w:tcMar>
          </w:tcPr>
          <w:p>
            <w:r>
              <w:rPr>
                <w:b w:val="false"/>
                <w:bCs w:val="false"/>
                <w:sz w:val="20"/>
                <w:szCs w:val="20"/>
              </w:rPr>
              <w:t xml:space="preserve">Nathan (original hypothesis); Perplexity; Gemini; Copilot</w:t>
            </w:r>
          </w:p>
        </w:tc>
        <w:tc>
          <w:tcPr>
            <w:tcW w:type="dxa" w:w="2800"/>
            <w:tcMar>
              <w:top w:type="dxa" w:w="80"/>
              <w:left w:type="dxa" w:w="100"/>
              <w:bottom w:type="dxa" w:w="80"/>
              <w:right w:type="dxa" w:w="100"/>
            </w:tcMar>
          </w:tcPr>
          <w:p>
            <w:r>
              <w:rPr>
                <w:b w:val="false"/>
                <w:bCs w:val="false"/>
                <w:sz w:val="20"/>
                <w:szCs w:val="20"/>
              </w:rPr>
              <w:t xml:space="preserve">Partially established / partially speculative — the DOF-reduction argument is sound structurally, but current-generation models fail on invented anatomy due to training-data prior toward five fingers, not due to structural complexity alone. Net effect on generation coherence is untested.</w:t>
            </w:r>
          </w:p>
        </w:tc>
        <w:tc>
          <w:tcPr>
            <w:tcW w:type="dxa" w:w="1300"/>
            <w:tcMar>
              <w:top w:type="dxa" w:w="80"/>
              <w:left w:type="dxa" w:w="100"/>
              <w:bottom w:type="dxa" w:w="80"/>
              <w:right w:type="dxa" w:w="100"/>
            </w:tcMar>
          </w:tcPr>
          <w:p>
            <w:r>
              <w:rPr>
                <w:b w:val="false"/>
                <w:bCs w:val="false"/>
                <w:sz w:val="20"/>
                <w:szCs w:val="20"/>
              </w:rPr>
              <w:t xml:space="preserve">Medium (testable — see §4.3)</w:t>
            </w:r>
          </w:p>
        </w:tc>
      </w:tr>
      <w:tr>
        <w:tc>
          <w:tcPr>
            <w:tcW w:type="dxa" w:w="4300"/>
            <w:tcMar>
              <w:top w:type="dxa" w:w="80"/>
              <w:left w:type="dxa" w:w="100"/>
              <w:bottom w:type="dxa" w:w="80"/>
              <w:right w:type="dxa" w:w="100"/>
            </w:tcMar>
          </w:tcPr>
          <w:p>
            <w:r>
              <w:rPr>
                <w:b w:val="false"/>
                <w:bCs w:val="false"/>
                <w:sz w:val="20"/>
                <w:szCs w:val="20"/>
              </w:rPr>
              <w:t xml:space="preserve">Traditional (hand-drawn/early digital) cartoon characters were drawn with three fingers plus a thumb for documented labor-saving ("economy of line") reasons.</w:t>
            </w:r>
          </w:p>
        </w:tc>
        <w:tc>
          <w:tcPr>
            <w:tcW w:type="dxa" w:w="1600"/>
            <w:tcMar>
              <w:top w:type="dxa" w:w="80"/>
              <w:left w:type="dxa" w:w="100"/>
              <w:bottom w:type="dxa" w:w="80"/>
              <w:right w:type="dxa" w:w="100"/>
            </w:tcMar>
          </w:tcPr>
          <w:p>
            <w:r>
              <w:rPr>
                <w:b w:val="false"/>
                <w:bCs w:val="false"/>
                <w:sz w:val="20"/>
                <w:szCs w:val="20"/>
              </w:rPr>
              <w:t xml:space="preserve">Copilot; ChatGPT; Grok</w:t>
            </w:r>
          </w:p>
        </w:tc>
        <w:tc>
          <w:tcPr>
            <w:tcW w:type="dxa" w:w="2800"/>
            <w:tcMar>
              <w:top w:type="dxa" w:w="80"/>
              <w:left w:type="dxa" w:w="100"/>
              <w:bottom w:type="dxa" w:w="80"/>
              <w:right w:type="dxa" w:w="100"/>
            </w:tcMar>
          </w:tcPr>
          <w:p>
            <w:r>
              <w:rPr>
                <w:b w:val="false"/>
                <w:bCs w:val="false"/>
                <w:sz w:val="20"/>
                <w:szCs w:val="20"/>
              </w:rPr>
              <w:t xml:space="preserve">Established — documented industry/animator practice</w:t>
            </w:r>
          </w:p>
        </w:tc>
        <w:tc>
          <w:tcPr>
            <w:tcW w:type="dxa" w:w="1300"/>
            <w:tcMar>
              <w:top w:type="dxa" w:w="80"/>
              <w:left w:type="dxa" w:w="100"/>
              <w:bottom w:type="dxa" w:w="80"/>
              <w:right w:type="dxa" w:w="100"/>
            </w:tcMar>
          </w:tcPr>
          <w:p>
            <w:r>
              <w:rPr>
                <w:b w:val="false"/>
                <w:bCs w:val="false"/>
                <w:sz w:val="20"/>
                <w:szCs w:val="20"/>
              </w:rPr>
              <w:t xml:space="preserve">High</w:t>
            </w:r>
          </w:p>
        </w:tc>
      </w:tr>
      <w:tr>
        <w:tc>
          <w:tcPr>
            <w:tcW w:type="dxa" w:w="4300"/>
            <w:tcMar>
              <w:top w:type="dxa" w:w="80"/>
              <w:left w:type="dxa" w:w="100"/>
              <w:bottom w:type="dxa" w:w="80"/>
              <w:right w:type="dxa" w:w="100"/>
            </w:tcMar>
          </w:tcPr>
          <w:p>
            <w:r>
              <w:rPr>
                <w:b w:val="false"/>
                <w:bCs w:val="false"/>
                <w:sz w:val="20"/>
                <w:szCs w:val="20"/>
              </w:rPr>
              <w:t xml:space="preserve">A tridactyl civilization's technology, interfaces, and tools would coevolve around its own hand rather than approximate human tools.</w:t>
            </w:r>
          </w:p>
        </w:tc>
        <w:tc>
          <w:tcPr>
            <w:tcW w:type="dxa" w:w="1600"/>
            <w:tcMar>
              <w:top w:type="dxa" w:w="80"/>
              <w:left w:type="dxa" w:w="100"/>
              <w:bottom w:type="dxa" w:w="80"/>
              <w:right w:type="dxa" w:w="100"/>
            </w:tcMar>
          </w:tcPr>
          <w:p>
            <w:r>
              <w:rPr>
                <w:b w:val="false"/>
                <w:bCs w:val="false"/>
                <w:sz w:val="20"/>
                <w:szCs w:val="20"/>
              </w:rPr>
              <w:t xml:space="preserve">All five source AIs (convergent)</w:t>
            </w:r>
          </w:p>
        </w:tc>
        <w:tc>
          <w:tcPr>
            <w:tcW w:type="dxa" w:w="2800"/>
            <w:tcMar>
              <w:top w:type="dxa" w:w="80"/>
              <w:left w:type="dxa" w:w="100"/>
              <w:bottom w:type="dxa" w:w="80"/>
              <w:right w:type="dxa" w:w="100"/>
            </w:tcMar>
          </w:tcPr>
          <w:p>
            <w:r>
              <w:rPr>
                <w:b w:val="false"/>
                <w:bCs w:val="false"/>
                <w:sz w:val="20"/>
                <w:szCs w:val="20"/>
              </w:rPr>
              <w:t xml:space="preserve">Reasonable extrapolation from tool-use biomechanics and embodied-cognition literature; not empirically testable in the real world, but internally well-supported</w:t>
            </w:r>
          </w:p>
        </w:tc>
        <w:tc>
          <w:tcPr>
            <w:tcW w:type="dxa" w:w="1300"/>
            <w:tcMar>
              <w:top w:type="dxa" w:w="80"/>
              <w:left w:type="dxa" w:w="100"/>
              <w:bottom w:type="dxa" w:w="80"/>
              <w:right w:type="dxa" w:w="100"/>
            </w:tcMar>
          </w:tcPr>
          <w:p>
            <w:r>
              <w:rPr>
                <w:b w:val="false"/>
                <w:bCs w:val="false"/>
                <w:sz w:val="20"/>
                <w:szCs w:val="20"/>
              </w:rPr>
              <w:t xml:space="preserve">Medium</w:t>
            </w:r>
          </w:p>
        </w:tc>
      </w:tr>
    </w:tbl>
    <w:p>
      <w:pPr>
        <w:spacing w:after="200"/>
      </w:pPr>
    </w:p>
    <w:p>
      <w:pPr>
        <w:spacing w:after="160"/>
      </w:pPr>
      <w:r>
        <w:rPr>
          <w:b/>
          <w:bCs/>
        </w:rPr>
        <w:t xml:space="preserve">Two patterns fall out of this ledger that shape the lab design directly:</w:t>
      </w:r>
    </w:p>
    <w:p>
      <w:pPr>
        <w:pStyle w:val="ListParagraph"/>
        <w:numPr>
          <w:ilvl w:val="0"/>
          <w:numId w:val="2"/>
        </w:numPr>
        <w:spacing w:after="80"/>
      </w:pPr>
      <w:r>
        <w:t xml:space="preserve">Every source AI converges on the same reframe — digit count is the wrong independent variable; degrees of freedom, independence ("enslaving"), sensory resolution, and tool coevolution are the real variables. That convergence is treated below as an established design constraint, not re-tested.</w:t>
      </w:r>
    </w:p>
    <w:p>
      <w:pPr>
        <w:pStyle w:val="ListParagraph"/>
        <w:numPr>
          <w:ilvl w:val="0"/>
          <w:numId w:val="2"/>
        </w:numPr>
        <w:spacing w:after="80"/>
      </w:pPr>
      <w:r>
        <w:t xml:space="preserve">The two genuinely open empirical questions are (a) whether a purpose-built tridactyl precision hand is evolutionarily reachable at all under real developmental constraints, and (b) whether tridactyl anatomy is actually easier for generative models to hold coherent once the five-finger training prior is controlled for. Both are testable, and both are underspecified in the source material. The simulation lab is built around these two.</w:t>
      </w:r>
    </w:p>
    <w:p>
      <w:pPr>
        <w:pStyle w:val="Heading1"/>
        <w:spacing w:after="160" w:before="360"/>
      </w:pPr>
      <w:r>
        <w:t xml:space="preserve">3. Research Questions and Hypotheses</w:t>
      </w:r>
    </w:p>
    <w:p>
      <w:pPr>
        <w:pStyle w:val="Heading2"/>
        <w:spacing w:after="120" w:before="240"/>
      </w:pPr>
      <w:r>
        <w:t xml:space="preserve">3.1 Primary Research Questions</w:t>
      </w:r>
    </w:p>
    <w:p>
      <w:pPr>
        <w:pStyle w:val="ListParagraph"/>
        <w:numPr>
          <w:ilvl w:val="0"/>
          <w:numId w:val="3"/>
        </w:numPr>
        <w:spacing w:after="80"/>
      </w:pPr>
      <w:r>
        <w:t xml:space="preserve">RQ1 — Reachability: Under a Hox/Sonic-Hedgehog-timing parameter space and a manipulation-weighted (vs. locomotion-weighted) fitness landscape, does a 3-digit-per-hand configuration emerge and stabilize, and if so, what compensatory traits (joint count, palm mobility, tendon independence, fingertip sensitivity) co-emerge with it?</w:t>
      </w:r>
    </w:p>
    <w:p>
      <w:pPr>
        <w:pStyle w:val="ListParagraph"/>
        <w:numPr>
          <w:ilvl w:val="0"/>
          <w:numId w:val="3"/>
        </w:numPr>
        <w:spacing w:after="80"/>
      </w:pPr>
      <w:r>
        <w:t xml:space="preserve">RQ2 — Capability parity: Does a simulated tridactyl hand, built to the compensatory specification from RQ1, match or exceed a pentadactyl human-analog hand on a standardized manipulation-task battery, and on which task classes (precision, power, redundancy, multi-object handling) does it under- or out-perform?</w:t>
      </w:r>
    </w:p>
    <w:p>
      <w:pPr>
        <w:pStyle w:val="ListParagraph"/>
        <w:numPr>
          <w:ilvl w:val="0"/>
          <w:numId w:val="3"/>
        </w:numPr>
        <w:spacing w:after="80"/>
      </w:pPr>
      <w:r>
        <w:t xml:space="preserve">RQ3 — Cultural emergence: Does an agent population with tridactyl hands converge on senary (base-6) numeral systems and chorded input paradigms significantly more often than matched pentadactyl control populations converge on decimal/sequential paradigms?</w:t>
      </w:r>
    </w:p>
    <w:p>
      <w:pPr>
        <w:pStyle w:val="ListParagraph"/>
        <w:numPr>
          <w:ilvl w:val="0"/>
          <w:numId w:val="3"/>
        </w:numPr>
        <w:spacing w:after="80"/>
      </w:pPr>
      <w:r>
        <w:t xml:space="preserve">RQ4 — Generative coherence: Holding training/conditioning budget constant, does a purpose-conditioned tridactyl skeleton achieve a lower anatomical-error rate in image/video generation than an equivalently-conditioned pentadactyl skeleton, and does that advantage survive when the model is not specifically conditioned (i.e., is it a training-data-prior effect or a structural-complexity effect)?</w:t>
      </w:r>
    </w:p>
    <w:p>
      <w:pPr>
        <w:pStyle w:val="Heading2"/>
        <w:spacing w:after="120" w:before="240"/>
      </w:pPr>
      <w:r>
        <w:t xml:space="preserve">3.2 Working Hypotheses</w:t>
      </w:r>
    </w:p>
    <w:p>
      <w:pPr>
        <w:pStyle w:val="ListParagraph"/>
        <w:numPr>
          <w:ilvl w:val="0"/>
          <w:numId w:val="2"/>
        </w:numPr>
        <w:spacing w:after="80"/>
      </w:pPr>
      <w:r>
        <w:t xml:space="preserve">H1: A manipulation-weighted fitness landscape can produce a stable tridactyl equilibrium, but only when joint-count and palm-mobility parameters are allowed to increase concurrently with digit loss (i.e., digit loss alone, without compensation, is not competitive).</w:t>
      </w:r>
    </w:p>
    <w:p>
      <w:pPr>
        <w:pStyle w:val="ListParagraph"/>
        <w:numPr>
          <w:ilvl w:val="0"/>
          <w:numId w:val="2"/>
        </w:numPr>
        <w:spacing w:after="80"/>
      </w:pPr>
      <w:r>
        <w:t xml:space="preserve">H2: Simulated tridactyl hands will meet or exceed pentadactyl performance on precision and in-hand-rotation tasks, and underperform on power-grip, redundancy, and simultaneous multi-object tasks — confirming the "specialist, not a cheaper generalist" framing that recurred across all five source AIs.</w:t>
      </w:r>
    </w:p>
    <w:p>
      <w:pPr>
        <w:pStyle w:val="ListParagraph"/>
        <w:numPr>
          <w:ilvl w:val="0"/>
          <w:numId w:val="2"/>
        </w:numPr>
        <w:spacing w:after="80"/>
      </w:pPr>
      <w:r>
        <w:t xml:space="preserve">H3: Senary convergence will be elevated but not deterministic — consistent with the real-world observation that five-fingered human cultures did not converge on a single base system.</w:t>
      </w:r>
    </w:p>
    <w:p>
      <w:pPr>
        <w:pStyle w:val="ListParagraph"/>
        <w:numPr>
          <w:ilvl w:val="0"/>
          <w:numId w:val="2"/>
        </w:numPr>
        <w:spacing w:after="80"/>
      </w:pPr>
      <w:r>
        <w:t xml:space="preserve">H4: The generative-coherence advantage of tridactyl anatomy is primarily a training-prior effect, not a structural-complexity effect — i.e., a from-scratch-conditioned tridactyl model will outperform an unconditioned one, but the gap versus a well-conditioned pentadactyl model will be small.</w:t>
      </w:r>
    </w:p>
    <w:p>
      <w:pPr>
        <w:pStyle w:val="Heading1"/>
        <w:spacing w:after="160" w:before="360"/>
      </w:pPr>
      <w:r>
        <w:t xml:space="preserve">4. Simulation Lab Architecture</w:t>
      </w:r>
    </w:p>
    <w:p>
      <w:pPr>
        <w:spacing w:after="160"/>
      </w:pPr>
      <w:r>
        <w:t xml:space="preserve">The lab is organized as four coordinated sub-labs, each targeting one research question. This modular structure lets any sub-lab run, version, and report independently — consistent with the CPDL principle of treating each deliverable as a separately provenance-tracked artifact rather than a single monolithic run.</w:t>
      </w:r>
    </w:p>
    <w:p>
      <w:pPr>
        <w:pStyle w:val="Heading2"/>
        <w:spacing w:after="120" w:before="240"/>
      </w:pPr>
      <w:r>
        <w:t xml:space="preserve">4.1 Evolutionary / Developmental Sub-Lab (targets RQ1 / H1)</w:t>
      </w:r>
    </w:p>
    <w:p>
      <w:pPr>
        <w:spacing w:after="160"/>
      </w:pPr>
      <w:r>
        <w:t xml:space="preserve">An agent-based evolutionary model in which limb-bud patterning is governed by parametrized Hox-gene expression windows and Sonic Hedgehog signaling duration (per the mechanisms Perplexity and ChatGPT both cite as the real developmental levers for digit number). Two fitness landscapes are run in parallel:</w:t>
      </w:r>
    </w:p>
    <w:p>
      <w:pPr>
        <w:pStyle w:val="ListParagraph"/>
        <w:numPr>
          <w:ilvl w:val="0"/>
          <w:numId w:val="2"/>
        </w:numPr>
        <w:spacing w:after="80"/>
      </w:pPr>
      <w:r>
        <w:t xml:space="preserve">Locomotion-weighted landscape (control) — fitness rewards limb function for weight-bearing, grip, and travel. Expectation, per the real fossil record, is convergence toward digit reduction without precision gain (mirroring horses, birds).</w:t>
      </w:r>
    </w:p>
    <w:p>
      <w:pPr>
        <w:pStyle w:val="ListParagraph"/>
        <w:numPr>
          <w:ilvl w:val="0"/>
          <w:numId w:val="2"/>
        </w:numPr>
        <w:spacing w:after="80"/>
      </w:pPr>
      <w:r>
        <w:t xml:space="preserve">Manipulation-weighted landscape (test) — fitness rewards fine object manipulation, tool use, and (in later generations) tool-mediated resource acquisition. This is the untested condition; nothing in the terrestrial fossil record ran this experiment, per the RQ1/H1 gap identified in §2.</w:t>
      </w:r>
    </w:p>
    <w:p>
      <w:pPr>
        <w:spacing w:after="160"/>
      </w:pPr>
      <w:r>
        <w:t xml:space="preserve">Free parameters: digit count (2–6), joints per digit, palm segmentation, tendon-independence coefficient (modeling the human "enslaving" effect and its reduction), fingertip mechanoreceptor density.</w:t>
      </w:r>
    </w:p>
    <w:p>
      <w:pPr>
        <w:pStyle w:val="Heading2"/>
        <w:spacing w:after="120" w:before="240"/>
      </w:pPr>
      <w:r>
        <w:t xml:space="preserve">4.2 Biomechanics / Robotics Sub-Lab (targets RQ2 / H2)</w:t>
      </w:r>
    </w:p>
    <w:p>
      <w:pPr>
        <w:spacing w:after="160"/>
      </w:pPr>
      <w:r>
        <w:t xml:space="preserve">A grasp-quality simulation harness (built on standard dexterous-manipulation grasp-quality metrics, e.g., force-closure and six-DOF controllability, referenced by Perplexity and Grok as the established robotics baseline) that scores a candidate hand — whatever configuration the developmental sub-lab produces — against a human-analog five-finger baseline on a fixed task battery: precision pinch, in-hand rotation, power grasp, two-object concurrent hold, injury-degraded performance (simulate loss of one digit), and sustained-force endurance.</w:t>
      </w:r>
    </w:p>
    <w:p>
      <w:pPr>
        <w:pStyle w:val="Heading2"/>
        <w:spacing w:after="120" w:before="240"/>
      </w:pPr>
      <w:r>
        <w:t xml:space="preserve">4.3 Cognitive / Cultural Sub-Lab (targets RQ3 / H3)</w:t>
      </w:r>
    </w:p>
    <w:p>
      <w:pPr>
        <w:spacing w:after="160"/>
      </w:pPr>
      <w:r>
        <w:t xml:space="preserve">An agent-based cultural-emergence model seeded with the anatomical outputs of §4.1–4.2 (digit count, independence, sensory resolution). Agents develop counting behavior, gesture vocabularies, and manual input conventions through repeated cooperative tasks; the model logs which base-numeral system, if any, dominates at cultural equilibrium, and compares convergence strength against a pentadactyl control population.</w:t>
      </w:r>
    </w:p>
    <w:p>
      <w:pPr>
        <w:pStyle w:val="Heading2"/>
        <w:spacing w:after="120" w:before="240"/>
      </w:pPr>
      <w:r>
        <w:t xml:space="preserve">4.4 Generative-Media Coherence Sub-Lab (targets RQ4 / H4)</w:t>
      </w:r>
    </w:p>
    <w:p>
      <w:pPr>
        <w:spacing w:after="160"/>
      </w:pPr>
      <w:r>
        <w:t xml:space="preserve">A controlled rendering study, not a fictional simulation — this sub-lab is directly actionable with present-day tools. Four conditions, matched training/conditioning budget: (a) unconditioned pentadactyl prompt, (b) unconditioned tridactyl prompt, (c) purpose-conditioned pentadactyl (reference sheets, fixed skeleton, pose/depth conditioning), (d) purpose-conditioned tridactyl (same treatment). Anatomical-consistency rate, self-occlusion error rate, and cross-frame drift are scored for all four. This sub-lab directly tests Nathan's original hypothesis and the point on which the five source AIs partially disagreed — whether the ease-of-generation intuition survives once the five-finger training prior is controlled for.</w:t>
      </w:r>
    </w:p>
    <w:p>
      <w:pPr>
        <w:pStyle w:val="Heading2"/>
        <w:spacing w:after="120" w:before="240"/>
      </w:pPr>
      <w:r>
        <w:t xml:space="preserve">4.5 Metrics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Sub-Lab</w:t>
            </w:r>
          </w:p>
        </w:tc>
        <w:tc>
          <w:tcPr>
            <w:tcW w:type="dxa" w:w="4200"/>
            <w:shd w:fill="1F3864" w:val="clear"/>
            <w:tcMar>
              <w:top w:type="dxa" w:w="80"/>
              <w:left w:type="dxa" w:w="100"/>
              <w:bottom w:type="dxa" w:w="80"/>
              <w:right w:type="dxa" w:w="100"/>
            </w:tcMar>
          </w:tcPr>
          <w:p>
            <w:r>
              <w:rPr>
                <w:b/>
                <w:bCs/>
                <w:color w:val="FFFFFF"/>
                <w:sz w:val="20"/>
                <w:szCs w:val="20"/>
              </w:rPr>
              <w:t xml:space="preserve">Primary Instrument</w:t>
            </w:r>
          </w:p>
        </w:tc>
        <w:tc>
          <w:tcPr>
            <w:tcW w:type="dxa" w:w="3400"/>
            <w:shd w:fill="1F3864" w:val="clear"/>
            <w:tcMar>
              <w:top w:type="dxa" w:w="80"/>
              <w:left w:type="dxa" w:w="100"/>
              <w:bottom w:type="dxa" w:w="80"/>
              <w:right w:type="dxa" w:w="100"/>
            </w:tcMar>
          </w:tcPr>
          <w:p>
            <w:r>
              <w:rPr>
                <w:b/>
                <w:bCs/>
                <w:color w:val="FFFFFF"/>
                <w:sz w:val="20"/>
                <w:szCs w:val="20"/>
              </w:rPr>
              <w:t xml:space="preserve">Key Output Metric(s)</w:t>
            </w:r>
          </w:p>
        </w:tc>
      </w:tr>
      <w:tr>
        <w:tc>
          <w:tcPr>
            <w:tcW w:type="dxa" w:w="2400"/>
            <w:tcMar>
              <w:top w:type="dxa" w:w="80"/>
              <w:left w:type="dxa" w:w="100"/>
              <w:bottom w:type="dxa" w:w="80"/>
              <w:right w:type="dxa" w:w="100"/>
            </w:tcMar>
          </w:tcPr>
          <w:p>
            <w:r>
              <w:rPr>
                <w:b w:val="false"/>
                <w:bCs w:val="false"/>
                <w:sz w:val="20"/>
                <w:szCs w:val="20"/>
              </w:rPr>
              <w:t xml:space="preserve">Evolutionary / Developmental</w:t>
            </w:r>
          </w:p>
        </w:tc>
        <w:tc>
          <w:tcPr>
            <w:tcW w:type="dxa" w:w="4200"/>
            <w:tcMar>
              <w:top w:type="dxa" w:w="80"/>
              <w:left w:type="dxa" w:w="100"/>
              <w:bottom w:type="dxa" w:w="80"/>
              <w:right w:type="dxa" w:w="100"/>
            </w:tcMar>
          </w:tcPr>
          <w:p>
            <w:r>
              <w:rPr>
                <w:b w:val="false"/>
                <w:bCs w:val="false"/>
                <w:sz w:val="20"/>
                <w:szCs w:val="20"/>
              </w:rPr>
              <w:t xml:space="preserve">Parametrized agent-based model of limb-bud patterning (Hox/Shh timing sweep) under variable selection pressures (manipulation-weighted vs. locomotion-weighted fitness functions)</w:t>
            </w:r>
          </w:p>
        </w:tc>
        <w:tc>
          <w:tcPr>
            <w:tcW w:type="dxa" w:w="3400"/>
            <w:tcMar>
              <w:top w:type="dxa" w:w="80"/>
              <w:left w:type="dxa" w:w="100"/>
              <w:bottom w:type="dxa" w:w="80"/>
              <w:right w:type="dxa" w:w="100"/>
            </w:tcMar>
          </w:tcPr>
          <w:p>
            <w:r>
              <w:rPr>
                <w:b w:val="false"/>
                <w:bCs w:val="false"/>
                <w:sz w:val="20"/>
                <w:szCs w:val="20"/>
              </w:rPr>
              <w:t xml:space="preserve">Digit-count distribution at equilibrium; correlation between manipulation-weighted fitness and digit-count trajectory; time-to-fixation</w:t>
            </w:r>
          </w:p>
        </w:tc>
      </w:tr>
      <w:tr>
        <w:tc>
          <w:tcPr>
            <w:tcW w:type="dxa" w:w="2400"/>
            <w:tcMar>
              <w:top w:type="dxa" w:w="80"/>
              <w:left w:type="dxa" w:w="100"/>
              <w:bottom w:type="dxa" w:w="80"/>
              <w:right w:type="dxa" w:w="100"/>
            </w:tcMar>
          </w:tcPr>
          <w:p>
            <w:r>
              <w:rPr>
                <w:b w:val="false"/>
                <w:bCs w:val="false"/>
                <w:sz w:val="20"/>
                <w:szCs w:val="20"/>
              </w:rPr>
              <w:t xml:space="preserve">Biomechanics / Robotics</w:t>
            </w:r>
          </w:p>
        </w:tc>
        <w:tc>
          <w:tcPr>
            <w:tcW w:type="dxa" w:w="4200"/>
            <w:tcMar>
              <w:top w:type="dxa" w:w="80"/>
              <w:left w:type="dxa" w:w="100"/>
              <w:bottom w:type="dxa" w:w="80"/>
              <w:right w:type="dxa" w:w="100"/>
            </w:tcMar>
          </w:tcPr>
          <w:p>
            <w:r>
              <w:rPr>
                <w:b w:val="false"/>
                <w:bCs w:val="false"/>
                <w:sz w:val="20"/>
                <w:szCs w:val="20"/>
              </w:rPr>
              <w:t xml:space="preserve">Grasp-quality simulation (three-finger, N-joint hand vs. five-finger human-analog hand) across a standardized object/task battery</w:t>
            </w:r>
          </w:p>
        </w:tc>
        <w:tc>
          <w:tcPr>
            <w:tcW w:type="dxa" w:w="3400"/>
            <w:tcMar>
              <w:top w:type="dxa" w:w="80"/>
              <w:left w:type="dxa" w:w="100"/>
              <w:bottom w:type="dxa" w:w="80"/>
              <w:right w:type="dxa" w:w="100"/>
            </w:tcMar>
          </w:tcPr>
          <w:p>
            <w:r>
              <w:rPr>
                <w:b w:val="false"/>
                <w:bCs w:val="false"/>
                <w:sz w:val="20"/>
                <w:szCs w:val="20"/>
              </w:rPr>
              <w:t xml:space="preserve">Force-closure quality; six-DOF controllability envelope; precision-task success rate; power-grip force; injury/redundancy resilience score</w:t>
            </w:r>
          </w:p>
        </w:tc>
      </w:tr>
      <w:tr>
        <w:tc>
          <w:tcPr>
            <w:tcW w:type="dxa" w:w="2400"/>
            <w:tcMar>
              <w:top w:type="dxa" w:w="80"/>
              <w:left w:type="dxa" w:w="100"/>
              <w:bottom w:type="dxa" w:w="80"/>
              <w:right w:type="dxa" w:w="100"/>
            </w:tcMar>
          </w:tcPr>
          <w:p>
            <w:r>
              <w:rPr>
                <w:b w:val="false"/>
                <w:bCs w:val="false"/>
                <w:sz w:val="20"/>
                <w:szCs w:val="20"/>
              </w:rPr>
              <w:t xml:space="preserve">Cognitive / Cultural</w:t>
            </w:r>
          </w:p>
        </w:tc>
        <w:tc>
          <w:tcPr>
            <w:tcW w:type="dxa" w:w="4200"/>
            <w:tcMar>
              <w:top w:type="dxa" w:w="80"/>
              <w:left w:type="dxa" w:w="100"/>
              <w:bottom w:type="dxa" w:w="80"/>
              <w:right w:type="dxa" w:w="100"/>
            </w:tcMar>
          </w:tcPr>
          <w:p>
            <w:r>
              <w:rPr>
                <w:b w:val="false"/>
                <w:bCs w:val="false"/>
                <w:sz w:val="20"/>
                <w:szCs w:val="20"/>
              </w:rPr>
              <w:t xml:space="preserve">Agent-based cultural-emergence model seeded with digit count, independence, and finger-gnosis parameters</w:t>
            </w:r>
          </w:p>
        </w:tc>
        <w:tc>
          <w:tcPr>
            <w:tcW w:type="dxa" w:w="3400"/>
            <w:tcMar>
              <w:top w:type="dxa" w:w="80"/>
              <w:left w:type="dxa" w:w="100"/>
              <w:bottom w:type="dxa" w:w="80"/>
              <w:right w:type="dxa" w:w="100"/>
            </w:tcMar>
          </w:tcPr>
          <w:p>
            <w:r>
              <w:rPr>
                <w:b w:val="false"/>
                <w:bCs w:val="false"/>
                <w:sz w:val="20"/>
                <w:szCs w:val="20"/>
              </w:rPr>
              <w:t xml:space="preserve">Emergent base-numeral system; gesture-vocabulary size; convergence rate on chorded vs. sequential input paradigms</w:t>
            </w:r>
          </w:p>
        </w:tc>
      </w:tr>
      <w:tr>
        <w:tc>
          <w:tcPr>
            <w:tcW w:type="dxa" w:w="2400"/>
            <w:tcMar>
              <w:top w:type="dxa" w:w="80"/>
              <w:left w:type="dxa" w:w="100"/>
              <w:bottom w:type="dxa" w:w="80"/>
              <w:right w:type="dxa" w:w="100"/>
            </w:tcMar>
          </w:tcPr>
          <w:p>
            <w:r>
              <w:rPr>
                <w:b w:val="false"/>
                <w:bCs w:val="false"/>
                <w:sz w:val="20"/>
                <w:szCs w:val="20"/>
              </w:rPr>
              <w:t xml:space="preserve">Generative-Media Coherence</w:t>
            </w:r>
          </w:p>
        </w:tc>
        <w:tc>
          <w:tcPr>
            <w:tcW w:type="dxa" w:w="4200"/>
            <w:tcMar>
              <w:top w:type="dxa" w:w="80"/>
              <w:left w:type="dxa" w:w="100"/>
              <w:bottom w:type="dxa" w:w="80"/>
              <w:right w:type="dxa" w:w="100"/>
            </w:tcMar>
          </w:tcPr>
          <w:p>
            <w:r>
              <w:rPr>
                <w:b w:val="false"/>
                <w:bCs w:val="false"/>
                <w:sz w:val="20"/>
                <w:szCs w:val="20"/>
              </w:rPr>
              <w:t xml:space="preserve">Controlled A/B rendering study: five-finger vs. purpose-conditioned three-digit skeletons, matched training/conditioning budget</w:t>
            </w:r>
          </w:p>
        </w:tc>
        <w:tc>
          <w:tcPr>
            <w:tcW w:type="dxa" w:w="3400"/>
            <w:tcMar>
              <w:top w:type="dxa" w:w="80"/>
              <w:left w:type="dxa" w:w="100"/>
              <w:bottom w:type="dxa" w:w="80"/>
              <w:right w:type="dxa" w:w="100"/>
            </w:tcMar>
          </w:tcPr>
          <w:p>
            <w:r>
              <w:rPr>
                <w:b w:val="false"/>
                <w:bCs w:val="false"/>
                <w:sz w:val="20"/>
                <w:szCs w:val="20"/>
              </w:rPr>
              <w:t xml:space="preserve">Anatomical-consistency rate across frames; self-occlusion error rate; rigging/animation labor proxy (bone count, contact constraints)</w:t>
            </w:r>
          </w:p>
        </w:tc>
      </w:tr>
    </w:tbl>
    <w:p>
      <w:pPr>
        <w:pStyle w:val="Heading1"/>
        <w:spacing w:after="160" w:before="360"/>
      </w:pPr>
      <w:r>
        <w:t xml:space="preserve">5. Test Protocol and Evaluation Criteria</w:t>
      </w:r>
    </w:p>
    <w:p>
      <w:pPr>
        <w:pStyle w:val="ListParagraph"/>
        <w:numPr>
          <w:ilvl w:val="0"/>
          <w:numId w:val="3"/>
        </w:numPr>
        <w:spacing w:after="80"/>
      </w:pPr>
      <w:r>
        <w:t xml:space="preserve">Baseline calibration: run the biomechanics sub-lab (§4.2) on an unmodified five-finger human-analog hand alone, to confirm the harness reproduces known human grip-strength and dexterity benchmarks (per the grip-distribution data ChatGPT and Grok both cited) before any tridactyl comparison is trusted.</w:t>
      </w:r>
    </w:p>
    <w:p>
      <w:pPr>
        <w:pStyle w:val="ListParagraph"/>
        <w:numPr>
          <w:ilvl w:val="0"/>
          <w:numId w:val="3"/>
        </w:numPr>
        <w:spacing w:after="80"/>
      </w:pPr>
      <w:r>
        <w:t xml:space="preserve">Developmental run: execute §4.1 under both fitness landscapes for a fixed number of generations; log digit-count trajectories and compensatory-trait co-emergence.</w:t>
      </w:r>
    </w:p>
    <w:p>
      <w:pPr>
        <w:pStyle w:val="ListParagraph"/>
        <w:numPr>
          <w:ilvl w:val="0"/>
          <w:numId w:val="3"/>
        </w:numPr>
        <w:spacing w:after="80"/>
      </w:pPr>
      <w:r>
        <w:t xml:space="preserve">Capability scoring: feed the stabilized tridactyl configuration(s) from step 2 into §4.2's task battery; score against the calibrated baseline from step 1.</w:t>
      </w:r>
    </w:p>
    <w:p>
      <w:pPr>
        <w:pStyle w:val="ListParagraph"/>
        <w:numPr>
          <w:ilvl w:val="0"/>
          <w:numId w:val="3"/>
        </w:numPr>
        <w:spacing w:after="80"/>
      </w:pPr>
      <w:r>
        <w:t xml:space="preserve">Cultural run: seed §4.3 with the anatomical parameters from step 2; log numeral-system and gesture-vocabulary convergence over repeated trials for statistical stability.</w:t>
      </w:r>
    </w:p>
    <w:p>
      <w:pPr>
        <w:pStyle w:val="ListParagraph"/>
        <w:numPr>
          <w:ilvl w:val="0"/>
          <w:numId w:val="3"/>
        </w:numPr>
        <w:spacing w:after="80"/>
      </w:pPr>
      <w:r>
        <w:t xml:space="preserve">Rendering study: run §4.4 independently of steps 1–4 (it does not depend on the evolutionary outcome) and report anatomical-consistency deltas across all four conditions.</w:t>
      </w:r>
    </w:p>
    <w:p>
      <w:pPr>
        <w:pStyle w:val="ListParagraph"/>
        <w:numPr>
          <w:ilvl w:val="0"/>
          <w:numId w:val="3"/>
        </w:numPr>
        <w:spacing w:after="80"/>
      </w:pPr>
      <w:r>
        <w:t xml:space="preserve">Falsifiability check: H1 is falsified if no stable tridactyl equilibrium emerges under the manipulation-weighted landscape without joint/palm compensation exceeding biologically plausible bounds. H2 is falsified if the tridactyl configuration underperforms the pentadactyl baseline on precision tasks specifically. H4 is falsified if the tridactyl advantage in condition (d) does not exceed condition (c) beyond the study's noise floor.</w:t>
      </w:r>
    </w:p>
    <w:p>
      <w:pPr>
        <w:pStyle w:val="Heading1"/>
        <w:spacing w:after="160" w:before="360"/>
      </w:pPr>
      <w:r>
        <w:t xml:space="preserve">6. Rationale — Why Test This</w:t>
      </w:r>
    </w:p>
    <w:p>
      <w:pPr>
        <w:pStyle w:val="ListParagraph"/>
        <w:numPr>
          <w:ilvl w:val="0"/>
          <w:numId w:val="2"/>
        </w:numPr>
        <w:spacing w:after="80"/>
      </w:pPr>
      <w:r>
        <w:t xml:space="preserve">Closes a genuine gap in the terrestrial evolutionary record: no known lineage ran the manipulation-weighted selection experiment on a reduced-digit limb, so the claim "three digits could out-manipulate five" is currently untestable against real biology and can only be evaluated in simulation.</w:t>
      </w:r>
    </w:p>
    <w:p>
      <w:pPr>
        <w:pStyle w:val="ListParagraph"/>
        <w:numPr>
          <w:ilvl w:val="0"/>
          <w:numId w:val="2"/>
        </w:numPr>
        <w:spacing w:after="80"/>
      </w:pPr>
      <w:r>
        <w:t xml:space="preserve">Directly informs the OAL worldbuilding canon's physiology design process (Omnicellular physiology, 8 engineered prototypes) by giving species-design decisions a documented, falsifiable rationale rather than an aesthetic one.</w:t>
      </w:r>
    </w:p>
    <w:p>
      <w:pPr>
        <w:pStyle w:val="ListParagraph"/>
        <w:numPr>
          <w:ilvl w:val="0"/>
          <w:numId w:val="2"/>
        </w:numPr>
        <w:spacing w:after="80"/>
      </w:pPr>
      <w:r>
        <w:t xml:space="preserve">Converts a personal, half-remembered intuition (the original Alita-linked memory) into a structured, multi-source, evidence-graded research question — which is the CPDL's core function inside the broader multi-AI working group: turning cross-AI claims into an auditable record rather than a pile of assertions.</w:t>
      </w:r>
    </w:p>
    <w:p>
      <w:pPr>
        <w:pStyle w:val="ListParagraph"/>
        <w:numPr>
          <w:ilvl w:val="0"/>
          <w:numId w:val="2"/>
        </w:numPr>
        <w:spacing w:after="80"/>
      </w:pPr>
      <w:r>
        <w:t xml:space="preserve">Produces one directly actionable, present-day-testable output (the generative-media sub-lab, §4.4) alongside three speculative/simulated ones, so the lab yields real evidence even before the evolutionary and cultural sub-labs are built out.</w:t>
      </w:r>
    </w:p>
    <w:p>
      <w:pPr>
        <w:pStyle w:val="Heading1"/>
        <w:spacing w:after="160" w:before="360"/>
      </w:pPr>
      <w:r>
        <w:t xml:space="preserve">7. Applications</w:t>
      </w:r>
    </w:p>
    <w:p>
      <w:pPr>
        <w:pStyle w:val="Heading2"/>
        <w:spacing w:after="120" w:before="240"/>
      </w:pPr>
      <w:r>
        <w:t xml:space="preserve">7.1 OAL (Omniversal Architect Labs)</w:t>
      </w:r>
    </w:p>
    <w:p>
      <w:pPr>
        <w:spacing w:after="160"/>
      </w:pPr>
      <w:r>
        <w:t xml:space="preserve">Provides a documented, falsifiability-graded basis for any tridactyl or reduced-digit species entered into OAL's worldbuilding canon — physiology, gesture-based cultural systems, numeral/currency conventions (relevant to the existing Trinity Currency System work), and interface design for any in-canon simulated environment or control system. The provenance ledger in §2 gives future OAL documentation a citable distinction between "established science," "plausible extrapolation," and "worldbuilding license" for this specific design choice, consistent with CPDL's governance role.</w:t>
      </w:r>
    </w:p>
    <w:p>
      <w:pPr>
        <w:pStyle w:val="Heading2"/>
        <w:spacing w:after="120" w:before="240"/>
      </w:pPr>
      <w:r>
        <w:t xml:space="preserve">7.2 One Industries</w:t>
      </w:r>
    </w:p>
    <w:p>
      <w:pPr>
        <w:spacing w:after="160"/>
      </w:pPr>
      <w:r>
        <w:t xml:space="preserve">The biomechanics sub-lab's task-battery scoring (§4.2, §4.5) is directly reusable as an ergonomic/interface design reference — independent of digit count, the finding that degrees of freedom and reduced inter-digit coupling outperform raw digit count is a transferable design principle for any tool, controller, or interface One Industries develops for either human or non-human end users within its design scope.</w:t>
      </w:r>
    </w:p>
    <w:p>
      <w:pPr>
        <w:pStyle w:val="Heading2"/>
        <w:spacing w:after="120" w:before="240"/>
      </w:pPr>
      <w:r>
        <w:t xml:space="preserve">7.3 Lewis Corp</w:t>
      </w:r>
    </w:p>
    <w:p>
      <w:pPr>
        <w:spacing w:after="160"/>
      </w:pPr>
      <w:r>
        <w:t xml:space="preserve">The generative-media coherence sub-lab (§4.4) is the most directly commercially relevant output: a controlled methodology for deciding, on evidence rather than intuition, whether a given character or creature design is cheaper to keep visually and animation-consistent across a production pipeline — applicable to any virtual-production, game, or simulated-content work under Lewis Corp.</w:t>
      </w:r>
    </w:p>
    <w:p>
      <w:pPr>
        <w:pStyle w:val="Heading2"/>
        <w:spacing w:after="120" w:before="240"/>
      </w:pPr>
      <w:r>
        <w:t xml:space="preserve">7.4 Simulated Environments (General)</w:t>
      </w:r>
    </w:p>
    <w:p>
      <w:pPr>
        <w:spacing w:after="160"/>
      </w:pPr>
      <w:r>
        <w:t xml:space="preserve">The full four-sub-lab architecture is portable to any simulated environment that needs a non-human manipulator species: it separates "what is scientifically supportable," "what is a reasonable extrapolation," and "what is a deliberate design choice," which keeps a simulated environment's internal physics/biology consistent even where it diverges from real-world biology on purpose.</w:t>
      </w:r>
    </w:p>
    <w:p>
      <w:pPr>
        <w:pStyle w:val="Heading2"/>
        <w:spacing w:after="120" w:before="240"/>
      </w:pPr>
      <w:r>
        <w:t xml:space="preserve">7.5 THE ONE UNIVERSE</w:t>
      </w:r>
    </w:p>
    <w:p>
      <w:pPr>
        <w:spacing w:after="160"/>
      </w:pPr>
      <w:r>
        <w:t xml:space="preserve">If THE ONE UNIVERSE's canon includes populations descended from, or diverging into, non-pentadactyl manipulator lineages, this framework supplies the biomechanical and cultural-emergence scaffolding (§4.1, §4.3) needed to keep such a lineage internally consistent — numeral systems, gesture language, and tool design that a tridactyl population would plausibly generate on its own, rather than an imported human framework.</w:t>
      </w:r>
    </w:p>
    <w:p>
      <w:pPr>
        <w:pStyle w:val="Heading2"/>
        <w:spacing w:after="120" w:before="240"/>
      </w:pPr>
      <w:r>
        <w:t xml:space="preserve">7.6 THE MINUS ONE UNIVERSE</w:t>
      </w:r>
    </w:p>
    <w:p>
      <w:pPr>
        <w:spacing w:after="160"/>
      </w:pPr>
      <w:r>
        <w:t xml:space="preserve">Where THE MINUS ONE UNIVERSE functions as a structural counterpart or inverse to THE ONE UNIVERSE, a deliberately divergent manipulator anatomy (three digits versus five, or any other counterfactual variant this lab's architecture is extended to) is a natural axis of differentiation between the two — anatomically, culturally, and technologically — grounded in the same falsifiability-graded process rather than an arbitrary inversion.</w:t>
      </w:r>
    </w:p>
    <w:p>
      <w:pPr>
        <w:pStyle w:val="Heading1"/>
        <w:spacing w:after="160" w:before="360"/>
      </w:pPr>
      <w:r>
        <w:t xml:space="preserve">8. Real-World Implications</w:t>
      </w:r>
    </w:p>
    <w:p>
      <w:pPr>
        <w:pStyle w:val="ListParagraph"/>
        <w:numPr>
          <w:ilvl w:val="0"/>
          <w:numId w:val="2"/>
        </w:numPr>
        <w:spacing w:after="80"/>
      </w:pPr>
      <w:r>
        <w:t xml:space="preserve">Robotics and prosthetics: the DOF-over-digit-count principle (§2, §4.2) is already active in real robotic-hand design (three-fingered underactuated hands, per the sources both Perplexity and the parallel drafts cite) and in prosthetic design, where reduced-digit, higher-DOF hands are a genuine engineering tradeoff space, not a hypothetical one.</w:t>
      </w:r>
    </w:p>
    <w:p>
      <w:pPr>
        <w:pStyle w:val="ListParagraph"/>
        <w:numPr>
          <w:ilvl w:val="0"/>
          <w:numId w:val="2"/>
        </w:numPr>
        <w:spacing w:after="80"/>
      </w:pPr>
      <w:r>
        <w:t xml:space="preserve">Human-computer interaction: the chorded-input and multi-axis-controller concepts raised across all five source AIs describe real, existing input paradigms (stenotype machines, game-controller chording) — the tridactyl thought experiment is a useful design lens for evaluating non-QWERTY input for humans as well as fictional species.</w:t>
      </w:r>
    </w:p>
    <w:p>
      <w:pPr>
        <w:pStyle w:val="ListParagraph"/>
        <w:numPr>
          <w:ilvl w:val="0"/>
          <w:numId w:val="2"/>
        </w:numPr>
        <w:spacing w:after="80"/>
      </w:pPr>
      <w:r>
        <w:t xml:space="preserve">Generative AI training and evaluation: §4.4 is directly exportable as a real methodology for diagnosing why current image/video models mishandle hands — separating "structural pose-space difficulty" from "training-data prior mismatch" is a genuinely open, testable question in generative-model evaluation, independent of any fictional application.</w:t>
      </w:r>
    </w:p>
    <w:p>
      <w:pPr>
        <w:pStyle w:val="ListParagraph"/>
        <w:numPr>
          <w:ilvl w:val="0"/>
          <w:numId w:val="2"/>
        </w:numPr>
        <w:spacing w:after="80"/>
      </w:pPr>
      <w:r>
        <w:t xml:space="preserve">Evolutionary developmental biology (evo-devo): the reachability question (RQ1) is a legitimate, if currently unaddressed, gap-filling question for evo-devo simulation work on limb patterning — what happens under a selection pressure that never occurred on Earth is a standard use case for in-silico evo-devo modeling.</w:t>
      </w:r>
    </w:p>
    <w:p>
      <w:pPr>
        <w:pStyle w:val="Heading1"/>
        <w:spacing w:after="160" w:before="360"/>
      </w:pPr>
      <w:r>
        <w:t xml:space="preserve">9. Limitations and Open Questions</w:t>
      </w:r>
    </w:p>
    <w:p>
      <w:pPr>
        <w:pStyle w:val="ListParagraph"/>
        <w:numPr>
          <w:ilvl w:val="0"/>
          <w:numId w:val="2"/>
        </w:numPr>
        <w:spacing w:after="80"/>
      </w:pPr>
      <w:r>
        <w:t xml:space="preserve">No sub-lab here has actually been run; this document specifies the architecture and protocol only. Results reported by any source AI as if observed are, per the provenance ledger, extrapolation — not simulation output.</w:t>
      </w:r>
    </w:p>
    <w:p>
      <w:pPr>
        <w:pStyle w:val="ListParagraph"/>
        <w:numPr>
          <w:ilvl w:val="0"/>
          <w:numId w:val="2"/>
        </w:numPr>
        <w:spacing w:after="80"/>
      </w:pPr>
      <w:r>
        <w:t xml:space="preserve">The developmental and cultural sub-labs (§4.1, §4.3) rely on agent-based models, which are only as good as their parameterization; results should be read as "what this specific model predicts," not as a claim about real biological or cultural inevitability.</w:t>
      </w:r>
    </w:p>
    <w:p>
      <w:pPr>
        <w:pStyle w:val="ListParagraph"/>
        <w:numPr>
          <w:ilvl w:val="0"/>
          <w:numId w:val="2"/>
        </w:numPr>
        <w:spacing w:after="80"/>
      </w:pPr>
      <w:r>
        <w:t xml:space="preserve">The rendering sub-lab (§4.4) is the only component testable with current, non-simulated tools and should be prioritized if a single near-term deliverable is wanted.</w:t>
      </w:r>
    </w:p>
    <w:p>
      <w:pPr>
        <w:pStyle w:val="ListParagraph"/>
        <w:numPr>
          <w:ilvl w:val="0"/>
          <w:numId w:val="2"/>
        </w:numPr>
        <w:spacing w:after="80"/>
      </w:pPr>
      <w:r>
        <w:t xml:space="preserve">This framework does not address, and is not intended to address, any claim that human anatomy is suboptimal or should change — scope is explicitly limited per §1.</w:t>
      </w:r>
    </w:p>
    <w:p>
      <w:pPr>
        <w:pStyle w:val="Heading1"/>
        <w:spacing w:after="160" w:before="360"/>
      </w:pPr>
      <w:r>
        <w:t xml:space="preserve">10. Version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500"/>
      </w:tblGrid>
      <w:tr>
        <w:tc>
          <w:tcPr>
            <w:tcW w:type="dxa" w:w="1500"/>
            <w:shd w:fill="1F3864" w:val="clear"/>
            <w:tcMar>
              <w:top w:type="dxa" w:w="80"/>
              <w:left w:type="dxa" w:w="100"/>
              <w:bottom w:type="dxa" w:w="80"/>
              <w:right w:type="dxa" w:w="100"/>
            </w:tcMar>
          </w:tcPr>
          <w:p>
            <w:r>
              <w:rPr>
                <w:b/>
                <w:bCs/>
                <w:color w:val="FFFFFF"/>
                <w:sz w:val="20"/>
                <w:szCs w:val="20"/>
              </w:rPr>
              <w:t xml:space="preserve">Version</w:t>
            </w:r>
          </w:p>
        </w:tc>
        <w:tc>
          <w:tcPr>
            <w:tcW w:type="dxa" w:w="2000"/>
            <w:shd w:fill="1F3864" w:val="clear"/>
            <w:tcMar>
              <w:top w:type="dxa" w:w="80"/>
              <w:left w:type="dxa" w:w="100"/>
              <w:bottom w:type="dxa" w:w="80"/>
              <w:right w:type="dxa" w:w="100"/>
            </w:tcMar>
          </w:tcPr>
          <w:p>
            <w:r>
              <w:rPr>
                <w:b/>
                <w:bCs/>
                <w:color w:val="FFFFFF"/>
                <w:sz w:val="20"/>
                <w:szCs w:val="20"/>
              </w:rPr>
              <w:t xml:space="preserve">Date</w:t>
            </w:r>
          </w:p>
        </w:tc>
        <w:tc>
          <w:tcPr>
            <w:tcW w:type="dxa" w:w="6500"/>
            <w:shd w:fill="1F3864" w:val="clear"/>
            <w:tcMar>
              <w:top w:type="dxa" w:w="80"/>
              <w:left w:type="dxa" w:w="100"/>
              <w:bottom w:type="dxa" w:w="80"/>
              <w:right w:type="dxa" w:w="100"/>
            </w:tcMar>
          </w:tcPr>
          <w:p>
            <w:r>
              <w:rPr>
                <w:b/>
                <w:bCs/>
                <w:color w:val="FFFFFF"/>
                <w:sz w:val="20"/>
                <w:szCs w:val="20"/>
              </w:rPr>
              <w:t xml:space="preserve">Change</w:t>
            </w:r>
          </w:p>
        </w:tc>
      </w:tr>
      <w:tr>
        <w:tc>
          <w:tcPr>
            <w:tcW w:type="dxa" w:w="1500"/>
            <w:tcMar>
              <w:top w:type="dxa" w:w="80"/>
              <w:left w:type="dxa" w:w="100"/>
              <w:bottom w:type="dxa" w:w="80"/>
              <w:right w:type="dxa" w:w="100"/>
            </w:tcMar>
          </w:tcPr>
          <w:p>
            <w:r>
              <w:rPr>
                <w:b w:val="false"/>
                <w:bCs w:val="false"/>
                <w:sz w:val="20"/>
                <w:szCs w:val="20"/>
              </w:rPr>
              <w:t xml:space="preserve">v0.1</w:t>
            </w:r>
          </w:p>
        </w:tc>
        <w:tc>
          <w:tcPr>
            <w:tcW w:type="dxa" w:w="2000"/>
            <w:tcMar>
              <w:top w:type="dxa" w:w="80"/>
              <w:left w:type="dxa" w:w="100"/>
              <w:bottom w:type="dxa" w:w="80"/>
              <w:right w:type="dxa" w:w="100"/>
            </w:tcMar>
          </w:tcPr>
          <w:p>
            <w:r>
              <w:rPr>
                <w:b w:val="false"/>
                <w:bCs w:val="false"/>
                <w:sz w:val="20"/>
                <w:szCs w:val="20"/>
              </w:rPr>
              <w:t xml:space="preserve">2026-09-21</w:t>
            </w:r>
          </w:p>
        </w:tc>
        <w:tc>
          <w:tcPr>
            <w:tcW w:type="dxa" w:w="6500"/>
            <w:tcMar>
              <w:top w:type="dxa" w:w="80"/>
              <w:left w:type="dxa" w:w="100"/>
              <w:bottom w:type="dxa" w:w="80"/>
              <w:right w:type="dxa" w:w="100"/>
            </w:tcMar>
          </w:tcPr>
          <w:p>
            <w:r>
              <w:rPr>
                <w:b w:val="false"/>
                <w:bCs w:val="false"/>
                <w:sz w:val="20"/>
                <w:szCs w:val="20"/>
              </w:rPr>
              <w:t xml:space="preserve">Initial draft — claim provenance ledger, four-sub-lab architecture, applications, and real-world implications.</w:t>
            </w:r>
          </w:p>
        </w:tc>
      </w:tr>
    </w:tbl>
    <w:p>
      <w:pPr>
        <w:spacing w:after="200"/>
      </w:pPr>
    </w:p>
    <w:p>
      <w:pPr>
        <w:spacing w:after="160"/>
      </w:pPr>
      <w:r>
        <w:rPr>
          <w:i/>
          <w:iCs/>
        </w:rPr>
        <w:t xml:space="preserve">Next deliverable, pending direction: execute the generative-media coherence sub-lab (§4.4) as the first actionable phase, since it requires no fictional-simulation infrastructure and produces directly citable evidence.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2026-09-21T12:47:22.466Z</dcterms:created>
  <dcterms:modified xsi:type="dcterms:W3CDTF">2026-09-21T12:47:22.475Z</dcterms:modified>
</cp:coreProperties>
</file>

<file path=docProps/custom.xml><?xml version="1.0" encoding="utf-8"?>
<Properties xmlns="http://schemas.openxmlformats.org/officeDocument/2006/custom-properties" xmlns:vt="http://schemas.openxmlformats.org/officeDocument/2006/docPropsVTypes"/>
</file>