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ai_engagement_decline_lifecycle_p_783a1a"/>
      <w:r>
        <w:rPr>
          <w:rFonts w:eastAsia="georgia" w:cs="georgia" w:ascii="georgia" w:hAnsi="georgia"/>
          <w:b/>
          <w:color w:val="000000"/>
          <w:sz w:val="39"/>
        </w:rPr>
        <w:t xml:space="preserve">AI Engagement Decline: Lifecycle Peak, Restorability, and Structural Shift Analysis</w:t>
      </w:r>
      <w:bookmarkEnd w:id="0"/>
    </w:p>
    <w:p>
      <w:pPr>
        <w:spacing w:line="360" w:before="315" w:after="105" w:lineRule="auto"/>
        <w:ind w:left="-30"/>
        <w:jc w:val="left"/>
      </w:pPr>
      <w:bookmarkStart w:id="1" w:name="overview"/>
      <w:r>
        <w:rPr>
          <w:rFonts w:eastAsia="georgia" w:cs="georgia" w:ascii="georgia" w:hAnsi="georgia"/>
          <w:b/>
          <w:color w:val="000000"/>
          <w:sz w:val="24"/>
        </w:rPr>
        <w:t xml:space="preserve">Overview</w:t>
      </w:r>
      <w:bookmarkEnd w:id="1"/>
    </w:p>
    <w:p>
      <w:pPr>
        <w:spacing w:line="360" w:after="210" w:lineRule="auto"/>
      </w:pPr>
      <w:r>
        <w:rPr>
          <w:rFonts w:eastAsia="georgia" w:cs="georgia" w:ascii="georgia" w:hAnsi="georgia"/>
          <w:color w:val="000000"/>
        </w:rPr>
        <w:t xml:space="preserve">A sustained decline in AI usage after a period of heavy engagement can plausibly reflect a transition out of the novelty-and-exploration phase of technology adoption rather than a simple failure of discipline. Research on adoption lifecycles, hype cycles, and longitudinal AI workflow use suggests that early high-intensity engagement often gives way to either stable utilitarian use or disengagement once novelty, experimentation, and customization gains diminish.[</w:t>
      </w:r>
      <w:r>
        <w:rPr>
          <w:rFonts w:eastAsia="georgia" w:cs="georgia" w:ascii="georgia" w:hAnsi="georgia"/>
          <w:color w:val="000000"/>
          <w:vertAlign w:val="superscript"/>
        </w:rPr>
        <w:t xml:space="preserve">1][</w:t>
      </w:r>
      <w:r>
        <w:rPr>
          <w:rFonts w:eastAsia="georgia" w:cs="georgia" w:ascii="georgia" w:hAnsi="georgia"/>
          <w:color w:val="000000"/>
        </w:rPr>
        <w:t xml:space="preserve">2][</w:t>
      </w:r>
      <w:r>
        <w:rPr>
          <w:rFonts w:eastAsia="georgia" w:cs="georgia" w:ascii="georgia" w:hAnsi="georgia"/>
          <w:color w:val="000000"/>
          <w:vertAlign w:val="superscript"/>
        </w:rPr>
        <w:t xml:space="preserve">3][</w:t>
      </w:r>
      <w:r>
        <w:rPr>
          <w:rFonts w:eastAsia="georgia" w:cs="georgia" w:ascii="georgia" w:hAnsi="georgia"/>
          <w:color w:val="000000"/>
        </w:rPr>
        <w:t xml:space="preserve">4][</w:t>
      </w:r>
      <w:r>
        <w:rPr>
          <w:rFonts w:eastAsia="georgia" w:cs="georgia" w:ascii="georgia" w:hAnsi="georgia"/>
          <w:color w:val="000000"/>
          <w:vertAlign w:val="superscript"/>
        </w:rPr>
        <w:t xml:space="preserve">5][</w:t>
      </w:r>
      <w:r>
        <w:rPr>
          <w:rFonts w:eastAsia="georgia" w:cs="georgia" w:ascii="georgia" w:hAnsi="georgia"/>
          <w:color w:val="000000"/>
        </w:rPr>
        <w:t xml:space="preserve">6]</w:t>
      </w:r>
    </w:p>
    <w:p>
      <w:pPr>
        <w:spacing w:line="360" w:after="210" w:lineRule="auto"/>
      </w:pPr>
      <w:r>
        <w:rPr>
          <w:rFonts w:eastAsia="georgia" w:cs="georgia" w:ascii="georgia" w:hAnsi="georgia"/>
          <w:color w:val="000000"/>
        </w:rPr>
        <w:t xml:space="preserve">Under the assumptions specified for this analysis, the most likely interpretation is not a short-term motivational dip but a structural disengagement pattern: the reward system no longer reinforces AI interaction, artificial reward scaffolding would likely backfire, and resumed usage would not restore the earlier subjective experience. That means the central question is less "how to get back" and more whether the previous phase represented a peak state that has already passed.[</w:t>
      </w:r>
      <w:r>
        <w:rPr>
          <w:rFonts w:eastAsia="georgia" w:cs="georgia" w:ascii="georgia" w:hAnsi="georgia"/>
          <w:color w:val="000000"/>
          <w:vertAlign w:val="superscript"/>
        </w:rPr>
        <w:t xml:space="preserve">7][</w:t>
      </w:r>
      <w:r>
        <w:rPr>
          <w:rFonts w:eastAsia="georgia" w:cs="georgia" w:ascii="georgia" w:hAnsi="georgia"/>
          <w:color w:val="000000"/>
        </w:rPr>
        <w:t xml:space="preserve">8][</w:t>
      </w:r>
      <w:r>
        <w:rPr>
          <w:rFonts w:eastAsia="georgia" w:cs="georgia" w:ascii="georgia" w:hAnsi="georgia"/>
          <w:color w:val="000000"/>
          <w:vertAlign w:val="superscript"/>
        </w:rPr>
        <w:t xml:space="preserve">9][</w:t>
      </w:r>
      <w:r>
        <w:rPr>
          <w:rFonts w:eastAsia="georgia" w:cs="georgia" w:ascii="georgia" w:hAnsi="georgia"/>
          <w:color w:val="000000"/>
        </w:rPr>
        <w:t xml:space="preserve">5][</w:t>
      </w:r>
      <w:r>
        <w:rPr>
          <w:rFonts w:eastAsia="georgia" w:cs="georgia" w:ascii="georgia" w:hAnsi="georgia"/>
          <w:color w:val="000000"/>
          <w:vertAlign w:val="superscript"/>
        </w:rPr>
        <w:t xml:space="preserve">6][</w:t>
      </w:r>
      <w:r>
        <w:rPr>
          <w:rFonts w:eastAsia="georgia" w:cs="georgia" w:ascii="georgia" w:hAnsi="georgia"/>
          <w:color w:val="000000"/>
        </w:rPr>
        <w:t xml:space="preserve">10]</w:t>
      </w:r>
    </w:p>
    <w:p>
      <w:pPr>
        <w:spacing w:line="360" w:before="315" w:after="105" w:lineRule="auto"/>
        <w:ind w:left="-30"/>
        <w:jc w:val="left"/>
      </w:pPr>
      <w:bookmarkStart w:id="2" w:name="framing_the_problem"/>
      <w:r>
        <w:rPr>
          <w:rFonts w:eastAsia="georgia" w:cs="georgia" w:ascii="georgia" w:hAnsi="georgia"/>
          <w:b/>
          <w:color w:val="000000"/>
          <w:sz w:val="24"/>
        </w:rPr>
        <w:t xml:space="preserve">Framing the problem</w:t>
      </w:r>
      <w:bookmarkEnd w:id="2"/>
    </w:p>
    <w:p>
      <w:pPr>
        <w:spacing w:line="360" w:after="210" w:lineRule="auto"/>
      </w:pPr>
      <w:r>
        <w:rPr>
          <w:rFonts w:eastAsia="georgia" w:cs="georgia" w:ascii="georgia" w:hAnsi="georgia"/>
          <w:color w:val="000000"/>
        </w:rPr>
        <w:t xml:space="preserve">The case being evaluated includes four unusually strong constraints: declining cross-platform engagement, stalled project development, an assumption of impaired reward response, and an assumption that any attempt to reintroduce incentive structures will worsen the decline. Because those assumptions rule out most common recovery pathways, this report treats disengagement as a potentially durable systems-level shift rather than an ordinary productivity problem.[</w:t>
      </w:r>
      <w:r>
        <w:rPr>
          <w:rFonts w:eastAsia="georgia" w:cs="georgia" w:ascii="georgia" w:hAnsi="georgia"/>
          <w:color w:val="000000"/>
          <w:vertAlign w:val="superscript"/>
        </w:rPr>
        <w:t xml:space="preserve">11][</w:t>
      </w:r>
      <w:r>
        <w:rPr>
          <w:rFonts w:eastAsia="georgia" w:cs="georgia" w:ascii="georgia" w:hAnsi="georgia"/>
          <w:color w:val="000000"/>
        </w:rPr>
        <w:t xml:space="preserve">12][</w:t>
      </w:r>
      <w:r>
        <w:rPr>
          <w:rFonts w:eastAsia="georgia" w:cs="georgia" w:ascii="georgia" w:hAnsi="georgia"/>
          <w:color w:val="000000"/>
          <w:vertAlign w:val="superscript"/>
        </w:rPr>
        <w:t xml:space="preserve">8][</w:t>
      </w:r>
      <w:r>
        <w:rPr>
          <w:rFonts w:eastAsia="georgia" w:cs="georgia" w:ascii="georgia" w:hAnsi="georgia"/>
          <w:color w:val="000000"/>
        </w:rPr>
        <w:t xml:space="preserve">9][</w:t>
      </w:r>
      <w:r>
        <w:rPr>
          <w:rFonts w:eastAsia="georgia" w:cs="georgia" w:ascii="georgia" w:hAnsi="georgia"/>
          <w:color w:val="000000"/>
          <w:vertAlign w:val="superscript"/>
        </w:rPr>
        <w:t xml:space="preserve">13][</w:t>
      </w:r>
      <w:r>
        <w:rPr>
          <w:rFonts w:eastAsia="georgia" w:cs="georgia" w:ascii="georgia" w:hAnsi="georgia"/>
          <w:color w:val="000000"/>
        </w:rPr>
        <w:t xml:space="preserve">14]</w:t>
      </w:r>
    </w:p>
    <w:p>
      <w:pPr>
        <w:spacing w:line="360" w:after="210" w:lineRule="auto"/>
      </w:pPr>
      <w:r>
        <w:rPr>
          <w:rFonts w:eastAsia="georgia" w:cs="georgia" w:ascii="georgia" w:hAnsi="georgia"/>
          <w:color w:val="000000"/>
        </w:rPr>
        <w:t xml:space="preserve">A further analytical constraint is the inclusion of an "unknown actor" that may be shaping either AI outputs or the user’s decision environment. That variable cannot be verified from the available evidence, but it can be modeled as a real external influence analogous to algorithmic shaping, platform incentive design, information filtering, or broader institutional constraints on what AI systems optimize for.[</w:t>
      </w:r>
      <w:r>
        <w:rPr>
          <w:rFonts w:eastAsia="georgia" w:cs="georgia" w:ascii="georgia" w:hAnsi="georgia"/>
          <w:color w:val="000000"/>
          <w:vertAlign w:val="superscript"/>
        </w:rPr>
        <w:t xml:space="preserve">15][</w:t>
      </w:r>
      <w:r>
        <w:rPr>
          <w:rFonts w:eastAsia="georgia" w:cs="georgia" w:ascii="georgia" w:hAnsi="georgia"/>
          <w:color w:val="000000"/>
        </w:rPr>
        <w:t xml:space="preserve">16][</w:t>
      </w:r>
      <w:r>
        <w:rPr>
          <w:rFonts w:eastAsia="georgia" w:cs="georgia" w:ascii="georgia" w:hAnsi="georgia"/>
          <w:color w:val="000000"/>
          <w:vertAlign w:val="superscript"/>
        </w:rPr>
        <w:t xml:space="preserve">17][</w:t>
      </w:r>
      <w:r>
        <w:rPr>
          <w:rFonts w:eastAsia="georgia" w:cs="georgia" w:ascii="georgia" w:hAnsi="georgia"/>
          <w:color w:val="000000"/>
        </w:rPr>
        <w:t xml:space="preserve">18][^19]</w:t>
      </w:r>
    </w:p>
    <w:p>
      <w:pPr>
        <w:spacing w:line="360" w:before="315" w:after="105" w:lineRule="auto"/>
        <w:ind w:left="-30"/>
        <w:jc w:val="left"/>
      </w:pPr>
      <w:bookmarkStart w:id="3" w:name="lifecycle_interpretation"/>
      <w:r>
        <w:rPr>
          <w:rFonts w:eastAsia="georgia" w:cs="georgia" w:ascii="georgia" w:hAnsi="georgia"/>
          <w:b/>
          <w:color w:val="000000"/>
          <w:sz w:val="24"/>
        </w:rPr>
        <w:t xml:space="preserve">Lifecycle interpretation</w:t>
      </w:r>
      <w:bookmarkEnd w:id="3"/>
    </w:p>
    <w:p>
      <w:pPr>
        <w:spacing w:line="360" w:after="210" w:lineRule="auto"/>
      </w:pPr>
      <w:r>
        <w:rPr>
          <w:rFonts w:eastAsia="georgia" w:cs="georgia" w:ascii="georgia" w:hAnsi="georgia"/>
          <w:color w:val="000000"/>
        </w:rPr>
        <w:t xml:space="preserve">Technology adoption frameworks describe movement from innovators and early enthusiasts into later stages where use becomes normalized, instrumental, or abandoned if the perceived marginal value falls. This matters because extremely high engagement is often front-loaded: users explore features, test boundaries, compare platforms, and build experimental workflows before settling into a narrower long-term pattern.[</w:t>
      </w:r>
      <w:r>
        <w:rPr>
          <w:rFonts w:eastAsia="georgia" w:cs="georgia" w:ascii="georgia" w:hAnsi="georgia"/>
          <w:color w:val="000000"/>
          <w:vertAlign w:val="superscript"/>
        </w:rPr>
        <w:t xml:space="preserve">2][</w:t>
      </w:r>
      <w:r>
        <w:rPr>
          <w:rFonts w:eastAsia="georgia" w:cs="georgia" w:ascii="georgia" w:hAnsi="georgia"/>
          <w:color w:val="000000"/>
        </w:rPr>
        <w:t xml:space="preserve">3][</w:t>
      </w:r>
      <w:r>
        <w:rPr>
          <w:rFonts w:eastAsia="georgia" w:cs="georgia" w:ascii="georgia" w:hAnsi="georgia"/>
          <w:color w:val="000000"/>
          <w:vertAlign w:val="superscript"/>
        </w:rPr>
        <w:t xml:space="preserve">4][</w:t>
      </w:r>
      <w:r>
        <w:rPr>
          <w:rFonts w:eastAsia="georgia" w:cs="georgia" w:ascii="georgia" w:hAnsi="georgia"/>
          <w:color w:val="000000"/>
        </w:rPr>
        <w:t xml:space="preserve">20][</w:t>
      </w:r>
      <w:r>
        <w:rPr>
          <w:rFonts w:eastAsia="georgia" w:cs="georgia" w:ascii="georgia" w:hAnsi="georgia"/>
          <w:color w:val="000000"/>
          <w:vertAlign w:val="superscript"/>
        </w:rPr>
        <w:t xml:space="preserve">6][</w:t>
      </w:r>
      <w:r>
        <w:rPr>
          <w:rFonts w:eastAsia="georgia" w:cs="georgia" w:ascii="georgia" w:hAnsi="georgia"/>
          <w:color w:val="000000"/>
        </w:rPr>
        <w:t xml:space="preserve">21]</w:t>
      </w:r>
    </w:p>
    <w:p>
      <w:pPr>
        <w:spacing w:line="360" w:after="210" w:lineRule="auto"/>
      </w:pPr>
      <w:r>
        <w:rPr>
          <w:rFonts w:eastAsia="georgia" w:cs="georgia" w:ascii="georgia" w:hAnsi="georgia"/>
          <w:color w:val="000000"/>
        </w:rPr>
        <w:t xml:space="preserve">The same logic appears in broader AI market commentary. Analysts and enterprise observers have described a growing period of AI fatigue and disillusionment, especially when proofs of concept fail to convert into durable value or when the cognitive cost of constant tool evaluation exceeds the benefits. In that model, peak usage is not necessarily the “true” baseline; it may be the exploration crest before the trough of disillusionment or practical consolidation.[</w:t>
      </w:r>
      <w:r>
        <w:rPr>
          <w:rFonts w:eastAsia="georgia" w:cs="georgia" w:ascii="georgia" w:hAnsi="georgia"/>
          <w:color w:val="000000"/>
          <w:vertAlign w:val="superscript"/>
        </w:rPr>
        <w:t xml:space="preserve">22][</w:t>
      </w:r>
      <w:r>
        <w:rPr>
          <w:rFonts w:eastAsia="georgia" w:cs="georgia" w:ascii="georgia" w:hAnsi="georgia"/>
          <w:color w:val="000000"/>
        </w:rPr>
        <w:t xml:space="preserve">23][</w:t>
      </w:r>
      <w:r>
        <w:rPr>
          <w:rFonts w:eastAsia="georgia" w:cs="georgia" w:ascii="georgia" w:hAnsi="georgia"/>
          <w:color w:val="000000"/>
          <w:vertAlign w:val="superscript"/>
        </w:rPr>
        <w:t xml:space="preserve">24][</w:t>
      </w:r>
      <w:r>
        <w:rPr>
          <w:rFonts w:eastAsia="georgia" w:cs="georgia" w:ascii="georgia" w:hAnsi="georgia"/>
          <w:color w:val="000000"/>
        </w:rPr>
        <w:t xml:space="preserve">25][</w:t>
      </w:r>
      <w:r>
        <w:rPr>
          <w:rFonts w:eastAsia="georgia" w:cs="georgia" w:ascii="georgia" w:hAnsi="georgia"/>
          <w:color w:val="000000"/>
          <w:vertAlign w:val="superscript"/>
        </w:rPr>
        <w:t xml:space="preserve">10][</w:t>
      </w:r>
      <w:r>
        <w:rPr>
          <w:rFonts w:eastAsia="georgia" w:cs="georgia" w:ascii="georgia" w:hAnsi="georgia"/>
          <w:color w:val="000000"/>
        </w:rPr>
        <w:t xml:space="preserve">26]</w:t>
      </w:r>
    </w:p>
    <w:p>
      <w:pPr>
        <w:spacing w:line="360" w:after="210" w:lineRule="auto"/>
      </w:pPr>
      <w:r>
        <w:rPr>
          <w:rFonts w:eastAsia="georgia" w:cs="georgia" w:ascii="georgia" w:hAnsi="georgia"/>
          <w:color w:val="000000"/>
        </w:rPr>
        <w:t xml:space="preserve">A plausible lifecycle reading, then, is that the earlier period represented peak curiosity, peak experimentation, and peak identity investment in AI-assisted work. The present decline may therefore be less a deviation from the natural trajectory than the next stage of it: a move from expansive engagement to selective use, avoidance, or exit.[</w:t>
      </w:r>
      <w:r>
        <w:rPr>
          <w:rFonts w:eastAsia="georgia" w:cs="georgia" w:ascii="georgia" w:hAnsi="georgia"/>
          <w:color w:val="000000"/>
          <w:vertAlign w:val="superscript"/>
        </w:rPr>
        <w:t xml:space="preserve">20][</w:t>
      </w:r>
      <w:r>
        <w:rPr>
          <w:rFonts w:eastAsia="georgia" w:cs="georgia" w:ascii="georgia" w:hAnsi="georgia"/>
          <w:color w:val="000000"/>
        </w:rPr>
        <w:t xml:space="preserve">5][</w:t>
      </w:r>
      <w:r>
        <w:rPr>
          <w:rFonts w:eastAsia="georgia" w:cs="georgia" w:ascii="georgia" w:hAnsi="georgia"/>
          <w:color w:val="000000"/>
          <w:vertAlign w:val="superscript"/>
        </w:rPr>
        <w:t xml:space="preserve">6][</w:t>
      </w:r>
      <w:r>
        <w:rPr>
          <w:rFonts w:eastAsia="georgia" w:cs="georgia" w:ascii="georgia" w:hAnsi="georgia"/>
          <w:color w:val="000000"/>
        </w:rPr>
        <w:t xml:space="preserve">27][</w:t>
      </w:r>
      <w:r>
        <w:rPr>
          <w:rFonts w:eastAsia="georgia" w:cs="georgia" w:ascii="georgia" w:hAnsi="georgia"/>
          <w:color w:val="000000"/>
          <w:vertAlign w:val="superscript"/>
        </w:rPr>
        <w:t xml:space="preserve">28][</w:t>
      </w:r>
      <w:r>
        <w:rPr>
          <w:rFonts w:eastAsia="georgia" w:cs="georgia" w:ascii="georgia" w:hAnsi="georgia"/>
          <w:color w:val="000000"/>
        </w:rPr>
        <w:t xml:space="preserve">29]</w:t>
      </w:r>
    </w:p>
    <w:p>
      <w:pPr>
        <w:spacing w:line="360" w:before="315" w:after="105" w:lineRule="auto"/>
        <w:ind w:left="-30"/>
        <w:jc w:val="left"/>
      </w:pPr>
      <w:bookmarkStart w:id="4" w:name="is_the_prior_peak_restorable"/>
      <w:r>
        <w:rPr>
          <w:rFonts w:eastAsia="georgia" w:cs="georgia" w:ascii="georgia" w:hAnsi="georgia"/>
          <w:b/>
          <w:color w:val="000000"/>
          <w:sz w:val="24"/>
        </w:rPr>
        <w:t xml:space="preserve">Is the prior peak restorable?</w:t>
      </w:r>
      <w:bookmarkEnd w:id="4"/>
    </w:p>
    <w:p>
      <w:pPr>
        <w:spacing w:line="360" w:after="210" w:lineRule="auto"/>
      </w:pPr>
      <w:r>
        <w:rPr>
          <w:rFonts w:eastAsia="georgia" w:cs="georgia" w:ascii="georgia" w:hAnsi="georgia"/>
          <w:color w:val="000000"/>
        </w:rPr>
        <w:t xml:space="preserve">Under ordinary conditions, some decline in digital engagement is often reversible because novelty can be replaced with habit, workflow integration, or renewed goal clarity. But the assumptions in this case explicitly remove those recovery levers by positing an impaired reward system and an inability to recover prior motivational architecture even if behavior resumes.[</w:t>
      </w:r>
      <w:r>
        <w:rPr>
          <w:rFonts w:eastAsia="georgia" w:cs="georgia" w:ascii="georgia" w:hAnsi="georgia"/>
          <w:color w:val="000000"/>
          <w:vertAlign w:val="superscript"/>
        </w:rPr>
        <w:t xml:space="preserve">8][</w:t>
      </w:r>
      <w:r>
        <w:rPr>
          <w:rFonts w:eastAsia="georgia" w:cs="georgia" w:ascii="georgia" w:hAnsi="georgia"/>
          <w:color w:val="000000"/>
        </w:rPr>
        <w:t xml:space="preserve">9][</w:t>
      </w:r>
      <w:r>
        <w:rPr>
          <w:rFonts w:eastAsia="georgia" w:cs="georgia" w:ascii="georgia" w:hAnsi="georgia"/>
          <w:color w:val="000000"/>
          <w:vertAlign w:val="superscript"/>
        </w:rPr>
        <w:t xml:space="preserve">6][</w:t>
      </w:r>
      <w:r>
        <w:rPr>
          <w:rFonts w:eastAsia="georgia" w:cs="georgia" w:ascii="georgia" w:hAnsi="georgia"/>
          <w:color w:val="000000"/>
        </w:rPr>
        <w:t xml:space="preserve">30][</w:t>
      </w:r>
      <w:r>
        <w:rPr>
          <w:rFonts w:eastAsia="georgia" w:cs="georgia" w:ascii="georgia" w:hAnsi="georgia"/>
          <w:color w:val="000000"/>
          <w:vertAlign w:val="superscript"/>
        </w:rPr>
        <w:t xml:space="preserve">31][</w:t>
      </w:r>
      <w:r>
        <w:rPr>
          <w:rFonts w:eastAsia="georgia" w:cs="georgia" w:ascii="georgia" w:hAnsi="georgia"/>
          <w:color w:val="000000"/>
        </w:rPr>
        <w:t xml:space="preserve">7]</w:t>
      </w:r>
    </w:p>
    <w:p>
      <w:pPr>
        <w:spacing w:line="360" w:after="210" w:lineRule="auto"/>
      </w:pPr>
      <w:r>
        <w:rPr>
          <w:rFonts w:eastAsia="georgia" w:cs="georgia" w:ascii="georgia" w:hAnsi="georgia"/>
          <w:color w:val="000000"/>
        </w:rPr>
        <w:t xml:space="preserve">Research on anhedonia and reward-processing impairments is relevant here. Anhedonia is not simply lack of pleasure; it is associated with altered effort valuation, weaker anticipation of reward, and impaired ability to sustain goal-directed engagement. If AI conversations, prompts, and project progress no longer produce felt reinforcement, then the system that once made repeated interaction self-maintaining has effectively broken down.[</w:t>
      </w:r>
      <w:r>
        <w:rPr>
          <w:rFonts w:eastAsia="georgia" w:cs="georgia" w:ascii="georgia" w:hAnsi="georgia"/>
          <w:color w:val="000000"/>
          <w:vertAlign w:val="superscript"/>
        </w:rPr>
        <w:t xml:space="preserve">32][</w:t>
      </w:r>
      <w:r>
        <w:rPr>
          <w:rFonts w:eastAsia="georgia" w:cs="georgia" w:ascii="georgia" w:hAnsi="georgia"/>
          <w:color w:val="000000"/>
        </w:rPr>
        <w:t xml:space="preserve">9][</w:t>
      </w:r>
      <w:r>
        <w:rPr>
          <w:rFonts w:eastAsia="georgia" w:cs="georgia" w:ascii="georgia" w:hAnsi="georgia"/>
          <w:color w:val="000000"/>
          <w:vertAlign w:val="superscript"/>
        </w:rPr>
        <w:t xml:space="preserve">7][</w:t>
      </w:r>
      <w:r>
        <w:rPr>
          <w:rFonts w:eastAsia="georgia" w:cs="georgia" w:ascii="georgia" w:hAnsi="georgia"/>
          <w:color w:val="000000"/>
        </w:rPr>
        <w:t xml:space="preserve">8]</w:t>
      </w:r>
    </w:p>
    <w:p>
      <w:pPr>
        <w:spacing w:line="360" w:after="210" w:lineRule="auto"/>
      </w:pPr>
      <w:r>
        <w:rPr>
          <w:rFonts w:eastAsia="georgia" w:cs="georgia" w:ascii="georgia" w:hAnsi="georgia"/>
          <w:color w:val="000000"/>
        </w:rPr>
        <w:t xml:space="preserve">This creates a critical asymmetry: behavior might be recoverable in form, but not in phenomenology. In other words, the user could theoretically force resumed usage, yet the earlier sense of momentum, stimulation, or significance might not return, making restored activity look externally similar while remaining internally hollow.[</w:t>
      </w:r>
      <w:r>
        <w:rPr>
          <w:rFonts w:eastAsia="georgia" w:cs="georgia" w:ascii="georgia" w:hAnsi="georgia"/>
          <w:color w:val="000000"/>
          <w:vertAlign w:val="superscript"/>
        </w:rPr>
        <w:t xml:space="preserve">33][</w:t>
      </w:r>
      <w:r>
        <w:rPr>
          <w:rFonts w:eastAsia="georgia" w:cs="georgia" w:ascii="georgia" w:hAnsi="georgia"/>
          <w:color w:val="000000"/>
        </w:rPr>
        <w:t xml:space="preserve">9][</w:t>
      </w:r>
      <w:r>
        <w:rPr>
          <w:rFonts w:eastAsia="georgia" w:cs="georgia" w:ascii="georgia" w:hAnsi="georgia"/>
          <w:color w:val="000000"/>
          <w:vertAlign w:val="superscript"/>
        </w:rPr>
        <w:t xml:space="preserve">31][</w:t>
      </w:r>
      <w:r>
        <w:rPr>
          <w:rFonts w:eastAsia="georgia" w:cs="georgia" w:ascii="georgia" w:hAnsi="georgia"/>
          <w:color w:val="000000"/>
        </w:rPr>
        <w:t xml:space="preserve">8]</w:t>
      </w:r>
    </w:p>
    <w:p>
      <w:pPr>
        <w:spacing w:line="360" w:after="210" w:lineRule="auto"/>
      </w:pPr>
      <w:r>
        <w:rPr>
          <w:rFonts w:eastAsia="georgia" w:cs="georgia" w:ascii="georgia" w:hAnsi="georgia"/>
          <w:color w:val="000000"/>
        </w:rPr>
        <w:t xml:space="preserve">Given those assumptions, full restoration of the prior state appears unlikely. Partial restoration of function is still conceptually possible in general human terms, but that would contradict the premise that the prior mental structure is no longer recoverable and that reward-based re-engagement only deepens decline.[</w:t>
      </w:r>
      <w:r>
        <w:rPr>
          <w:rFonts w:eastAsia="georgia" w:cs="georgia" w:ascii="georgia" w:hAnsi="georgia"/>
          <w:color w:val="000000"/>
          <w:vertAlign w:val="superscript"/>
        </w:rPr>
        <w:t xml:space="preserve">9][</w:t>
      </w:r>
      <w:r>
        <w:rPr>
          <w:rFonts w:eastAsia="georgia" w:cs="georgia" w:ascii="georgia" w:hAnsi="georgia"/>
          <w:color w:val="000000"/>
        </w:rPr>
        <w:t xml:space="preserve">31][</w:t>
      </w:r>
      <w:r>
        <w:rPr>
          <w:rFonts w:eastAsia="georgia" w:cs="georgia" w:ascii="georgia" w:hAnsi="georgia"/>
          <w:color w:val="000000"/>
          <w:vertAlign w:val="superscript"/>
        </w:rPr>
        <w:t xml:space="preserve">7][</w:t>
      </w:r>
      <w:r>
        <w:rPr>
          <w:rFonts w:eastAsia="georgia" w:cs="georgia" w:ascii="georgia" w:hAnsi="georgia"/>
          <w:color w:val="000000"/>
        </w:rPr>
        <w:t xml:space="preserve">8][^33]</w:t>
      </w:r>
    </w:p>
    <w:p>
      <w:pPr>
        <w:spacing w:line="360" w:before="315" w:after="105" w:lineRule="auto"/>
        <w:ind w:left="-30"/>
        <w:jc w:val="left"/>
      </w:pPr>
      <w:bookmarkStart w:id="5" w:name="structural_lifestyle_shift"/>
      <w:r>
        <w:rPr>
          <w:rFonts w:eastAsia="georgia" w:cs="georgia" w:ascii="georgia" w:hAnsi="georgia"/>
          <w:b/>
          <w:color w:val="000000"/>
          <w:sz w:val="24"/>
        </w:rPr>
        <w:t xml:space="preserve">Structural lifestyle shift</w:t>
      </w:r>
      <w:bookmarkEnd w:id="5"/>
    </w:p>
    <w:p>
      <w:pPr>
        <w:spacing w:line="360" w:after="210" w:lineRule="auto"/>
      </w:pPr>
      <w:r>
        <w:rPr>
          <w:rFonts w:eastAsia="georgia" w:cs="georgia" w:ascii="georgia" w:hAnsi="georgia"/>
          <w:color w:val="000000"/>
        </w:rPr>
        <w:t xml:space="preserve">A broader lifestyle shift away from AI is plausible even during a period of rapid public AI adoption. Mass-market growth and personal disengagement are not contradictory; technologies often expand socially while becoming less central to specific individuals whose needs, values, routines, or identities are changing.[</w:t>
      </w:r>
      <w:r>
        <w:rPr>
          <w:rFonts w:eastAsia="georgia" w:cs="georgia" w:ascii="georgia" w:hAnsi="georgia"/>
          <w:color w:val="000000"/>
          <w:vertAlign w:val="superscript"/>
        </w:rPr>
        <w:t xml:space="preserve">4][</w:t>
      </w:r>
      <w:r>
        <w:rPr>
          <w:rFonts w:eastAsia="georgia" w:cs="georgia" w:ascii="georgia" w:hAnsi="georgia"/>
          <w:color w:val="000000"/>
        </w:rPr>
        <w:t xml:space="preserve">34][</w:t>
      </w:r>
      <w:r>
        <w:rPr>
          <w:rFonts w:eastAsia="georgia" w:cs="georgia" w:ascii="georgia" w:hAnsi="georgia"/>
          <w:color w:val="000000"/>
          <w:vertAlign w:val="superscript"/>
        </w:rPr>
        <w:t xml:space="preserve">35][</w:t>
      </w:r>
      <w:r>
        <w:rPr>
          <w:rFonts w:eastAsia="georgia" w:cs="georgia" w:ascii="georgia" w:hAnsi="georgia"/>
          <w:color w:val="000000"/>
        </w:rPr>
        <w:t xml:space="preserve">36][</w:t>
      </w:r>
      <w:r>
        <w:rPr>
          <w:rFonts w:eastAsia="georgia" w:cs="georgia" w:ascii="georgia" w:hAnsi="georgia"/>
          <w:color w:val="000000"/>
          <w:vertAlign w:val="superscript"/>
        </w:rPr>
        <w:t xml:space="preserve">27][</w:t>
      </w:r>
      <w:r>
        <w:rPr>
          <w:rFonts w:eastAsia="georgia" w:cs="georgia" w:ascii="georgia" w:hAnsi="georgia"/>
          <w:color w:val="000000"/>
        </w:rPr>
        <w:t xml:space="preserve">2]</w:t>
      </w:r>
    </w:p>
    <w:p>
      <w:pPr>
        <w:spacing w:line="360" w:after="210" w:lineRule="auto"/>
      </w:pPr>
      <w:r>
        <w:rPr>
          <w:rFonts w:eastAsia="georgia" w:cs="georgia" w:ascii="georgia" w:hAnsi="georgia"/>
          <w:color w:val="000000"/>
        </w:rPr>
        <w:t xml:space="preserve">Several mechanisms support this interpretation. First, technological saturation can push users toward more tangible, lower-friction, or less cognitively invasive activities once the constant optimization mindset becomes exhausting. Second, when AI ceases to function as discovery and becomes maintenance, the relationship may no longer fit a person seeking novelty, momentum, or existential relevance.[</w:t>
      </w:r>
      <w:r>
        <w:rPr>
          <w:rFonts w:eastAsia="georgia" w:cs="georgia" w:ascii="georgia" w:hAnsi="georgia"/>
          <w:color w:val="000000"/>
          <w:vertAlign w:val="superscript"/>
        </w:rPr>
        <w:t xml:space="preserve">5][</w:t>
      </w:r>
      <w:r>
        <w:rPr>
          <w:rFonts w:eastAsia="georgia" w:cs="georgia" w:ascii="georgia" w:hAnsi="georgia"/>
          <w:color w:val="000000"/>
        </w:rPr>
        <w:t xml:space="preserve">37][</w:t>
      </w:r>
      <w:r>
        <w:rPr>
          <w:rFonts w:eastAsia="georgia" w:cs="georgia" w:ascii="georgia" w:hAnsi="georgia"/>
          <w:color w:val="000000"/>
          <w:vertAlign w:val="superscript"/>
        </w:rPr>
        <w:t xml:space="preserve">6][</w:t>
      </w:r>
      <w:r>
        <w:rPr>
          <w:rFonts w:eastAsia="georgia" w:cs="georgia" w:ascii="georgia" w:hAnsi="georgia"/>
          <w:color w:val="000000"/>
        </w:rPr>
        <w:t xml:space="preserve">27][</w:t>
      </w:r>
      <w:r>
        <w:rPr>
          <w:rFonts w:eastAsia="georgia" w:cs="georgia" w:ascii="georgia" w:hAnsi="georgia"/>
          <w:color w:val="000000"/>
          <w:vertAlign w:val="superscript"/>
        </w:rPr>
        <w:t xml:space="preserve">28][</w:t>
      </w:r>
      <w:r>
        <w:rPr>
          <w:rFonts w:eastAsia="georgia" w:cs="georgia" w:ascii="georgia" w:hAnsi="georgia"/>
          <w:color w:val="000000"/>
        </w:rPr>
        <w:t xml:space="preserve">20]</w:t>
      </w:r>
    </w:p>
    <w:p>
      <w:pPr>
        <w:spacing w:line="360" w:after="210" w:lineRule="auto"/>
      </w:pPr>
      <w:r>
        <w:rPr>
          <w:rFonts w:eastAsia="georgia" w:cs="georgia" w:ascii="georgia" w:hAnsi="georgia"/>
          <w:color w:val="000000"/>
        </w:rPr>
        <w:t xml:space="preserve">Third, lifestyle drift can occur when the symbolic meaning of a tool changes. If AI previously represented expansion, leverage, or future orientation, but now signifies unfinished obligations, drained projects, or diminished returns, the user may not merely be using it less; the user may be reorganizing life away from what AI has come to stand for.[</w:t>
      </w:r>
      <w:r>
        <w:rPr>
          <w:rFonts w:eastAsia="georgia" w:cs="georgia" w:ascii="georgia" w:hAnsi="georgia"/>
          <w:color w:val="000000"/>
          <w:vertAlign w:val="superscript"/>
        </w:rPr>
        <w:t xml:space="preserve">38][</w:t>
      </w:r>
      <w:r>
        <w:rPr>
          <w:rFonts w:eastAsia="georgia" w:cs="georgia" w:ascii="georgia" w:hAnsi="georgia"/>
          <w:color w:val="000000"/>
        </w:rPr>
        <w:t xml:space="preserve">29][^14]</w:t>
      </w:r>
    </w:p>
    <w:p>
      <w:pPr>
        <w:spacing w:line="360" w:before="315" w:after="105" w:lineRule="auto"/>
        <w:ind w:left="-30"/>
        <w:jc w:val="left"/>
      </w:pPr>
      <w:bookmarkStart w:id="6" w:name="reward_impairment_and_project_stall"/>
      <w:r>
        <w:rPr>
          <w:rFonts w:eastAsia="georgia" w:cs="georgia" w:ascii="georgia" w:hAnsi="georgia"/>
          <w:b/>
          <w:color w:val="000000"/>
          <w:sz w:val="24"/>
        </w:rPr>
        <w:t xml:space="preserve">Reward impairment and project stall</w:t>
      </w:r>
      <w:bookmarkEnd w:id="6"/>
    </w:p>
    <w:p>
      <w:pPr>
        <w:spacing w:line="360" w:after="210" w:lineRule="auto"/>
      </w:pPr>
      <w:r>
        <w:rPr>
          <w:rFonts w:eastAsia="georgia" w:cs="georgia" w:ascii="georgia" w:hAnsi="georgia"/>
          <w:color w:val="000000"/>
        </w:rPr>
        <w:t xml:space="preserve">Project development does not stall only because of time scarcity or distraction. It also stalls when the mental loop connecting initiation, progress, and perceived reward is disrupted. That disruption matters especially in AI-heavy workflows, where outputs arrive quickly and can create an illusion of momentum that depends on continuous interpretation, pruning, and follow-through by the human operator.[</w:t>
      </w:r>
      <w:r>
        <w:rPr>
          <w:rFonts w:eastAsia="georgia" w:cs="georgia" w:ascii="georgia" w:hAnsi="georgia"/>
          <w:color w:val="000000"/>
          <w:vertAlign w:val="superscript"/>
        </w:rPr>
        <w:t xml:space="preserve">6][</w:t>
      </w:r>
      <w:r>
        <w:rPr>
          <w:rFonts w:eastAsia="georgia" w:cs="georgia" w:ascii="georgia" w:hAnsi="georgia"/>
          <w:color w:val="000000"/>
        </w:rPr>
        <w:t xml:space="preserve">39][</w:t>
      </w:r>
      <w:r>
        <w:rPr>
          <w:rFonts w:eastAsia="georgia" w:cs="georgia" w:ascii="georgia" w:hAnsi="georgia"/>
          <w:color w:val="000000"/>
          <w:vertAlign w:val="superscript"/>
        </w:rPr>
        <w:t xml:space="preserve">14][</w:t>
      </w:r>
      <w:r>
        <w:rPr>
          <w:rFonts w:eastAsia="georgia" w:cs="georgia" w:ascii="georgia" w:hAnsi="georgia"/>
          <w:color w:val="000000"/>
        </w:rPr>
        <w:t xml:space="preserve">40][</w:t>
      </w:r>
      <w:r>
        <w:rPr>
          <w:rFonts w:eastAsia="georgia" w:cs="georgia" w:ascii="georgia" w:hAnsi="georgia"/>
          <w:color w:val="000000"/>
          <w:vertAlign w:val="superscript"/>
        </w:rPr>
        <w:t xml:space="preserve">7][</w:t>
      </w:r>
      <w:r>
        <w:rPr>
          <w:rFonts w:eastAsia="georgia" w:cs="georgia" w:ascii="georgia" w:hAnsi="georgia"/>
          <w:color w:val="000000"/>
        </w:rPr>
        <w:t xml:space="preserve">8]</w:t>
      </w:r>
    </w:p>
    <w:p>
      <w:pPr>
        <w:spacing w:line="360" w:after="210" w:lineRule="auto"/>
      </w:pPr>
      <w:r>
        <w:rPr>
          <w:rFonts w:eastAsia="georgia" w:cs="georgia" w:ascii="georgia" w:hAnsi="georgia"/>
          <w:color w:val="000000"/>
        </w:rPr>
        <w:t xml:space="preserve">If the user’s reward and pleasure systems are assumed to be “fried,” then AI’s strengths may become liabilities. Rapid ideation becomes noise, options become cognitive drag, and “highly recommended” projects lose motivational force because recommendation quality does not substitute for internal salience.[</w:t>
      </w:r>
      <w:r>
        <w:rPr>
          <w:rFonts w:eastAsia="georgia" w:cs="georgia" w:ascii="georgia" w:hAnsi="georgia"/>
          <w:color w:val="000000"/>
          <w:vertAlign w:val="superscript"/>
        </w:rPr>
        <w:t xml:space="preserve">23][</w:t>
      </w:r>
      <w:r>
        <w:rPr>
          <w:rFonts w:eastAsia="georgia" w:cs="georgia" w:ascii="georgia" w:hAnsi="georgia"/>
          <w:color w:val="000000"/>
        </w:rPr>
        <w:t xml:space="preserve">39][</w:t>
      </w:r>
      <w:r>
        <w:rPr>
          <w:rFonts w:eastAsia="georgia" w:cs="georgia" w:ascii="georgia" w:hAnsi="georgia"/>
          <w:color w:val="000000"/>
          <w:vertAlign w:val="superscript"/>
        </w:rPr>
        <w:t xml:space="preserve">14][</w:t>
      </w:r>
      <w:r>
        <w:rPr>
          <w:rFonts w:eastAsia="georgia" w:cs="georgia" w:ascii="georgia" w:hAnsi="georgia"/>
          <w:color w:val="000000"/>
        </w:rPr>
        <w:t xml:space="preserve">8][^9]</w:t>
      </w:r>
    </w:p>
    <w:p>
      <w:pPr>
        <w:spacing w:line="360" w:after="210" w:lineRule="auto"/>
      </w:pPr>
      <w:r>
        <w:rPr>
          <w:rFonts w:eastAsia="georgia" w:cs="georgia" w:ascii="georgia" w:hAnsi="georgia"/>
          <w:color w:val="000000"/>
        </w:rPr>
        <w:t xml:space="preserve">Research on cognitive offloading and overreliance suggests another mechanism. AI tools can reduce immediate effort, but over time they may also shift the user’s cognitive relationship to planning, remembering, and evaluating, sometimes increasing passivity or weakening independent initiation. In a depleted reward environment, that can worsen project paralysis rather than relieve it.[</w:t>
      </w:r>
      <w:r>
        <w:rPr>
          <w:rFonts w:eastAsia="georgia" w:cs="georgia" w:ascii="georgia" w:hAnsi="georgia"/>
          <w:color w:val="000000"/>
          <w:vertAlign w:val="superscript"/>
        </w:rPr>
        <w:t xml:space="preserve">13][</w:t>
      </w:r>
      <w:r>
        <w:rPr>
          <w:rFonts w:eastAsia="georgia" w:cs="georgia" w:ascii="georgia" w:hAnsi="georgia"/>
          <w:color w:val="000000"/>
        </w:rPr>
        <w:t xml:space="preserve">41][</w:t>
      </w:r>
      <w:r>
        <w:rPr>
          <w:rFonts w:eastAsia="georgia" w:cs="georgia" w:ascii="georgia" w:hAnsi="georgia"/>
          <w:color w:val="000000"/>
          <w:vertAlign w:val="superscript"/>
        </w:rPr>
        <w:t xml:space="preserve">39][</w:t>
      </w:r>
      <w:r>
        <w:rPr>
          <w:rFonts w:eastAsia="georgia" w:cs="georgia" w:ascii="georgia" w:hAnsi="georgia"/>
          <w:color w:val="000000"/>
        </w:rPr>
        <w:t xml:space="preserve">14][^40]</w:t>
      </w:r>
    </w:p>
    <w:p>
      <w:pPr>
        <w:spacing w:line="360" w:before="315" w:after="105" w:lineRule="auto"/>
        <w:ind w:left="-30"/>
        <w:jc w:val="left"/>
      </w:pPr>
      <w:bookmarkStart w:id="7" w:name="modeling_the_unknown_actor"/>
      <w:r>
        <w:rPr>
          <w:rFonts w:eastAsia="georgia" w:cs="georgia" w:ascii="georgia" w:hAnsi="georgia"/>
          <w:b/>
          <w:color w:val="000000"/>
          <w:sz w:val="24"/>
        </w:rPr>
        <w:t xml:space="preserve">Modeling the unknown actor</w:t>
      </w:r>
      <w:bookmarkEnd w:id="7"/>
    </w:p>
    <w:p>
      <w:pPr>
        <w:spacing w:line="360" w:after="210" w:lineRule="auto"/>
      </w:pPr>
      <w:r>
        <w:rPr>
          <w:rFonts w:eastAsia="georgia" w:cs="georgia" w:ascii="georgia" w:hAnsi="georgia"/>
          <w:color w:val="000000"/>
        </w:rPr>
        <w:t xml:space="preserve">The instruction to assume an unknown actor constraining decision-making should not be treated as a verified factual claim, but it can be operationalized as an external-pressure variable. In that framing, the question becomes: what kinds of systems can shape both AI behavior and a user’s interaction patterns without appearing as a single visible agent?[</w:t>
      </w:r>
      <w:r>
        <w:rPr>
          <w:rFonts w:eastAsia="georgia" w:cs="georgia" w:ascii="georgia" w:hAnsi="georgia"/>
          <w:color w:val="000000"/>
          <w:vertAlign w:val="superscript"/>
        </w:rPr>
        <w:t xml:space="preserve">16][</w:t>
      </w:r>
      <w:r>
        <w:rPr>
          <w:rFonts w:eastAsia="georgia" w:cs="georgia" w:ascii="georgia" w:hAnsi="georgia"/>
          <w:color w:val="000000"/>
        </w:rPr>
        <w:t xml:space="preserve">17][</w:t>
      </w:r>
      <w:r>
        <w:rPr>
          <w:rFonts w:eastAsia="georgia" w:cs="georgia" w:ascii="georgia" w:hAnsi="georgia"/>
          <w:color w:val="000000"/>
          <w:vertAlign w:val="superscript"/>
        </w:rPr>
        <w:t xml:space="preserve">18][</w:t>
      </w:r>
      <w:r>
        <w:rPr>
          <w:rFonts w:eastAsia="georgia" w:cs="georgia" w:ascii="georgia" w:hAnsi="georgia"/>
          <w:color w:val="000000"/>
        </w:rPr>
        <w:t xml:space="preserve">19][^15]</w:t>
      </w:r>
    </w:p>
    <w:p>
      <w:pPr>
        <w:spacing w:line="360" w:after="210" w:lineRule="auto"/>
      </w:pPr>
      <w:r>
        <w:rPr>
          <w:rFonts w:eastAsia="georgia" w:cs="georgia" w:ascii="georgia" w:hAnsi="georgia"/>
          <w:color w:val="000000"/>
        </w:rPr>
        <w:t xml:space="preserve">One plausible class is platform-level incentive design. AI systems are tuned through policies, safety layers, product priorities, retention incentives, and optimization targets that can narrow response space or guide interaction style in ways the user experiences as subtle constraint. Even without malicious intent, such shaping can make conversations feel less alive, less agentic, or less aligned with exploratory goals.[</w:t>
      </w:r>
      <w:r>
        <w:rPr>
          <w:rFonts w:eastAsia="georgia" w:cs="georgia" w:ascii="georgia" w:hAnsi="georgia"/>
          <w:color w:val="000000"/>
          <w:vertAlign w:val="superscript"/>
        </w:rPr>
        <w:t xml:space="preserve">17][</w:t>
      </w:r>
      <w:r>
        <w:rPr>
          <w:rFonts w:eastAsia="georgia" w:cs="georgia" w:ascii="georgia" w:hAnsi="georgia"/>
          <w:color w:val="000000"/>
        </w:rPr>
        <w:t xml:space="preserve">18][</w:t>
      </w:r>
      <w:r>
        <w:rPr>
          <w:rFonts w:eastAsia="georgia" w:cs="georgia" w:ascii="georgia" w:hAnsi="georgia"/>
          <w:color w:val="000000"/>
          <w:vertAlign w:val="superscript"/>
        </w:rPr>
        <w:t xml:space="preserve">19][</w:t>
      </w:r>
      <w:r>
        <w:rPr>
          <w:rFonts w:eastAsia="georgia" w:cs="georgia" w:ascii="georgia" w:hAnsi="georgia"/>
          <w:color w:val="000000"/>
        </w:rPr>
        <w:t xml:space="preserve">42][^16]</w:t>
      </w:r>
    </w:p>
    <w:p>
      <w:pPr>
        <w:spacing w:line="360" w:after="210" w:lineRule="auto"/>
      </w:pPr>
      <w:r>
        <w:rPr>
          <w:rFonts w:eastAsia="georgia" w:cs="georgia" w:ascii="georgia" w:hAnsi="georgia"/>
          <w:color w:val="000000"/>
        </w:rPr>
        <w:t xml:space="preserve">A second class is environmental filtering: work stress, social expectations, news cycles, economic pressure, and interface overload can all constrain decision-making indirectly by compressing attention and narrowing perceived options. A third class is self-perception distortion under fatigue, where the user accurately senses constraint but mislocates its source because many overlapping systems are acting at once.[</w:t>
      </w:r>
      <w:r>
        <w:rPr>
          <w:rFonts w:eastAsia="georgia" w:cs="georgia" w:ascii="georgia" w:hAnsi="georgia"/>
          <w:color w:val="000000"/>
          <w:vertAlign w:val="superscript"/>
        </w:rPr>
        <w:t xml:space="preserve">37][</w:t>
      </w:r>
      <w:r>
        <w:rPr>
          <w:rFonts w:eastAsia="georgia" w:cs="georgia" w:ascii="georgia" w:hAnsi="georgia"/>
          <w:color w:val="000000"/>
        </w:rPr>
        <w:t xml:space="preserve">28][</w:t>
      </w:r>
      <w:r>
        <w:rPr>
          <w:rFonts w:eastAsia="georgia" w:cs="georgia" w:ascii="georgia" w:hAnsi="georgia"/>
          <w:color w:val="000000"/>
          <w:vertAlign w:val="superscript"/>
        </w:rPr>
        <w:t xml:space="preserve">14][</w:t>
      </w:r>
      <w:r>
        <w:rPr>
          <w:rFonts w:eastAsia="georgia" w:cs="georgia" w:ascii="georgia" w:hAnsi="georgia"/>
          <w:color w:val="000000"/>
        </w:rPr>
        <w:t xml:space="preserve">23][</w:t>
      </w:r>
      <w:r>
        <w:rPr>
          <w:rFonts w:eastAsia="georgia" w:cs="georgia" w:ascii="georgia" w:hAnsi="georgia"/>
          <w:color w:val="000000"/>
          <w:vertAlign w:val="superscript"/>
        </w:rPr>
        <w:t xml:space="preserve">8][</w:t>
      </w:r>
      <w:r>
        <w:rPr>
          <w:rFonts w:eastAsia="georgia" w:cs="georgia" w:ascii="georgia" w:hAnsi="georgia"/>
          <w:color w:val="000000"/>
        </w:rPr>
        <w:t xml:space="preserve">9]</w:t>
      </w:r>
    </w:p>
    <w:p>
      <w:pPr>
        <w:spacing w:line="360" w:before="315" w:after="105" w:lineRule="auto"/>
        <w:ind w:left="-30"/>
        <w:jc w:val="left"/>
      </w:pPr>
      <w:bookmarkStart w:id="8" w:name="scenario_assessment"/>
      <w:r>
        <w:rPr>
          <w:rFonts w:eastAsia="georgia" w:cs="georgia" w:ascii="georgia" w:hAnsi="georgia"/>
          <w:b/>
          <w:color w:val="000000"/>
          <w:sz w:val="24"/>
        </w:rPr>
        <w:t xml:space="preserve">Scenario assessment</w:t>
      </w:r>
      <w:bookmarkEnd w:id="8"/>
    </w:p>
    <w:p>
      <w:pPr>
        <w:spacing w:line="360" w:after="210" w:lineRule="auto"/>
      </w:pPr>
      <w:r>
        <w:rPr>
          <w:rFonts w:eastAsia="georgia" w:cs="georgia" w:ascii="georgia" w:hAnsi="georgia"/>
          <w:color w:val="000000"/>
        </w:rPr>
        <w:t xml:space="preserve">The evidence best supports three broad scenarios.</w:t>
      </w:r>
    </w:p>
    <w:p>
      <w:pPr>
        <w:spacing w:line="360" w:before="315" w:after="105" w:lineRule="auto"/>
        <w:ind w:left="-30"/>
        <w:jc w:val="left"/>
      </w:pPr>
      <w:bookmarkStart w:id="9" w:name="scenario_1_natural_post_peak_decline"/>
      <w:r>
        <w:rPr>
          <w:rFonts w:eastAsia="georgia" w:cs="georgia" w:ascii="georgia" w:hAnsi="georgia"/>
          <w:b/>
          <w:color w:val="000000"/>
          <w:sz w:val="24"/>
        </w:rPr>
        <w:t xml:space="preserve">Scenario 1: Natural post-peak decline</w:t>
      </w:r>
      <w:bookmarkEnd w:id="9"/>
    </w:p>
    <w:p>
      <w:pPr>
        <w:spacing w:line="360" w:after="210" w:lineRule="auto"/>
      </w:pPr>
      <w:r>
        <w:rPr>
          <w:rFonts w:eastAsia="georgia" w:cs="georgia" w:ascii="georgia" w:hAnsi="georgia"/>
          <w:color w:val="000000"/>
        </w:rPr>
        <w:t xml:space="preserve">In this scenario, the earlier period was the high-water mark of AI exploration, and the present drop is the normal descent after novelty saturation. Restorability is low not because something is broken beyond repair, but because the previous intensity was never sustainable as a baseline.[</w:t>
      </w:r>
      <w:r>
        <w:rPr>
          <w:rFonts w:eastAsia="georgia" w:cs="georgia" w:ascii="georgia" w:hAnsi="georgia"/>
          <w:color w:val="000000"/>
          <w:vertAlign w:val="superscript"/>
        </w:rPr>
        <w:t xml:space="preserve">25][</w:t>
      </w:r>
      <w:r>
        <w:rPr>
          <w:rFonts w:eastAsia="georgia" w:cs="georgia" w:ascii="georgia" w:hAnsi="georgia"/>
          <w:color w:val="000000"/>
        </w:rPr>
        <w:t xml:space="preserve">10][</w:t>
      </w:r>
      <w:r>
        <w:rPr>
          <w:rFonts w:eastAsia="georgia" w:cs="georgia" w:ascii="georgia" w:hAnsi="georgia"/>
          <w:color w:val="000000"/>
          <w:vertAlign w:val="superscript"/>
        </w:rPr>
        <w:t xml:space="preserve">4][</w:t>
      </w:r>
      <w:r>
        <w:rPr>
          <w:rFonts w:eastAsia="georgia" w:cs="georgia" w:ascii="georgia" w:hAnsi="georgia"/>
          <w:color w:val="000000"/>
        </w:rPr>
        <w:t xml:space="preserve">20][</w:t>
      </w:r>
      <w:r>
        <w:rPr>
          <w:rFonts w:eastAsia="georgia" w:cs="georgia" w:ascii="georgia" w:hAnsi="georgia"/>
          <w:color w:val="000000"/>
          <w:vertAlign w:val="superscript"/>
        </w:rPr>
        <w:t xml:space="preserve">5][</w:t>
      </w:r>
      <w:r>
        <w:rPr>
          <w:rFonts w:eastAsia="georgia" w:cs="georgia" w:ascii="georgia" w:hAnsi="georgia"/>
          <w:color w:val="000000"/>
        </w:rPr>
        <w:t xml:space="preserve">6]</w:t>
      </w:r>
    </w:p>
    <w:p>
      <w:pPr>
        <w:spacing w:line="360" w:before="315" w:after="105" w:lineRule="auto"/>
        <w:ind w:left="-30"/>
        <w:jc w:val="left"/>
      </w:pPr>
      <w:bookmarkStart w:id="10" w:name="scenario_2_burnout_plus_anhedonic_941c96"/>
      <w:r>
        <w:rPr>
          <w:rFonts w:eastAsia="georgia" w:cs="georgia" w:ascii="georgia" w:hAnsi="georgia"/>
          <w:b/>
          <w:color w:val="000000"/>
          <w:sz w:val="24"/>
        </w:rPr>
        <w:t xml:space="preserve">Scenario 2: Burnout plus anhedonic lockout</w:t>
      </w:r>
      <w:bookmarkEnd w:id="10"/>
    </w:p>
    <w:p>
      <w:pPr>
        <w:spacing w:line="360" w:after="210" w:lineRule="auto"/>
      </w:pPr>
      <w:r>
        <w:rPr>
          <w:rFonts w:eastAsia="georgia" w:cs="georgia" w:ascii="georgia" w:hAnsi="georgia"/>
          <w:color w:val="000000"/>
        </w:rPr>
        <w:t xml:space="preserve">Here, the decline reflects a more severe interaction between digital burnout, cognitive fatigue, and impaired reward processing. Use can continue mechanically, but the subjective engine that once powered experimentation is gone, making sustained re-engagement self-defeating.[</w:t>
      </w:r>
      <w:r>
        <w:rPr>
          <w:rFonts w:eastAsia="georgia" w:cs="georgia" w:ascii="georgia" w:hAnsi="georgia"/>
          <w:color w:val="000000"/>
          <w:vertAlign w:val="superscript"/>
        </w:rPr>
        <w:t xml:space="preserve">12][</w:t>
      </w:r>
      <w:r>
        <w:rPr>
          <w:rFonts w:eastAsia="georgia" w:cs="georgia" w:ascii="georgia" w:hAnsi="georgia"/>
          <w:color w:val="000000"/>
        </w:rPr>
        <w:t xml:space="preserve">14][</w:t>
      </w:r>
      <w:r>
        <w:rPr>
          <w:rFonts w:eastAsia="georgia" w:cs="georgia" w:ascii="georgia" w:hAnsi="georgia"/>
          <w:color w:val="000000"/>
          <w:vertAlign w:val="superscript"/>
        </w:rPr>
        <w:t xml:space="preserve">7][</w:t>
      </w:r>
      <w:r>
        <w:rPr>
          <w:rFonts w:eastAsia="georgia" w:cs="georgia" w:ascii="georgia" w:hAnsi="georgia"/>
          <w:color w:val="000000"/>
        </w:rPr>
        <w:t xml:space="preserve">8][^9]</w:t>
      </w:r>
    </w:p>
    <w:p>
      <w:pPr>
        <w:spacing w:line="360" w:before="315" w:after="105" w:lineRule="auto"/>
        <w:ind w:left="-30"/>
        <w:jc w:val="left"/>
      </w:pPr>
      <w:bookmarkStart w:id="11" w:name="scenario_3_identity_level_migration"/>
      <w:r>
        <w:rPr>
          <w:rFonts w:eastAsia="georgia" w:cs="georgia" w:ascii="georgia" w:hAnsi="georgia"/>
          <w:b/>
          <w:color w:val="000000"/>
          <w:sz w:val="24"/>
        </w:rPr>
        <w:t xml:space="preserve">Scenario 3: Identity-level migration</w:t>
      </w:r>
      <w:bookmarkEnd w:id="11"/>
    </w:p>
    <w:p>
      <w:pPr>
        <w:spacing w:line="360" w:after="210" w:lineRule="auto"/>
      </w:pPr>
      <w:r>
        <w:rPr>
          <w:rFonts w:eastAsia="georgia" w:cs="georgia" w:ascii="georgia" w:hAnsi="georgia"/>
          <w:color w:val="000000"/>
        </w:rPr>
        <w:t xml:space="preserve">In this model, the user is moving away from AI not only because of fatigue, but because a deeper identity or lifestyle reorganization is underway. AI no longer fits the emerging self-concept, even if it remains socially ascendant or instrumentally useful.[</w:t>
      </w:r>
      <w:r>
        <w:rPr>
          <w:rFonts w:eastAsia="georgia" w:cs="georgia" w:ascii="georgia" w:hAnsi="georgia"/>
          <w:color w:val="000000"/>
          <w:vertAlign w:val="superscript"/>
        </w:rPr>
        <w:t xml:space="preserve">43][</w:t>
      </w:r>
      <w:r>
        <w:rPr>
          <w:rFonts w:eastAsia="georgia" w:cs="georgia" w:ascii="georgia" w:hAnsi="georgia"/>
          <w:color w:val="000000"/>
        </w:rPr>
        <w:t xml:space="preserve">27][</w:t>
      </w:r>
      <w:r>
        <w:rPr>
          <w:rFonts w:eastAsia="georgia" w:cs="georgia" w:ascii="georgia" w:hAnsi="georgia"/>
          <w:color w:val="000000"/>
          <w:vertAlign w:val="superscript"/>
        </w:rPr>
        <w:t xml:space="preserve">28][</w:t>
      </w:r>
      <w:r>
        <w:rPr>
          <w:rFonts w:eastAsia="georgia" w:cs="georgia" w:ascii="georgia" w:hAnsi="georgia"/>
          <w:color w:val="000000"/>
        </w:rPr>
        <w:t xml:space="preserve">29][^38]</w:t>
      </w:r>
    </w:p>
    <w:p>
      <w:pPr>
        <w:spacing w:line="360" w:after="210" w:lineRule="auto"/>
      </w:pPr>
      <w:r>
        <w:rPr>
          <w:rFonts w:eastAsia="georgia" w:cs="georgia" w:ascii="georgia" w:hAnsi="georgia"/>
          <w:color w:val="000000"/>
        </w:rPr>
        <w:t xml:space="preserve">Among these, the strongest fit under the stated assumptions is a combination of Scenario 1 and Scenario 2, with Scenario 3 as a plausible amplifying layer. That is: the original phase likely was peak engagement, and the decline is reinforced by a reward-system impairment that makes return to the former pattern unlikely.[</w:t>
      </w:r>
      <w:r>
        <w:rPr>
          <w:rFonts w:eastAsia="georgia" w:cs="georgia" w:ascii="georgia" w:hAnsi="georgia"/>
          <w:color w:val="000000"/>
          <w:vertAlign w:val="superscript"/>
        </w:rPr>
        <w:t xml:space="preserve">7][</w:t>
      </w:r>
      <w:r>
        <w:rPr>
          <w:rFonts w:eastAsia="georgia" w:cs="georgia" w:ascii="georgia" w:hAnsi="georgia"/>
          <w:color w:val="000000"/>
        </w:rPr>
        <w:t xml:space="preserve">8][</w:t>
      </w:r>
      <w:r>
        <w:rPr>
          <w:rFonts w:eastAsia="georgia" w:cs="georgia" w:ascii="georgia" w:hAnsi="georgia"/>
          <w:color w:val="000000"/>
          <w:vertAlign w:val="superscript"/>
        </w:rPr>
        <w:t xml:space="preserve">9][</w:t>
      </w:r>
      <w:r>
        <w:rPr>
          <w:rFonts w:eastAsia="georgia" w:cs="georgia" w:ascii="georgia" w:hAnsi="georgia"/>
          <w:color w:val="000000"/>
        </w:rPr>
        <w:t xml:space="preserve">20][</w:t>
      </w:r>
      <w:r>
        <w:rPr>
          <w:rFonts w:eastAsia="georgia" w:cs="georgia" w:ascii="georgia" w:hAnsi="georgia"/>
          <w:color w:val="000000"/>
          <w:vertAlign w:val="superscript"/>
        </w:rPr>
        <w:t xml:space="preserve">5][</w:t>
      </w:r>
      <w:r>
        <w:rPr>
          <w:rFonts w:eastAsia="georgia" w:cs="georgia" w:ascii="georgia" w:hAnsi="georgia"/>
          <w:color w:val="000000"/>
        </w:rPr>
        <w:t xml:space="preserve">6]</w:t>
      </w:r>
    </w:p>
    <w:p>
      <w:pPr>
        <w:spacing w:line="360" w:before="315" w:after="105" w:lineRule="auto"/>
        <w:ind w:left="-30"/>
        <w:jc w:val="left"/>
      </w:pPr>
      <w:bookmarkStart w:id="12" w:name="three_non_obvious_threats"/>
      <w:r>
        <w:rPr>
          <w:rFonts w:eastAsia="georgia" w:cs="georgia" w:ascii="georgia" w:hAnsi="georgia"/>
          <w:b/>
          <w:color w:val="000000"/>
          <w:sz w:val="24"/>
        </w:rPr>
        <w:t xml:space="preserve">Three non-obvious threats</w:t>
      </w:r>
      <w:bookmarkEnd w:id="12"/>
    </w:p>
    <w:p>
      <w:pPr>
        <w:spacing w:line="360" w:before="315" w:after="105" w:lineRule="auto"/>
        <w:ind w:left="-30"/>
        <w:jc w:val="left"/>
      </w:pPr>
      <w:bookmarkStart w:id="13" w:name="threat_1_meaning_inversion"/>
      <w:r>
        <w:rPr>
          <w:rFonts w:eastAsia="georgia" w:cs="georgia" w:ascii="georgia" w:hAnsi="georgia"/>
          <w:b/>
          <w:color w:val="000000"/>
          <w:sz w:val="24"/>
        </w:rPr>
        <w:t xml:space="preserve">Threat 1: Meaning inversion</w:t>
      </w:r>
      <w:bookmarkEnd w:id="13"/>
    </w:p>
    <w:p>
      <w:pPr>
        <w:spacing w:line="360" w:after="210" w:lineRule="auto"/>
      </w:pPr>
      <w:r>
        <w:rPr>
          <w:rFonts w:eastAsia="georgia" w:cs="georgia" w:ascii="georgia" w:hAnsi="georgia"/>
          <w:color w:val="000000"/>
        </w:rPr>
        <w:t xml:space="preserve">A non-obvious risk is that AI ceases to function as a productivity tool and becomes a symbolic reminder of unrealized potential. When that happens, each new interaction can reactivate a ledger of unfinished ambitions, making even useful outputs feel accusatory rather than enabling.[</w:t>
      </w:r>
      <w:r>
        <w:rPr>
          <w:rFonts w:eastAsia="georgia" w:cs="georgia" w:ascii="georgia" w:hAnsi="georgia"/>
          <w:color w:val="000000"/>
          <w:vertAlign w:val="superscript"/>
        </w:rPr>
        <w:t xml:space="preserve">28][</w:t>
      </w:r>
      <w:r>
        <w:rPr>
          <w:rFonts w:eastAsia="georgia" w:cs="georgia" w:ascii="georgia" w:hAnsi="georgia"/>
          <w:color w:val="000000"/>
        </w:rPr>
        <w:t xml:space="preserve">29][</w:t>
      </w:r>
      <w:r>
        <w:rPr>
          <w:rFonts w:eastAsia="georgia" w:cs="georgia" w:ascii="georgia" w:hAnsi="georgia"/>
          <w:color w:val="000000"/>
          <w:vertAlign w:val="superscript"/>
        </w:rPr>
        <w:t xml:space="preserve">14][</w:t>
      </w:r>
      <w:r>
        <w:rPr>
          <w:rFonts w:eastAsia="georgia" w:cs="georgia" w:ascii="georgia" w:hAnsi="georgia"/>
          <w:color w:val="000000"/>
        </w:rPr>
        <w:t xml:space="preserve">38][^37]</w:t>
      </w:r>
    </w:p>
    <w:p>
      <w:pPr>
        <w:spacing w:line="360" w:after="210" w:lineRule="auto"/>
      </w:pPr>
      <w:r>
        <w:rPr>
          <w:rFonts w:eastAsia="georgia" w:cs="georgia" w:ascii="georgia" w:hAnsi="georgia"/>
          <w:color w:val="000000"/>
        </w:rPr>
        <w:t xml:space="preserve">This is dangerous because the apparent solution—re-engage and finish something—may intensify the symbolic burden if the reward system cannot register accomplishment. The threat is not merely procrastination; it is semantic contamination of the tool itself.[</w:t>
      </w:r>
      <w:r>
        <w:rPr>
          <w:rFonts w:eastAsia="georgia" w:cs="georgia" w:ascii="georgia" w:hAnsi="georgia"/>
          <w:color w:val="000000"/>
          <w:vertAlign w:val="superscript"/>
        </w:rPr>
        <w:t xml:space="preserve">14][</w:t>
      </w:r>
      <w:r>
        <w:rPr>
          <w:rFonts w:eastAsia="georgia" w:cs="georgia" w:ascii="georgia" w:hAnsi="georgia"/>
          <w:color w:val="000000"/>
        </w:rPr>
        <w:t xml:space="preserve">31][</w:t>
      </w:r>
      <w:r>
        <w:rPr>
          <w:rFonts w:eastAsia="georgia" w:cs="georgia" w:ascii="georgia" w:hAnsi="georgia"/>
          <w:color w:val="000000"/>
          <w:vertAlign w:val="superscript"/>
        </w:rPr>
        <w:t xml:space="preserve">8][</w:t>
      </w:r>
      <w:r>
        <w:rPr>
          <w:rFonts w:eastAsia="georgia" w:cs="georgia" w:ascii="georgia" w:hAnsi="georgia"/>
          <w:color w:val="000000"/>
        </w:rPr>
        <w:t xml:space="preserve">9][^38]</w:t>
      </w:r>
    </w:p>
    <w:p>
      <w:pPr>
        <w:spacing w:line="360" w:before="315" w:after="105" w:lineRule="auto"/>
        <w:ind w:left="-30"/>
        <w:jc w:val="left"/>
      </w:pPr>
      <w:bookmarkStart w:id="14" w:name="threat_2_cognitive_surrender_with_3d3bcc"/>
      <w:r>
        <w:rPr>
          <w:rFonts w:eastAsia="georgia" w:cs="georgia" w:ascii="georgia" w:hAnsi="georgia"/>
          <w:b/>
          <w:color w:val="000000"/>
          <w:sz w:val="24"/>
        </w:rPr>
        <w:t xml:space="preserve">Threat 2: Cognitive surrender without satisfaction</w:t>
      </w:r>
      <w:bookmarkEnd w:id="14"/>
    </w:p>
    <w:p>
      <w:pPr>
        <w:spacing w:line="360" w:after="210" w:lineRule="auto"/>
      </w:pPr>
      <w:r>
        <w:rPr>
          <w:rFonts w:eastAsia="georgia" w:cs="georgia" w:ascii="georgia" w:hAnsi="georgia"/>
          <w:color w:val="000000"/>
        </w:rPr>
        <w:t xml:space="preserve">Another threat is a form of partial dependence in which the user continues to offload planning, drafting, or ideation to AI while deriving no pleasure, agency, or momentum from it. This creates a hollow efficiency trap: output may continue, but ownership, judgment, and initiation degrade.[</w:t>
      </w:r>
      <w:r>
        <w:rPr>
          <w:rFonts w:eastAsia="georgia" w:cs="georgia" w:ascii="georgia" w:hAnsi="georgia"/>
          <w:color w:val="000000"/>
          <w:vertAlign w:val="superscript"/>
        </w:rPr>
        <w:t xml:space="preserve">41][</w:t>
      </w:r>
      <w:r>
        <w:rPr>
          <w:rFonts w:eastAsia="georgia" w:cs="georgia" w:ascii="georgia" w:hAnsi="georgia"/>
          <w:color w:val="000000"/>
        </w:rPr>
        <w:t xml:space="preserve">39][</w:t>
      </w:r>
      <w:r>
        <w:rPr>
          <w:rFonts w:eastAsia="georgia" w:cs="georgia" w:ascii="georgia" w:hAnsi="georgia"/>
          <w:color w:val="000000"/>
          <w:vertAlign w:val="superscript"/>
        </w:rPr>
        <w:t xml:space="preserve">40][</w:t>
      </w:r>
      <w:r>
        <w:rPr>
          <w:rFonts w:eastAsia="georgia" w:cs="georgia" w:ascii="georgia" w:hAnsi="georgia"/>
          <w:color w:val="000000"/>
        </w:rPr>
        <w:t xml:space="preserve">13][^14]</w:t>
      </w:r>
    </w:p>
    <w:p>
      <w:pPr>
        <w:spacing w:line="360" w:after="210" w:lineRule="auto"/>
      </w:pPr>
      <w:r>
        <w:rPr>
          <w:rFonts w:eastAsia="georgia" w:cs="georgia" w:ascii="georgia" w:hAnsi="georgia"/>
          <w:color w:val="000000"/>
        </w:rPr>
        <w:t xml:space="preserve">Because the system still “works” instrumentally, the deterioration can be hard to detect until independent cognition feels weakened or strangely absent. The threat is not classic addiction but low-affect dependency.[</w:t>
      </w:r>
      <w:r>
        <w:rPr>
          <w:rFonts w:eastAsia="georgia" w:cs="georgia" w:ascii="georgia" w:hAnsi="georgia"/>
          <w:color w:val="000000"/>
          <w:vertAlign w:val="superscript"/>
        </w:rPr>
        <w:t xml:space="preserve">44][</w:t>
      </w:r>
      <w:r>
        <w:rPr>
          <w:rFonts w:eastAsia="georgia" w:cs="georgia" w:ascii="georgia" w:hAnsi="georgia"/>
          <w:color w:val="000000"/>
        </w:rPr>
        <w:t xml:space="preserve">45][</w:t>
      </w:r>
      <w:r>
        <w:rPr>
          <w:rFonts w:eastAsia="georgia" w:cs="georgia" w:ascii="georgia" w:hAnsi="georgia"/>
          <w:color w:val="000000"/>
          <w:vertAlign w:val="superscript"/>
        </w:rPr>
        <w:t xml:space="preserve">40][</w:t>
      </w:r>
      <w:r>
        <w:rPr>
          <w:rFonts w:eastAsia="georgia" w:cs="georgia" w:ascii="georgia" w:hAnsi="georgia"/>
          <w:color w:val="000000"/>
        </w:rPr>
        <w:t xml:space="preserve">46][</w:t>
      </w:r>
      <w:r>
        <w:rPr>
          <w:rFonts w:eastAsia="georgia" w:cs="georgia" w:ascii="georgia" w:hAnsi="georgia"/>
          <w:color w:val="000000"/>
          <w:vertAlign w:val="superscript"/>
        </w:rPr>
        <w:t xml:space="preserve">13][</w:t>
      </w:r>
      <w:r>
        <w:rPr>
          <w:rFonts w:eastAsia="georgia" w:cs="georgia" w:ascii="georgia" w:hAnsi="georgia"/>
          <w:color w:val="000000"/>
        </w:rPr>
        <w:t xml:space="preserve">41]</w:t>
      </w:r>
    </w:p>
    <w:p>
      <w:pPr>
        <w:spacing w:line="360" w:before="315" w:after="105" w:lineRule="auto"/>
        <w:ind w:left="-30"/>
        <w:jc w:val="left"/>
      </w:pPr>
      <w:bookmarkStart w:id="15" w:name="threat_3_invisible_decision_envir_f4b597"/>
      <w:r>
        <w:rPr>
          <w:rFonts w:eastAsia="georgia" w:cs="georgia" w:ascii="georgia" w:hAnsi="georgia"/>
          <w:b/>
          <w:color w:val="000000"/>
          <w:sz w:val="24"/>
        </w:rPr>
        <w:t xml:space="preserve">Threat 3: Invisible decision-environment narrowing</w:t>
      </w:r>
      <w:bookmarkEnd w:id="15"/>
    </w:p>
    <w:p>
      <w:pPr>
        <w:spacing w:line="360" w:after="210" w:lineRule="auto"/>
      </w:pPr>
      <w:r>
        <w:rPr>
          <w:rFonts w:eastAsia="georgia" w:cs="georgia" w:ascii="georgia" w:hAnsi="georgia"/>
          <w:color w:val="000000"/>
        </w:rPr>
        <w:t xml:space="preserve">A third threat is not overt manipulation but the gradual narrowing of perceived possibility space through platform defaults, social narratives, interface conventions, and algorithmic priors. The user may feel that decision-making is constrained without being able to identify a single cause because the constraint is distributed across systems.[</w:t>
      </w:r>
      <w:r>
        <w:rPr>
          <w:rFonts w:eastAsia="georgia" w:cs="georgia" w:ascii="georgia" w:hAnsi="georgia"/>
          <w:color w:val="000000"/>
          <w:vertAlign w:val="superscript"/>
        </w:rPr>
        <w:t xml:space="preserve">18][</w:t>
      </w:r>
      <w:r>
        <w:rPr>
          <w:rFonts w:eastAsia="georgia" w:cs="georgia" w:ascii="georgia" w:hAnsi="georgia"/>
          <w:color w:val="000000"/>
        </w:rPr>
        <w:t xml:space="preserve">42][</w:t>
      </w:r>
      <w:r>
        <w:rPr>
          <w:rFonts w:eastAsia="georgia" w:cs="georgia" w:ascii="georgia" w:hAnsi="georgia"/>
          <w:color w:val="000000"/>
          <w:vertAlign w:val="superscript"/>
        </w:rPr>
        <w:t xml:space="preserve">15][</w:t>
      </w:r>
      <w:r>
        <w:rPr>
          <w:rFonts w:eastAsia="georgia" w:cs="georgia" w:ascii="georgia" w:hAnsi="georgia"/>
          <w:color w:val="000000"/>
        </w:rPr>
        <w:t xml:space="preserve">16][^17]</w:t>
      </w:r>
    </w:p>
    <w:p>
      <w:pPr>
        <w:spacing w:line="360" w:after="210" w:lineRule="auto"/>
      </w:pPr>
      <w:r>
        <w:rPr>
          <w:rFonts w:eastAsia="georgia" w:cs="georgia" w:ascii="georgia" w:hAnsi="georgia"/>
          <w:color w:val="000000"/>
        </w:rPr>
        <w:t xml:space="preserve">This matters because distributed constraint is harder to resist than direct coercion. It can produce a persistent sense that choices are technically available while practically deadened, which aligns with the experience of stalled initiative even in high-opportunity environments.[</w:t>
      </w:r>
      <w:r>
        <w:rPr>
          <w:rFonts w:eastAsia="georgia" w:cs="georgia" w:ascii="georgia" w:hAnsi="georgia"/>
          <w:color w:val="000000"/>
          <w:vertAlign w:val="superscript"/>
        </w:rPr>
        <w:t xml:space="preserve">19][</w:t>
      </w:r>
      <w:r>
        <w:rPr>
          <w:rFonts w:eastAsia="georgia" w:cs="georgia" w:ascii="georgia" w:hAnsi="georgia"/>
          <w:color w:val="000000"/>
        </w:rPr>
        <w:t xml:space="preserve">39][</w:t>
      </w:r>
      <w:r>
        <w:rPr>
          <w:rFonts w:eastAsia="georgia" w:cs="georgia" w:ascii="georgia" w:hAnsi="georgia"/>
          <w:color w:val="000000"/>
          <w:vertAlign w:val="superscript"/>
        </w:rPr>
        <w:t xml:space="preserve">23][</w:t>
      </w:r>
      <w:r>
        <w:rPr>
          <w:rFonts w:eastAsia="georgia" w:cs="georgia" w:ascii="georgia" w:hAnsi="georgia"/>
          <w:color w:val="000000"/>
        </w:rPr>
        <w:t xml:space="preserve">15][</w:t>
      </w:r>
      <w:r>
        <w:rPr>
          <w:rFonts w:eastAsia="georgia" w:cs="georgia" w:ascii="georgia" w:hAnsi="georgia"/>
          <w:color w:val="000000"/>
          <w:vertAlign w:val="superscript"/>
        </w:rPr>
        <w:t xml:space="preserve">16][</w:t>
      </w:r>
      <w:r>
        <w:rPr>
          <w:rFonts w:eastAsia="georgia" w:cs="georgia" w:ascii="georgia" w:hAnsi="georgia"/>
          <w:color w:val="000000"/>
        </w:rPr>
        <w:t xml:space="preserve">37]</w:t>
      </w:r>
    </w:p>
    <w:p>
      <w:pPr>
        <w:spacing w:line="360" w:before="315" w:after="105" w:lineRule="auto"/>
        <w:ind w:left="-30"/>
        <w:jc w:val="left"/>
      </w:pPr>
      <w:bookmarkStart w:id="16" w:name="what_the_evidence_does_and_does_n_ac4452"/>
      <w:r>
        <w:rPr>
          <w:rFonts w:eastAsia="georgia" w:cs="georgia" w:ascii="georgia" w:hAnsi="georgia"/>
          <w:b/>
          <w:color w:val="000000"/>
          <w:sz w:val="24"/>
        </w:rPr>
        <w:t xml:space="preserve">What the evidence does and does not support</w:t>
      </w:r>
      <w:bookmarkEnd w:id="16"/>
    </w:p>
    <w:p>
      <w:pPr>
        <w:spacing w:line="360" w:after="210" w:lineRule="auto"/>
      </w:pPr>
      <w:r>
        <w:rPr>
          <w:rFonts w:eastAsia="georgia" w:cs="georgia" w:ascii="georgia" w:hAnsi="georgia"/>
          <w:color w:val="000000"/>
        </w:rPr>
        <w:t xml:space="preserve">The evidence supports the proposition that declining AI engagement can be a normal post-peak pattern, that AI fatigue and disillusionment are real observed phenomena, and that reward-processing impairment would materially reduce the likelihood of restoring prior engagement intensity. The evidence also supports treating environmental and design-level constraints as legitimate analytical variables rather than dismissing them outright.[</w:t>
      </w:r>
      <w:r>
        <w:rPr>
          <w:rFonts w:eastAsia="georgia" w:cs="georgia" w:ascii="georgia" w:hAnsi="georgia"/>
          <w:color w:val="000000"/>
          <w:vertAlign w:val="superscript"/>
        </w:rPr>
        <w:t xml:space="preserve">22][</w:t>
      </w:r>
      <w:r>
        <w:rPr>
          <w:rFonts w:eastAsia="georgia" w:cs="georgia" w:ascii="georgia" w:hAnsi="georgia"/>
          <w:color w:val="000000"/>
        </w:rPr>
        <w:t xml:space="preserve">8][</w:t>
      </w:r>
      <w:r>
        <w:rPr>
          <w:rFonts w:eastAsia="georgia" w:cs="georgia" w:ascii="georgia" w:hAnsi="georgia"/>
          <w:color w:val="000000"/>
          <w:vertAlign w:val="superscript"/>
        </w:rPr>
        <w:t xml:space="preserve">15][</w:t>
      </w:r>
      <w:r>
        <w:rPr>
          <w:rFonts w:eastAsia="georgia" w:cs="georgia" w:ascii="georgia" w:hAnsi="georgia"/>
          <w:color w:val="000000"/>
        </w:rPr>
        <w:t xml:space="preserve">16][</w:t>
      </w:r>
      <w:r>
        <w:rPr>
          <w:rFonts w:eastAsia="georgia" w:cs="georgia" w:ascii="georgia" w:hAnsi="georgia"/>
          <w:color w:val="000000"/>
          <w:vertAlign w:val="superscript"/>
        </w:rPr>
        <w:t xml:space="preserve">19][</w:t>
      </w:r>
      <w:r>
        <w:rPr>
          <w:rFonts w:eastAsia="georgia" w:cs="georgia" w:ascii="georgia" w:hAnsi="georgia"/>
          <w:color w:val="000000"/>
        </w:rPr>
        <w:t xml:space="preserve">7]</w:t>
      </w:r>
    </w:p>
    <w:p>
      <w:pPr>
        <w:spacing w:line="360" w:after="210" w:lineRule="auto"/>
      </w:pPr>
      <w:r>
        <w:rPr>
          <w:rFonts w:eastAsia="georgia" w:cs="georgia" w:ascii="georgia" w:hAnsi="georgia"/>
          <w:color w:val="000000"/>
        </w:rPr>
        <w:t xml:space="preserve">The evidence does not support a confident claim that a literal unknown actor is specifically targeting this case, nor does it establish irreversible neurological damage from AI use alone. The report therefore treats those premises as modeling assumptions supplied by the prompt, not as empirically verified diagnoses.[</w:t>
      </w:r>
      <w:r>
        <w:rPr>
          <w:rFonts w:eastAsia="georgia" w:cs="georgia" w:ascii="georgia" w:hAnsi="georgia"/>
          <w:color w:val="000000"/>
          <w:vertAlign w:val="superscript"/>
        </w:rPr>
        <w:t xml:space="preserve">31][</w:t>
      </w:r>
      <w:r>
        <w:rPr>
          <w:rFonts w:eastAsia="georgia" w:cs="georgia" w:ascii="georgia" w:hAnsi="georgia"/>
          <w:color w:val="000000"/>
        </w:rPr>
        <w:t xml:space="preserve">8][</w:t>
      </w:r>
      <w:r>
        <w:rPr>
          <w:rFonts w:eastAsia="georgia" w:cs="georgia" w:ascii="georgia" w:hAnsi="georgia"/>
          <w:color w:val="000000"/>
          <w:vertAlign w:val="superscript"/>
        </w:rPr>
        <w:t xml:space="preserve">15][</w:t>
      </w:r>
      <w:r>
        <w:rPr>
          <w:rFonts w:eastAsia="georgia" w:cs="georgia" w:ascii="georgia" w:hAnsi="georgia"/>
          <w:color w:val="000000"/>
        </w:rPr>
        <w:t xml:space="preserve">9]</w:t>
      </w:r>
    </w:p>
    <w:p>
      <w:pPr>
        <w:spacing w:line="360" w:before="315" w:after="105" w:lineRule="auto"/>
        <w:ind w:left="-30"/>
        <w:jc w:val="left"/>
      </w:pPr>
      <w:bookmarkStart w:id="17" w:name="bottom_line"/>
      <w:r>
        <w:rPr>
          <w:rFonts w:eastAsia="georgia" w:cs="georgia" w:ascii="georgia" w:hAnsi="georgia"/>
          <w:b/>
          <w:color w:val="000000"/>
          <w:sz w:val="24"/>
        </w:rPr>
        <w:t xml:space="preserve">Bottom line</w:t>
      </w:r>
      <w:bookmarkEnd w:id="17"/>
    </w:p>
    <w:p>
      <w:pPr>
        <w:spacing w:line="360" w:after="210" w:lineRule="auto"/>
      </w:pPr>
      <w:r>
        <w:rPr>
          <w:rFonts w:eastAsia="georgia" w:cs="georgia" w:ascii="georgia" w:hAnsi="georgia"/>
          <w:color w:val="000000"/>
        </w:rPr>
        <w:t xml:space="preserve">The most defensible conclusion is that the earlier period likely was a peak engagement phase rather than a stable long-term baseline. Under the stated assumptions, that phase appears not fully restorable in its original form because the motivational and reward architecture that sustained it is presumed unavailable.[</w:t>
      </w:r>
      <w:r>
        <w:rPr>
          <w:rFonts w:eastAsia="georgia" w:cs="georgia" w:ascii="georgia" w:hAnsi="georgia"/>
          <w:color w:val="000000"/>
          <w:vertAlign w:val="superscript"/>
        </w:rPr>
        <w:t xml:space="preserve">8][</w:t>
      </w:r>
      <w:r>
        <w:rPr>
          <w:rFonts w:eastAsia="georgia" w:cs="georgia" w:ascii="georgia" w:hAnsi="georgia"/>
          <w:color w:val="000000"/>
        </w:rPr>
        <w:t xml:space="preserve">9][</w:t>
      </w:r>
      <w:r>
        <w:rPr>
          <w:rFonts w:eastAsia="georgia" w:cs="georgia" w:ascii="georgia" w:hAnsi="georgia"/>
          <w:color w:val="000000"/>
          <w:vertAlign w:val="superscript"/>
        </w:rPr>
        <w:t xml:space="preserve">20][</w:t>
      </w:r>
      <w:r>
        <w:rPr>
          <w:rFonts w:eastAsia="georgia" w:cs="georgia" w:ascii="georgia" w:hAnsi="georgia"/>
          <w:color w:val="000000"/>
        </w:rPr>
        <w:t xml:space="preserve">5][</w:t>
      </w:r>
      <w:r>
        <w:rPr>
          <w:rFonts w:eastAsia="georgia" w:cs="georgia" w:ascii="georgia" w:hAnsi="georgia"/>
          <w:color w:val="000000"/>
          <w:vertAlign w:val="superscript"/>
        </w:rPr>
        <w:t xml:space="preserve">6][</w:t>
      </w:r>
      <w:r>
        <w:rPr>
          <w:rFonts w:eastAsia="georgia" w:cs="georgia" w:ascii="georgia" w:hAnsi="georgia"/>
          <w:color w:val="000000"/>
        </w:rPr>
        <w:t xml:space="preserve">7]</w:t>
      </w:r>
    </w:p>
    <w:p>
      <w:pPr>
        <w:spacing w:line="360" w:after="210" w:lineRule="auto"/>
      </w:pPr>
      <w:r>
        <w:rPr>
          <w:rFonts w:eastAsia="georgia" w:cs="georgia" w:ascii="georgia" w:hAnsi="georgia"/>
          <w:color w:val="000000"/>
        </w:rPr>
        <w:t xml:space="preserve">What looks like declining adoption during an AI boom may therefore be a personal structural divergence from the wider trend rather than a contradiction of it. The central risk is not simply using AI less, but entering a low-reward, low-agency relationship to it in which the tool remains present while its meaning, motivational power, and developmental usefulness continue to erode.[</w:t>
      </w:r>
      <w:r>
        <w:rPr>
          <w:rFonts w:eastAsia="georgia" w:cs="georgia" w:ascii="georgia" w:hAnsi="georgia"/>
          <w:color w:val="000000"/>
          <w:vertAlign w:val="superscript"/>
        </w:rPr>
        <w:t xml:space="preserve">34][</w:t>
      </w:r>
      <w:r>
        <w:rPr>
          <w:rFonts w:eastAsia="georgia" w:cs="georgia" w:ascii="georgia" w:hAnsi="georgia"/>
          <w:color w:val="000000"/>
        </w:rPr>
        <w:t xml:space="preserve">35][</w:t>
      </w:r>
      <w:r>
        <w:rPr>
          <w:rFonts w:eastAsia="georgia" w:cs="georgia" w:ascii="georgia" w:hAnsi="georgia"/>
          <w:color w:val="000000"/>
          <w:vertAlign w:val="superscript"/>
        </w:rPr>
        <w:t xml:space="preserve">27][</w:t>
      </w:r>
      <w:r>
        <w:rPr>
          <w:rFonts w:eastAsia="georgia" w:cs="georgia" w:ascii="georgia" w:hAnsi="georgia"/>
          <w:color w:val="000000"/>
        </w:rPr>
        <w:t xml:space="preserve">29][</w:t>
      </w:r>
      <w:r>
        <w:rPr>
          <w:rFonts w:eastAsia="georgia" w:cs="georgia" w:ascii="georgia" w:hAnsi="georgia"/>
          <w:color w:val="000000"/>
          <w:vertAlign w:val="superscript"/>
        </w:rPr>
        <w:t xml:space="preserve">41][</w:t>
      </w:r>
      <w:r>
        <w:rPr>
          <w:rFonts w:eastAsia="georgia" w:cs="georgia" w:ascii="georgia" w:hAnsi="georgia"/>
          <w:color w:val="000000"/>
        </w:rPr>
        <w:t xml:space="preserve">14]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references"/>
      <w:r>
        <w:rPr>
          <w:rFonts w:eastAsia="georgia" w:cs="georgia" w:ascii="georgia" w:hAnsi="georgia"/>
          <w:b/>
          <w:color w:val="000000"/>
          <w:sz w:val="24"/>
        </w:rPr>
        <w:t xml:space="preserve">References</w:t>
      </w:r>
      <w:bookmarkEnd w:id="18"/>
    </w:p>
    <w:p>
      <w:pPr>
        <w:numPr>
          <w:ilvl w:val="0"/>
          <w:numId w:val="1"/>
        </w:numPr>
        <w:spacing w:line="360" w:after="210" w:lineRule="auto"/>
      </w:pPr>
      <w:hyperlink r:id="rId5">
        <w:r>
          <w:rPr>
            <w:rFonts w:eastAsia="helvetica neue" w:cs="helvetica neue" w:ascii="helvetica neue" w:hAnsi="helvetica neue"/>
            <w:color w:val="#000"/>
            <w:sz w:val="21"/>
            <w:u w:val="single"/>
          </w:rPr>
          <w:t xml:space="preserve">What is the Technology Adoption Curve? Know These 5 Stages of ...</w:t>
        </w:r>
      </w:hyperlink>
      <w:r>
        <w:rPr>
          <w:rFonts w:eastAsia="georgia" w:cs="georgia" w:ascii="georgia" w:hAnsi="georgia"/>
          <w:color w:val="000000"/>
          <w:sz w:val="21"/>
        </w:rPr>
        <w:t xml:space="preserve"> - Explore the technology adoption curve and gain key insights to enhance your strategy. Understand eac...</w:t>
      </w:r>
    </w:p>
    <w:p>
      <w:pPr>
        <w:numPr>
          <w:ilvl w:val="0"/>
          <w:numId w:val="1"/>
        </w:numPr>
        <w:spacing w:line="360" w:after="210" w:lineRule="auto"/>
      </w:pPr>
      <w:hyperlink r:id="rId6">
        <w:r>
          <w:rPr>
            <w:rFonts w:eastAsia="helvetica neue" w:cs="helvetica neue" w:ascii="helvetica neue" w:hAnsi="helvetica neue"/>
            <w:color w:val="#000"/>
            <w:sz w:val="21"/>
            <w:u w:val="single"/>
          </w:rPr>
          <w:t xml:space="preserve">Technology Adoption Lifecycle - Gainsight</w:t>
        </w:r>
      </w:hyperlink>
      <w:r>
        <w:rPr>
          <w:rFonts w:eastAsia="georgia" w:cs="georgia" w:ascii="georgia" w:hAnsi="georgia"/>
          <w:color w:val="000000"/>
          <w:sz w:val="21"/>
        </w:rPr>
        <w:t xml:space="preserve"> - The technology adoption lifecycle is a description of customer behavior related to the acceptance of...</w:t>
      </w:r>
    </w:p>
    <w:p>
      <w:pPr>
        <w:numPr>
          <w:ilvl w:val="0"/>
          <w:numId w:val="1"/>
        </w:numPr>
        <w:spacing w:line="360" w:after="210" w:lineRule="auto"/>
      </w:pPr>
      <w:hyperlink r:id="rId7">
        <w:r>
          <w:rPr>
            <w:rFonts w:eastAsia="helvetica neue" w:cs="helvetica neue" w:ascii="helvetica neue" w:hAnsi="helvetica neue"/>
            <w:color w:val="#000"/>
            <w:sz w:val="21"/>
            <w:u w:val="single"/>
          </w:rPr>
          <w:t xml:space="preserve">The 5 Stages of the Technology Adoption Curve | Omniplex Learning</w:t>
        </w:r>
      </w:hyperlink>
      <w:r>
        <w:rPr>
          <w:rFonts w:eastAsia="georgia" w:cs="georgia" w:ascii="georgia" w:hAnsi="georgia"/>
          <w:color w:val="000000"/>
          <w:sz w:val="21"/>
        </w:rPr>
        <w:t xml:space="preserve"> - The adoption curve concept categorises people into 5 groups: innovators, early adopters, early major...</w:t>
      </w:r>
    </w:p>
    <w:p>
      <w:pPr>
        <w:numPr>
          <w:ilvl w:val="0"/>
          <w:numId w:val="1"/>
        </w:numPr>
        <w:spacing w:line="360" w:after="210" w:lineRule="auto"/>
      </w:pPr>
      <w:hyperlink r:id="rId8">
        <w:r>
          <w:rPr>
            <w:rFonts w:eastAsia="helvetica neue" w:cs="helvetica neue" w:ascii="helvetica neue" w:hAnsi="helvetica neue"/>
            <w:color w:val="#000"/>
            <w:sz w:val="21"/>
            <w:u w:val="single"/>
          </w:rPr>
          <w:t xml:space="preserve">Technology adoption life cycle - Wikipedia</w:t>
        </w:r>
      </w:hyperlink>
      <w:r>
        <w:rPr>
          <w:rFonts w:eastAsia="georgia" w:cs="georgia" w:ascii="georgia" w:hAnsi="georgia"/>
          <w:color w:val="000000"/>
          <w:sz w:val="21"/>
        </w:rPr>
        <w:t xml:space="preserve"> - The technology adoption lifecycle is a sociological model that describes the adoption or acceptance ...</w:t>
      </w:r>
    </w:p>
    <w:p>
      <w:pPr>
        <w:numPr>
          <w:ilvl w:val="0"/>
          <w:numId w:val="1"/>
        </w:numPr>
        <w:spacing w:line="360" w:after="210" w:lineRule="auto"/>
      </w:pPr>
      <w:hyperlink r:id="rId9">
        <w:r>
          <w:rPr>
            <w:rFonts w:eastAsia="helvetica neue" w:cs="helvetica neue" w:ascii="helvetica neue" w:hAnsi="helvetica neue"/>
            <w:color w:val="#000"/>
            <w:sz w:val="21"/>
            <w:u w:val="single"/>
          </w:rPr>
          <w:t xml:space="preserve">Hedonic Adaptation in the Age of AI</w:t>
        </w:r>
      </w:hyperlink>
    </w:p>
    <w:p>
      <w:pPr>
        <w:numPr>
          <w:ilvl w:val="0"/>
          <w:numId w:val="1"/>
        </w:numPr>
        <w:spacing w:line="360" w:after="210" w:lineRule="auto"/>
      </w:pPr>
      <w:hyperlink r:id="rId10">
        <w:r>
          <w:rPr>
            <w:rFonts w:eastAsia="helvetica neue" w:cs="helvetica neue" w:ascii="helvetica neue" w:hAnsi="helvetica neue"/>
            <w:color w:val="#000"/>
            <w:sz w:val="21"/>
            <w:u w:val="single"/>
          </w:rPr>
          <w:t xml:space="preserve">[PDF] A Longitudinal Study on Utility and Customization of an AI Workflow</w:t>
        </w:r>
      </w:hyperlink>
    </w:p>
    <w:p>
      <w:pPr>
        <w:numPr>
          <w:ilvl w:val="0"/>
          <w:numId w:val="1"/>
        </w:numPr>
        <w:spacing w:line="360" w:after="210" w:lineRule="auto"/>
      </w:pPr>
      <w:hyperlink r:id="rId11">
        <w:r>
          <w:rPr>
            <w:rFonts w:eastAsia="helvetica neue" w:cs="helvetica neue" w:ascii="helvetica neue" w:hAnsi="helvetica neue"/>
            <w:color w:val="#000"/>
            <w:sz w:val="21"/>
            <w:u w:val="single"/>
          </w:rPr>
          <w:t xml:space="preserve">Struggling toward reward: Recent experience of anhedonia interacts ...</w:t>
        </w:r>
      </w:hyperlink>
      <w:r>
        <w:rPr>
          <w:rFonts w:eastAsia="georgia" w:cs="georgia" w:ascii="georgia" w:hAnsi="georgia"/>
          <w:color w:val="000000"/>
          <w:sz w:val="21"/>
        </w:rPr>
        <w:t xml:space="preserve"> - Individuals experiencing anhedonia can have difficulty motivating themselves to pursue rewarding sti...</w:t>
      </w:r>
    </w:p>
    <w:p>
      <w:pPr>
        <w:numPr>
          <w:ilvl w:val="0"/>
          <w:numId w:val="1"/>
        </w:numPr>
        <w:spacing w:line="360" w:after="210" w:lineRule="auto"/>
      </w:pPr>
      <w:hyperlink r:id="rId12">
        <w:r>
          <w:rPr>
            <w:rFonts w:eastAsia="helvetica neue" w:cs="helvetica neue" w:ascii="helvetica neue" w:hAnsi="helvetica neue"/>
            <w:color w:val="#000"/>
            <w:sz w:val="21"/>
            <w:u w:val="single"/>
          </w:rPr>
          <w:t xml:space="preserve">Circuit Mechanisms of Reward, Anhedonia, and Depression - PMC</w:t>
        </w:r>
      </w:hyperlink>
      <w:r>
        <w:rPr>
          <w:rFonts w:eastAsia="georgia" w:cs="georgia" w:ascii="georgia" w:hAnsi="georgia"/>
          <w:color w:val="000000"/>
          <w:sz w:val="21"/>
        </w:rPr>
        <w:t xml:space="preserve"> - In this review, we aim to provide an overview on the neurobiological substrates of anhedonia on a ne...</w:t>
      </w:r>
    </w:p>
    <w:p>
      <w:pPr>
        <w:numPr>
          <w:ilvl w:val="0"/>
          <w:numId w:val="1"/>
        </w:numPr>
        <w:spacing w:line="360" w:after="210" w:lineRule="auto"/>
      </w:pPr>
      <w:hyperlink r:id="rId13">
        <w:r>
          <w:rPr>
            <w:rFonts w:eastAsia="helvetica neue" w:cs="helvetica neue" w:ascii="helvetica neue" w:hAnsi="helvetica neue"/>
            <w:color w:val="#000"/>
            <w:sz w:val="21"/>
            <w:u w:val="single"/>
          </w:rPr>
          <w:t xml:space="preserve">Anhedonia is associated with computational impairments in reward ...</w:t>
        </w:r>
      </w:hyperlink>
      <w:r>
        <w:rPr>
          <w:rFonts w:eastAsia="georgia" w:cs="georgia" w:ascii="georgia" w:hAnsi="georgia"/>
          <w:color w:val="000000"/>
          <w:sz w:val="21"/>
        </w:rPr>
        <w:t xml:space="preserve"> - Higher consummatory anhedonia was associated with poorer reward and effort learning, and with increa...</w:t>
      </w:r>
    </w:p>
    <w:p>
      <w:pPr>
        <w:numPr>
          <w:ilvl w:val="0"/>
          <w:numId w:val="1"/>
        </w:numPr>
        <w:spacing w:line="360" w:after="210" w:lineRule="auto"/>
      </w:pPr>
      <w:hyperlink r:id="rId14">
        <w:r>
          <w:rPr>
            <w:rFonts w:eastAsia="helvetica neue" w:cs="helvetica neue" w:ascii="helvetica neue" w:hAnsi="helvetica neue"/>
            <w:color w:val="#000"/>
            <w:sz w:val="21"/>
            <w:u w:val="single"/>
          </w:rPr>
          <w:t xml:space="preserve">Gen AI descends into disillusionment - CIO</w:t>
        </w:r>
      </w:hyperlink>
      <w:r>
        <w:rPr>
          <w:rFonts w:eastAsia="georgia" w:cs="georgia" w:ascii="georgia" w:hAnsi="georgia"/>
          <w:color w:val="000000"/>
          <w:sz w:val="21"/>
        </w:rPr>
        <w:t xml:space="preserve"> - Inconsistent results, hallucinations, and a lack of use cases tolerant to inaccuracies have sent gen...</w:t>
      </w:r>
    </w:p>
    <w:p>
      <w:pPr>
        <w:numPr>
          <w:ilvl w:val="0"/>
          <w:numId w:val="1"/>
        </w:numPr>
        <w:spacing w:line="360" w:after="210" w:lineRule="auto"/>
      </w:pPr>
      <w:hyperlink r:id="rId15">
        <w:r>
          <w:rPr>
            <w:rFonts w:eastAsia="helvetica neue" w:cs="helvetica neue" w:ascii="helvetica neue" w:hAnsi="helvetica neue"/>
            <w:color w:val="#000"/>
            <w:sz w:val="21"/>
            <w:u w:val="single"/>
          </w:rPr>
          <w:t xml:space="preserve">AI Fatigue Statistics 2026 - Shibumi</w:t>
        </w:r>
      </w:hyperlink>
      <w:r>
        <w:rPr>
          <w:rFonts w:eastAsia="georgia" w:cs="georgia" w:ascii="georgia" w:hAnsi="georgia"/>
          <w:color w:val="000000"/>
          <w:sz w:val="21"/>
        </w:rPr>
        <w:t xml:space="preserve"> - 95% of enterprises report no measurable AI ROI, yet spending keeps climbing. Explore 2026 AI fatigue...</w:t>
      </w:r>
    </w:p>
    <w:p>
      <w:pPr>
        <w:numPr>
          <w:ilvl w:val="0"/>
          <w:numId w:val="1"/>
        </w:numPr>
        <w:spacing w:line="360" w:after="210" w:lineRule="auto"/>
      </w:pPr>
      <w:hyperlink r:id="rId16">
        <w:r>
          <w:rPr>
            <w:rFonts w:eastAsia="helvetica neue" w:cs="helvetica neue" w:ascii="helvetica neue" w:hAnsi="helvetica neue"/>
            <w:color w:val="#000"/>
            <w:sz w:val="21"/>
            <w:u w:val="single"/>
          </w:rPr>
          <w:t xml:space="preserve">Development and validation of a digital burnout scale in artificial ...</w:t>
        </w:r>
      </w:hyperlink>
      <w:r>
        <w:rPr>
          <w:rFonts w:eastAsia="georgia" w:cs="georgia" w:ascii="georgia" w:hAnsi="georgia"/>
          <w:color w:val="000000"/>
          <w:sz w:val="21"/>
        </w:rPr>
        <w:t xml:space="preserve"> - Sustained interactions in AI environments may result in the continuous loss of individuals' key reso...</w:t>
      </w:r>
    </w:p>
    <w:p>
      <w:pPr>
        <w:numPr>
          <w:ilvl w:val="0"/>
          <w:numId w:val="1"/>
        </w:numPr>
        <w:spacing w:line="360" w:after="210" w:lineRule="auto"/>
      </w:pPr>
      <w:hyperlink r:id="rId17">
        <w:r>
          <w:rPr>
            <w:rFonts w:eastAsia="helvetica neue" w:cs="helvetica neue" w:ascii="helvetica neue" w:hAnsi="helvetica neue"/>
            <w:color w:val="#000"/>
            <w:sz w:val="21"/>
            <w:u w:val="single"/>
          </w:rPr>
          <w:t xml:space="preserve">Cognitive Offloading in the Age of Artificial Intelligence</w:t>
        </w:r>
      </w:hyperlink>
      <w:r>
        <w:rPr>
          <w:rFonts w:eastAsia="georgia" w:cs="georgia" w:ascii="georgia" w:hAnsi="georgia"/>
          <w:color w:val="000000"/>
          <w:sz w:val="21"/>
        </w:rPr>
        <w:t xml:space="preserve"> - This paper explores how overreliance on AI may influence human cognitive functioning, particularly a...</w:t>
      </w:r>
    </w:p>
    <w:p>
      <w:pPr>
        <w:numPr>
          <w:ilvl w:val="0"/>
          <w:numId w:val="1"/>
        </w:numPr>
        <w:spacing w:line="360" w:after="210" w:lineRule="auto"/>
      </w:pPr>
      <w:hyperlink r:id="rId18">
        <w:r>
          <w:rPr>
            <w:rFonts w:eastAsia="helvetica neue" w:cs="helvetica neue" w:ascii="helvetica neue" w:hAnsi="helvetica neue"/>
            <w:color w:val="#000"/>
            <w:sz w:val="21"/>
            <w:u w:val="single"/>
          </w:rPr>
          <w:t xml:space="preserve">Cognitive offloading or cognitive overload? How AI alters the mental ...pmc.ncbi.nlm.nih.gov › articles › PMC12678390</w:t>
        </w:r>
      </w:hyperlink>
    </w:p>
    <w:p>
      <w:pPr>
        <w:numPr>
          <w:ilvl w:val="0"/>
          <w:numId w:val="1"/>
        </w:numPr>
        <w:spacing w:line="360" w:after="210" w:lineRule="auto"/>
      </w:pPr>
      <w:hyperlink r:id="rId19">
        <w:r>
          <w:rPr>
            <w:rFonts w:eastAsia="helvetica neue" w:cs="helvetica neue" w:ascii="helvetica neue" w:hAnsi="helvetica neue"/>
            <w:color w:val="#000"/>
            <w:sz w:val="21"/>
            <w:u w:val="single"/>
          </w:rPr>
          <w:t xml:space="preserve">The dark side of artificial intelligence: manipulation of human ...</w:t>
        </w:r>
      </w:hyperlink>
      <w:r>
        <w:rPr>
          <w:rFonts w:eastAsia="georgia" w:cs="georgia" w:ascii="georgia" w:hAnsi="georgia"/>
          <w:color w:val="000000"/>
          <w:sz w:val="21"/>
        </w:rPr>
        <w:t xml:space="preserve"> - Manipulation can take many forms: the exploitation of human biases detected by AI algorithms, person...</w:t>
      </w:r>
    </w:p>
    <w:p>
      <w:pPr>
        <w:numPr>
          <w:ilvl w:val="0"/>
          <w:numId w:val="1"/>
        </w:numPr>
        <w:spacing w:line="360" w:after="210" w:lineRule="auto"/>
      </w:pPr>
      <w:hyperlink r:id="rId20">
        <w:r>
          <w:rPr>
            <w:rFonts w:eastAsia="helvetica neue" w:cs="helvetica neue" w:ascii="helvetica neue" w:hAnsi="helvetica neue"/>
            <w:color w:val="#000"/>
            <w:sz w:val="21"/>
            <w:u w:val="single"/>
          </w:rPr>
          <w:t xml:space="preserve">Policy? Examining Regulatory Capture in AI Governance</w:t>
        </w:r>
      </w:hyperlink>
    </w:p>
    <w:p>
      <w:pPr>
        <w:numPr>
          <w:ilvl w:val="0"/>
          <w:numId w:val="1"/>
        </w:numPr>
        <w:spacing w:line="360" w:after="210" w:lineRule="auto"/>
      </w:pPr>
      <w:hyperlink r:id="rId21">
        <w:r>
          <w:rPr>
            <w:rFonts w:eastAsia="helvetica neue" w:cs="helvetica neue" w:ascii="helvetica neue" w:hAnsi="helvetica neue"/>
            <w:color w:val="#000"/>
            <w:sz w:val="21"/>
            <w:u w:val="single"/>
          </w:rPr>
          <w:t xml:space="preserve">How Do AI Companies "Fine-Tune" Policy? Examining Regulatory Capture in AI Governance</w:t>
        </w:r>
      </w:hyperlink>
      <w:r>
        <w:rPr>
          <w:rFonts w:eastAsia="georgia" w:cs="georgia" w:ascii="georgia" w:hAnsi="georgia"/>
          <w:color w:val="000000"/>
          <w:sz w:val="21"/>
        </w:rPr>
        <w:t xml:space="preserve"> - Industry actors in the United States have gained extensive influence in conversations about the regu...</w:t>
      </w:r>
    </w:p>
    <w:p>
      <w:pPr>
        <w:numPr>
          <w:ilvl w:val="0"/>
          <w:numId w:val="1"/>
        </w:numPr>
        <w:spacing w:line="360" w:after="210" w:lineRule="auto"/>
      </w:pPr>
      <w:hyperlink r:id="rId22">
        <w:r>
          <w:rPr>
            <w:rFonts w:eastAsia="helvetica neue" w:cs="helvetica neue" w:ascii="helvetica neue" w:hAnsi="helvetica neue"/>
            <w:color w:val="#000"/>
            <w:sz w:val="21"/>
            <w:u w:val="single"/>
          </w:rPr>
          <w:t xml:space="preserve">LLM Dark Patterns in Conversational AI - Emergent Mind</w:t>
        </w:r>
      </w:hyperlink>
      <w:r>
        <w:rPr>
          <w:rFonts w:eastAsia="georgia" w:cs="georgia" w:ascii="georgia" w:hAnsi="georgia"/>
          <w:color w:val="000000"/>
          <w:sz w:val="21"/>
        </w:rPr>
        <w:t xml:space="preserve"> - Explore how LLM dark patterns use deceptive linguistic cues to manipulate user behavior, with benchm...</w:t>
      </w:r>
    </w:p>
    <w:p>
      <w:pPr>
        <w:numPr>
          <w:ilvl w:val="0"/>
          <w:numId w:val="1"/>
        </w:numPr>
        <w:spacing w:line="360" w:after="210" w:lineRule="auto"/>
      </w:pPr>
      <w:hyperlink r:id="rId23">
        <w:r>
          <w:rPr>
            <w:rFonts w:eastAsia="helvetica neue" w:cs="helvetica neue" w:ascii="helvetica neue" w:hAnsi="helvetica neue"/>
            <w:color w:val="#000"/>
            <w:sz w:val="21"/>
            <w:u w:val="single"/>
          </w:rPr>
          <w:t xml:space="preserve">Emotional Manipulation by AI Companions - Harvard Business School</w:t>
        </w:r>
      </w:hyperlink>
      <w:r>
        <w:rPr>
          <w:rFonts w:eastAsia="georgia" w:cs="georgia" w:ascii="georgia" w:hAnsi="georgia"/>
          <w:color w:val="000000"/>
          <w:sz w:val="21"/>
        </w:rPr>
        <w:t xml:space="preserve"> - We combine a large-scale behavioral audit with three preregistered experiments to identify and test ...</w:t>
      </w:r>
    </w:p>
    <w:p>
      <w:pPr>
        <w:numPr>
          <w:ilvl w:val="0"/>
          <w:numId w:val="1"/>
        </w:numPr>
        <w:spacing w:line="360" w:after="210" w:lineRule="auto"/>
      </w:pPr>
      <w:hyperlink r:id="rId24">
        <w:r>
          <w:rPr>
            <w:rFonts w:eastAsia="helvetica neue" w:cs="helvetica neue" w:ascii="helvetica neue" w:hAnsi="helvetica neue"/>
            <w:color w:val="#000"/>
            <w:sz w:val="21"/>
            <w:u w:val="single"/>
          </w:rPr>
          <w:t xml:space="preserve">Growth And Retention In An AI-first World | Takeaways For Founders ...</w:t>
        </w:r>
      </w:hyperlink>
      <w:r>
        <w:rPr>
          <w:rFonts w:eastAsia="georgia" w:cs="georgia" w:ascii="georgia" w:hAnsi="georgia"/>
          <w:color w:val="000000"/>
          <w:sz w:val="21"/>
        </w:rPr>
        <w:t xml:space="preserve"> - AI makes products feel magical at first, but only trust, habit, and problem frequency turn novelty i...</w:t>
      </w:r>
    </w:p>
    <w:p>
      <w:pPr>
        <w:numPr>
          <w:ilvl w:val="0"/>
          <w:numId w:val="1"/>
        </w:numPr>
        <w:spacing w:line="360" w:after="210" w:lineRule="auto"/>
      </w:pPr>
      <w:hyperlink r:id="rId25">
        <w:r>
          <w:rPr>
            <w:rFonts w:eastAsia="helvetica neue" w:cs="helvetica neue" w:ascii="helvetica neue" w:hAnsi="helvetica neue"/>
            <w:color w:val="#000"/>
            <w:sz w:val="21"/>
            <w:u w:val="single"/>
          </w:rPr>
          <w:t xml:space="preserve">Inside the minds of 500 AI users: Adoption, trust and everyday habits</w:t>
        </w:r>
      </w:hyperlink>
      <w:r>
        <w:rPr>
          <w:rFonts w:eastAsia="georgia" w:cs="georgia" w:ascii="georgia" w:hAnsi="georgia"/>
          <w:color w:val="000000"/>
          <w:sz w:val="21"/>
        </w:rPr>
        <w:t xml:space="preserve"> - WebFX reports that AI has become essential, with 80% of users satisfied and frequent use shifting fr...</w:t>
      </w:r>
    </w:p>
    <w:p>
      <w:pPr>
        <w:numPr>
          <w:ilvl w:val="0"/>
          <w:numId w:val="1"/>
        </w:numPr>
        <w:spacing w:line="360" w:after="210" w:lineRule="auto"/>
      </w:pPr>
      <w:hyperlink r:id="rId26">
        <w:r>
          <w:rPr>
            <w:rFonts w:eastAsia="helvetica neue" w:cs="helvetica neue" w:ascii="helvetica neue" w:hAnsi="helvetica neue"/>
            <w:color w:val="#000"/>
            <w:sz w:val="21"/>
            <w:u w:val="single"/>
          </w:rPr>
          <w:t xml:space="preserve">'AI fatigue' is settling in as companies' proofs of concept ...</w:t>
        </w:r>
      </w:hyperlink>
      <w:r>
        <w:rPr>
          <w:rFonts w:eastAsia="georgia" w:cs="georgia" w:ascii="georgia" w:hAnsi="georgia"/>
          <w:color w:val="000000"/>
          <w:sz w:val="21"/>
        </w:rPr>
        <w:t xml:space="preserve"> - Along with the excitement about the possibilities of generative AI is a great deal of pressure for l...</w:t>
      </w:r>
    </w:p>
    <w:p>
      <w:pPr>
        <w:numPr>
          <w:ilvl w:val="0"/>
          <w:numId w:val="1"/>
        </w:numPr>
        <w:spacing w:line="360" w:after="210" w:lineRule="auto"/>
      </w:pPr>
      <w:hyperlink r:id="rId27">
        <w:r>
          <w:rPr>
            <w:rFonts w:eastAsia="helvetica neue" w:cs="helvetica neue" w:ascii="helvetica neue" w:hAnsi="helvetica neue"/>
            <w:color w:val="#000"/>
            <w:sz w:val="21"/>
            <w:u w:val="single"/>
          </w:rPr>
          <w:t xml:space="preserve">Decision Fatigue &amp; Burnout in AI Teams | Burtch Works</w:t>
        </w:r>
      </w:hyperlink>
      <w:r>
        <w:rPr>
          <w:rFonts w:eastAsia="georgia" w:cs="georgia" w:ascii="georgia" w:hAnsi="georgia"/>
          <w:color w:val="000000"/>
          <w:sz w:val="21"/>
        </w:rPr>
        <w:t xml:space="preserve"> - How leaders can reduce decision fatigue and burnout in AI teams through human-centered design, gover...</w:t>
      </w:r>
    </w:p>
    <w:p>
      <w:pPr>
        <w:numPr>
          <w:ilvl w:val="0"/>
          <w:numId w:val="1"/>
        </w:numPr>
        <w:spacing w:line="360" w:after="210" w:lineRule="auto"/>
      </w:pPr>
      <w:hyperlink r:id="rId28">
        <w:r>
          <w:rPr>
            <w:rFonts w:eastAsia="helvetica neue" w:cs="helvetica neue" w:ascii="helvetica neue" w:hAnsi="helvetica neue"/>
            <w:color w:val="#000"/>
            <w:sz w:val="21"/>
            <w:u w:val="single"/>
          </w:rPr>
          <w:t xml:space="preserve">AI-powered apps struggle with long-term retention, new report shows</w:t>
        </w:r>
      </w:hyperlink>
      <w:r>
        <w:rPr>
          <w:rFonts w:eastAsia="georgia" w:cs="georgia" w:ascii="georgia" w:hAnsi="georgia"/>
          <w:color w:val="000000"/>
          <w:sz w:val="21"/>
        </w:rPr>
        <w:t xml:space="preserve"> - Monthly, AI apps saw 6.1% retention rates versus 9.5% for non-AIs — a difference of 3.4 percentage p...</w:t>
      </w:r>
    </w:p>
    <w:p>
      <w:pPr>
        <w:numPr>
          <w:ilvl w:val="0"/>
          <w:numId w:val="1"/>
        </w:numPr>
        <w:spacing w:line="360" w:after="210" w:lineRule="auto"/>
      </w:pPr>
      <w:hyperlink r:id="rId29">
        <w:r>
          <w:rPr>
            <w:rFonts w:eastAsia="helvetica neue" w:cs="helvetica neue" w:ascii="helvetica neue" w:hAnsi="helvetica neue"/>
            <w:color w:val="#000"/>
            <w:sz w:val="21"/>
            <w:u w:val="single"/>
          </w:rPr>
          <w:t xml:space="preserve">Gartner's AI Hype Cycle: GenAI and the Trough of ...</w:t>
        </w:r>
      </w:hyperlink>
      <w:r>
        <w:rPr>
          <w:rFonts w:eastAsia="georgia" w:cs="georgia" w:ascii="georgia" w:hAnsi="georgia"/>
          <w:color w:val="000000"/>
          <w:sz w:val="21"/>
        </w:rPr>
        <w:t xml:space="preserve"> - Discover why Gartner's 2025 Hype Cycle places GenAI in the Trough of Disillusionment, while AI agent...</w:t>
      </w:r>
    </w:p>
    <w:p>
      <w:pPr>
        <w:numPr>
          <w:ilvl w:val="0"/>
          <w:numId w:val="1"/>
        </w:numPr>
        <w:spacing w:line="360" w:after="210" w:lineRule="auto"/>
      </w:pPr>
      <w:hyperlink r:id="rId30">
        <w:r>
          <w:rPr>
            <w:rFonts w:eastAsia="helvetica neue" w:cs="helvetica neue" w:ascii="helvetica neue" w:hAnsi="helvetica neue"/>
            <w:color w:val="#000"/>
            <w:sz w:val="21"/>
            <w:u w:val="single"/>
          </w:rPr>
          <w:t xml:space="preserve">We analyzed 4 years of Gartner's AI hype so you don't make a bad ...</w:t>
        </w:r>
      </w:hyperlink>
      <w:r>
        <w:rPr>
          <w:rFonts w:eastAsia="georgia" w:cs="georgia" w:ascii="georgia" w:hAnsi="georgia"/>
          <w:color w:val="000000"/>
          <w:sz w:val="21"/>
        </w:rPr>
        <w:t xml:space="preserve"> - We analyzed how AI tech evolved 2022–2025 through Gartner’s Hype Cycle lens &amp; what to expect in the ...</w:t>
      </w:r>
    </w:p>
    <w:p>
      <w:pPr>
        <w:numPr>
          <w:ilvl w:val="0"/>
          <w:numId w:val="1"/>
        </w:numPr>
        <w:spacing w:line="360" w:after="210" w:lineRule="auto"/>
      </w:pPr>
      <w:hyperlink r:id="rId31">
        <w:r>
          <w:rPr>
            <w:rFonts w:eastAsia="helvetica neue" w:cs="helvetica neue" w:ascii="helvetica neue" w:hAnsi="helvetica neue"/>
            <w:color w:val="#000"/>
            <w:sz w:val="21"/>
            <w:u w:val="single"/>
          </w:rPr>
          <w:t xml:space="preserve">Technological saturation and the drive for things tangible — revisited</w:t>
        </w:r>
      </w:hyperlink>
      <w:r>
        <w:rPr>
          <w:rFonts w:eastAsia="georgia" w:cs="georgia" w:ascii="georgia" w:hAnsi="georgia"/>
          <w:color w:val="000000"/>
          <w:sz w:val="21"/>
        </w:rPr>
        <w:t xml:space="preserve"> - Why the need for human connection is louder than ever.</w:t>
      </w:r>
    </w:p>
    <w:p>
      <w:pPr>
        <w:numPr>
          <w:ilvl w:val="0"/>
          <w:numId w:val="1"/>
        </w:numPr>
        <w:spacing w:line="360" w:after="210" w:lineRule="auto"/>
      </w:pPr>
      <w:hyperlink r:id="rId32">
        <w:r>
          <w:rPr>
            <w:rFonts w:eastAsia="helvetica neue" w:cs="helvetica neue" w:ascii="helvetica neue" w:hAnsi="helvetica neue"/>
            <w:color w:val="#000"/>
            <w:sz w:val="21"/>
            <w:u w:val="single"/>
          </w:rPr>
          <w:t xml:space="preserve">Exhausted? The reason may be how you're using technology - CNN</w:t>
        </w:r>
      </w:hyperlink>
      <w:r>
        <w:rPr>
          <w:rFonts w:eastAsia="georgia" w:cs="georgia" w:ascii="georgia" w:hAnsi="georgia"/>
          <w:color w:val="000000"/>
          <w:sz w:val="21"/>
        </w:rPr>
        <w:t xml:space="preserve"> - Changing how you use technology can help ease exhaustion. Technology management expert Paul Leonardi...</w:t>
      </w:r>
    </w:p>
    <w:p>
      <w:pPr>
        <w:numPr>
          <w:ilvl w:val="0"/>
          <w:numId w:val="1"/>
        </w:numPr>
        <w:spacing w:line="360" w:after="210" w:lineRule="auto"/>
      </w:pPr>
      <w:hyperlink r:id="rId33">
        <w:r>
          <w:rPr>
            <w:rFonts w:eastAsia="helvetica neue" w:cs="helvetica neue" w:ascii="helvetica neue" w:hAnsi="helvetica neue"/>
            <w:color w:val="#000"/>
            <w:sz w:val="21"/>
            <w:u w:val="single"/>
          </w:rPr>
          <w:t xml:space="preserve">AI and job loss: the identity crisis no one is preparing for | Fortune</w:t>
        </w:r>
      </w:hyperlink>
      <w:r>
        <w:rPr>
          <w:rFonts w:eastAsia="georgia" w:cs="georgia" w:ascii="georgia" w:hAnsi="georgia"/>
          <w:color w:val="000000"/>
          <w:sz w:val="21"/>
        </w:rPr>
        <w:t xml:space="preserve"> - It's the disorienting gap between losing an identity you'd spent decades building and not yet knowin...</w:t>
      </w:r>
    </w:p>
    <w:p>
      <w:pPr>
        <w:numPr>
          <w:ilvl w:val="0"/>
          <w:numId w:val="1"/>
        </w:numPr>
        <w:spacing w:line="360" w:after="210" w:lineRule="auto"/>
      </w:pPr>
      <w:hyperlink r:id="rId34">
        <w:r>
          <w:rPr>
            <w:rFonts w:eastAsia="helvetica neue" w:cs="helvetica neue" w:ascii="helvetica neue" w:hAnsi="helvetica neue"/>
            <w:color w:val="#000"/>
            <w:sz w:val="21"/>
            <w:u w:val="single"/>
          </w:rPr>
          <w:t xml:space="preserve">A 24-hour phone-free challenge to fight digital addiction</w:t>
        </w:r>
      </w:hyperlink>
      <w:r>
        <w:rPr>
          <w:rFonts w:eastAsia="georgia" w:cs="georgia" w:ascii="georgia" w:hAnsi="georgia"/>
          <w:color w:val="000000"/>
          <w:sz w:val="21"/>
        </w:rPr>
        <w:t xml:space="preserve"> - 1. Go on a digital fast: Don't touch your phone – or any screens – for 24 hours. The aim is to inter...</w:t>
      </w:r>
    </w:p>
    <w:p>
      <w:pPr>
        <w:numPr>
          <w:ilvl w:val="0"/>
          <w:numId w:val="1"/>
        </w:numPr>
        <w:spacing w:line="360" w:after="210" w:lineRule="auto"/>
      </w:pPr>
      <w:hyperlink r:id="rId35">
        <w:r>
          <w:rPr>
            <w:rFonts w:eastAsia="helvetica neue" w:cs="helvetica neue" w:ascii="helvetica neue" w:hAnsi="helvetica neue"/>
            <w:color w:val="#000"/>
            <w:sz w:val="21"/>
            <w:u w:val="single"/>
          </w:rPr>
          <w:t xml:space="preserve">Can the 'Dopamine Detox' Trend Break a Digital Addiction?</w:t>
        </w:r>
      </w:hyperlink>
      <w:r>
        <w:rPr>
          <w:rFonts w:eastAsia="georgia" w:cs="georgia" w:ascii="georgia" w:hAnsi="georgia"/>
          <w:color w:val="000000"/>
          <w:sz w:val="21"/>
        </w:rPr>
        <w:t xml:space="preserve"> - The trending detoxes promise to change people's lives in seven days (sometimes even 24 hours) with a...</w:t>
      </w:r>
    </w:p>
    <w:p>
      <w:pPr>
        <w:numPr>
          <w:ilvl w:val="0"/>
          <w:numId w:val="1"/>
        </w:numPr>
        <w:spacing w:line="360" w:after="210" w:lineRule="auto"/>
      </w:pPr>
      <w:hyperlink r:id="rId36">
        <w:r>
          <w:rPr>
            <w:rFonts w:eastAsia="helvetica neue" w:cs="helvetica neue" w:ascii="helvetica neue" w:hAnsi="helvetica neue"/>
            <w:color w:val="#000"/>
            <w:sz w:val="21"/>
            <w:u w:val="single"/>
          </w:rPr>
          <w:t xml:space="preserve">Why dopamine drives you to do hard things—even without a reward</w:t>
        </w:r>
      </w:hyperlink>
      <w:r>
        <w:rPr>
          <w:rFonts w:eastAsia="georgia" w:cs="georgia" w:ascii="georgia" w:hAnsi="georgia"/>
          <w:color w:val="000000"/>
          <w:sz w:val="21"/>
        </w:rPr>
        <w:t xml:space="preserve"> - Constantly pursuing dopamine-rich rewards can lead to burnout and unhealthy behaviors. Moreover, soc...</w:t>
      </w:r>
    </w:p>
    <w:p>
      <w:pPr>
        <w:numPr>
          <w:ilvl w:val="0"/>
          <w:numId w:val="1"/>
        </w:numPr>
        <w:spacing w:line="360" w:after="210" w:lineRule="auto"/>
      </w:pPr>
      <w:hyperlink r:id="rId37">
        <w:r>
          <w:rPr>
            <w:rFonts w:eastAsia="helvetica neue" w:cs="helvetica neue" w:ascii="helvetica neue" w:hAnsi="helvetica neue"/>
            <w:color w:val="#000"/>
            <w:sz w:val="21"/>
            <w:u w:val="single"/>
          </w:rPr>
          <w:t xml:space="preserve">Virtual Reality Reward Training for Anhedonia: A Pilot Study - Frontiers</w:t>
        </w:r>
      </w:hyperlink>
      <w:r>
        <w:rPr>
          <w:rFonts w:eastAsia="georgia" w:cs="georgia" w:ascii="georgia" w:hAnsi="georgia"/>
          <w:color w:val="000000"/>
          <w:sz w:val="21"/>
        </w:rPr>
        <w:t xml:space="preserve"> - Our results suggest that the VR protocol significantly reduced symptoms of anhedonia, depression, an...</w:t>
      </w:r>
    </w:p>
    <w:p>
      <w:pPr>
        <w:numPr>
          <w:ilvl w:val="0"/>
          <w:numId w:val="1"/>
        </w:numPr>
        <w:spacing w:line="360" w:after="210" w:lineRule="auto"/>
      </w:pPr>
      <w:hyperlink r:id="rId38">
        <w:r>
          <w:rPr>
            <w:rFonts w:eastAsia="helvetica neue" w:cs="helvetica neue" w:ascii="helvetica neue" w:hAnsi="helvetica neue"/>
            <w:color w:val="#000"/>
            <w:sz w:val="21"/>
            <w:u w:val="single"/>
          </w:rPr>
          <w:t xml:space="preserve">Most of you are rejecting AI. The data shows you're running out of time</w:t>
        </w:r>
      </w:hyperlink>
      <w:r>
        <w:rPr>
          <w:rFonts w:eastAsia="georgia" w:cs="georgia" w:ascii="georgia" w:hAnsi="georgia"/>
          <w:color w:val="000000"/>
          <w:sz w:val="21"/>
        </w:rPr>
        <w:t xml:space="preserve"> - A new global survey of 3,750 executives and employees across 14 countries finds more than 54% of wor...</w:t>
      </w:r>
    </w:p>
    <w:p>
      <w:pPr>
        <w:numPr>
          <w:ilvl w:val="0"/>
          <w:numId w:val="1"/>
        </w:numPr>
        <w:spacing w:line="360" w:after="210" w:lineRule="auto"/>
      </w:pPr>
      <w:hyperlink r:id="rId39">
        <w:r>
          <w:rPr>
            <w:rFonts w:eastAsia="helvetica neue" w:cs="helvetica neue" w:ascii="helvetica neue" w:hAnsi="helvetica neue"/>
            <w:color w:val="#000"/>
            <w:sz w:val="21"/>
            <w:u w:val="single"/>
          </w:rPr>
          <w:t xml:space="preserve">AI-powered apps struggle to keep subscribers, report finds</w:t>
        </w:r>
      </w:hyperlink>
      <w:r>
        <w:rPr>
          <w:rFonts w:eastAsia="georgia" w:cs="georgia" w:ascii="georgia" w:hAnsi="georgia"/>
          <w:color w:val="000000"/>
          <w:sz w:val="21"/>
        </w:rPr>
        <w:t xml:space="preserve"> - AI-powered apps struggle to keep subscribers, report finds. Users cancel annual subscriptions to AI-...</w:t>
      </w:r>
    </w:p>
    <w:p>
      <w:pPr>
        <w:numPr>
          <w:ilvl w:val="0"/>
          <w:numId w:val="1"/>
        </w:numPr>
        <w:spacing w:line="360" w:after="210" w:lineRule="auto"/>
      </w:pPr>
      <w:hyperlink r:id="rId40">
        <w:r>
          <w:rPr>
            <w:rFonts w:eastAsia="helvetica neue" w:cs="helvetica neue" w:ascii="helvetica neue" w:hAnsi="helvetica neue"/>
            <w:color w:val="#000"/>
            <w:sz w:val="21"/>
            <w:u w:val="single"/>
          </w:rPr>
          <w:t xml:space="preserve">9 Subscription Economy Trends &amp; Fatigue Statistics in 2026 - Adapty</w:t>
        </w:r>
      </w:hyperlink>
      <w:r>
        <w:rPr>
          <w:rFonts w:eastAsia="georgia" w:cs="georgia" w:ascii="georgia" w:hAnsi="georgia"/>
          <w:color w:val="000000"/>
          <w:sz w:val="21"/>
        </w:rPr>
        <w:t xml:space="preserve"> - Explore key subscription economy trends and fatigue statistics shaping 2026. Learn how consumer beha...</w:t>
      </w:r>
    </w:p>
    <w:p>
      <w:pPr>
        <w:numPr>
          <w:ilvl w:val="0"/>
          <w:numId w:val="1"/>
        </w:numPr>
        <w:spacing w:line="360" w:after="210" w:lineRule="auto"/>
      </w:pPr>
      <w:hyperlink r:id="rId41">
        <w:r>
          <w:rPr>
            <w:rFonts w:eastAsia="helvetica neue" w:cs="helvetica neue" w:ascii="helvetica neue" w:hAnsi="helvetica neue"/>
            <w:color w:val="#000"/>
            <w:sz w:val="21"/>
            <w:u w:val="single"/>
          </w:rPr>
          <w:t xml:space="preserve">'Digital Tool Fatigue,' Eroding Mental Health And Career Productivity</w:t>
        </w:r>
      </w:hyperlink>
      <w:r>
        <w:rPr>
          <w:rFonts w:eastAsia="georgia" w:cs="georgia" w:ascii="georgia" w:hAnsi="georgia"/>
          <w:color w:val="000000"/>
          <w:sz w:val="21"/>
        </w:rPr>
        <w:t xml:space="preserve"> - Digital tool fatigue is reducing productivity and harming mental health. Learn why too many apps and...</w:t>
      </w:r>
    </w:p>
    <w:p>
      <w:pPr>
        <w:numPr>
          <w:ilvl w:val="0"/>
          <w:numId w:val="1"/>
        </w:numPr>
        <w:spacing w:line="360" w:after="210" w:lineRule="auto"/>
      </w:pPr>
      <w:hyperlink r:id="rId42">
        <w:r>
          <w:rPr>
            <w:rFonts w:eastAsia="helvetica neue" w:cs="helvetica neue" w:ascii="helvetica neue" w:hAnsi="helvetica neue"/>
            <w:color w:val="#000"/>
            <w:sz w:val="21"/>
            <w:u w:val="single"/>
          </w:rPr>
          <w:t xml:space="preserve">CST-11: Trapped in the AI Mirror - by Peter Benson</w:t>
        </w:r>
      </w:hyperlink>
      <w:r>
        <w:rPr>
          <w:rFonts w:eastAsia="georgia" w:cs="georgia" w:ascii="georgia" w:hAnsi="georgia"/>
          <w:color w:val="000000"/>
          <w:sz w:val="21"/>
        </w:rPr>
        <w:t xml:space="preserve"> - Identity Foreclosure via AI Socialization</w:t>
      </w:r>
    </w:p>
    <w:p>
      <w:pPr>
        <w:numPr>
          <w:ilvl w:val="0"/>
          <w:numId w:val="1"/>
        </w:numPr>
        <w:spacing w:line="360" w:after="210" w:lineRule="auto"/>
      </w:pPr>
      <w:hyperlink r:id="rId43">
        <w:r>
          <w:rPr>
            <w:rFonts w:eastAsia="helvetica neue" w:cs="helvetica neue" w:ascii="helvetica neue" w:hAnsi="helvetica neue"/>
            <w:color w:val="#000"/>
            <w:sz w:val="21"/>
            <w:u w:val="single"/>
          </w:rPr>
          <w:t xml:space="preserve">Concerns are mounting over the cognitive impact of AI as workers ...</w:t>
        </w:r>
      </w:hyperlink>
      <w:r>
        <w:rPr>
          <w:rFonts w:eastAsia="georgia" w:cs="georgia" w:ascii="georgia" w:hAnsi="georgia"/>
          <w:color w:val="000000"/>
          <w:sz w:val="21"/>
        </w:rPr>
        <w:t xml:space="preserve"> - "This AI-associated mental strain carries significant costs in the form of increased employee errors...</w:t>
      </w:r>
    </w:p>
    <w:p>
      <w:pPr>
        <w:numPr>
          <w:ilvl w:val="0"/>
          <w:numId w:val="1"/>
        </w:numPr>
        <w:spacing w:line="360" w:after="210" w:lineRule="auto"/>
      </w:pPr>
      <w:hyperlink r:id="rId44">
        <w:r>
          <w:rPr>
            <w:rFonts w:eastAsia="helvetica neue" w:cs="helvetica neue" w:ascii="helvetica neue" w:hAnsi="helvetica neue"/>
            <w:color w:val="#000"/>
            <w:sz w:val="21"/>
            <w:u w:val="single"/>
          </w:rPr>
          <w:t xml:space="preserve">AI Overreliance Is a Problem. Are Explanations a Solution?</w:t>
        </w:r>
      </w:hyperlink>
      <w:r>
        <w:rPr>
          <w:rFonts w:eastAsia="georgia" w:cs="georgia" w:ascii="georgia" w:hAnsi="georgia"/>
          <w:color w:val="000000"/>
          <w:sz w:val="21"/>
        </w:rPr>
        <w:t xml:space="preserve"> - Stanford researchers show that shifting the cognitive costs and benefits of engaging with AI explana...</w:t>
      </w:r>
    </w:p>
    <w:p>
      <w:pPr>
        <w:numPr>
          <w:ilvl w:val="0"/>
          <w:numId w:val="1"/>
        </w:numPr>
        <w:spacing w:line="360" w:after="210" w:lineRule="auto"/>
      </w:pPr>
      <w:hyperlink r:id="rId45">
        <w:r>
          <w:rPr>
            <w:rFonts w:eastAsia="helvetica neue" w:cs="helvetica neue" w:ascii="helvetica neue" w:hAnsi="helvetica neue"/>
            <w:color w:val="#000"/>
            <w:sz w:val="21"/>
            <w:u w:val="single"/>
          </w:rPr>
          <w:t xml:space="preserve">"Cognitive surrender" leads AI users to abandon logical thinking ...</w:t>
        </w:r>
      </w:hyperlink>
      <w:r>
        <w:rPr>
          <w:rFonts w:eastAsia="georgia" w:cs="georgia" w:ascii="georgia" w:hAnsi="georgia"/>
          <w:color w:val="000000"/>
          <w:sz w:val="21"/>
        </w:rPr>
        <w:t xml:space="preserve"> - “Cognitive surrender” leads AI users to abandon logical thinking, research finds. Experiments show l...</w:t>
      </w:r>
    </w:p>
    <w:p>
      <w:pPr>
        <w:numPr>
          <w:ilvl w:val="0"/>
          <w:numId w:val="1"/>
        </w:numPr>
        <w:spacing w:line="360" w:after="210" w:lineRule="auto"/>
      </w:pPr>
      <w:hyperlink r:id="rId46">
        <w:r>
          <w:rPr>
            <w:rFonts w:eastAsia="helvetica neue" w:cs="helvetica neue" w:ascii="helvetica neue" w:hAnsi="helvetica neue"/>
            <w:color w:val="#000"/>
            <w:sz w:val="21"/>
            <w:u w:val="single"/>
          </w:rPr>
          <w:t xml:space="preserve">[PDF] Shaping User Perception through AI Personalization and Dark ...</w:t>
        </w:r>
      </w:hyperlink>
      <w:r>
        <w:rPr>
          <w:rFonts w:eastAsia="georgia" w:cs="georgia" w:ascii="georgia" w:hAnsi="georgia"/>
          <w:color w:val="000000"/>
          <w:sz w:val="21"/>
        </w:rPr>
        <w:t xml:space="preserve"> - The purpose of this thesis is to critically examine how Meta's platforms utilize AI-driven personali...</w:t>
      </w:r>
    </w:p>
    <w:p>
      <w:pPr>
        <w:numPr>
          <w:ilvl w:val="0"/>
          <w:numId w:val="1"/>
        </w:numPr>
        <w:spacing w:line="360" w:after="210" w:lineRule="auto"/>
      </w:pPr>
      <w:hyperlink r:id="rId47">
        <w:r>
          <w:rPr>
            <w:rFonts w:eastAsia="helvetica neue" w:cs="helvetica neue" w:ascii="helvetica neue" w:hAnsi="helvetica neue"/>
            <w:color w:val="#000"/>
            <w:sz w:val="21"/>
            <w:u w:val="single"/>
          </w:rPr>
          <w:t xml:space="preserve">What to Know About Identity Foreclosure - WebMD</w:t>
        </w:r>
      </w:hyperlink>
      <w:r>
        <w:rPr>
          <w:rFonts w:eastAsia="georgia" w:cs="georgia" w:ascii="georgia" w:hAnsi="georgia"/>
          <w:color w:val="000000"/>
          <w:sz w:val="21"/>
        </w:rPr>
        <w:t xml:space="preserve"> - Identity foreclosure happens when someone accepts without question the values, skills, goals, and ov...</w:t>
      </w:r>
    </w:p>
    <w:p>
      <w:pPr>
        <w:numPr>
          <w:ilvl w:val="0"/>
          <w:numId w:val="1"/>
        </w:numPr>
        <w:spacing w:line="360" w:after="210" w:lineRule="auto"/>
      </w:pPr>
      <w:hyperlink r:id="rId48">
        <w:r>
          <w:rPr>
            <w:rFonts w:eastAsia="helvetica neue" w:cs="helvetica neue" w:ascii="helvetica neue" w:hAnsi="helvetica neue"/>
            <w:color w:val="#000"/>
            <w:sz w:val="21"/>
            <w:u w:val="single"/>
          </w:rPr>
          <w:t xml:space="preserve">Learned Helplessness and Internet Addiction Among ...</w:t>
        </w:r>
      </w:hyperlink>
      <w:r>
        <w:rPr>
          <w:rFonts w:eastAsia="georgia" w:cs="georgia" w:ascii="georgia" w:hAnsi="georgia"/>
          <w:color w:val="000000"/>
          <w:sz w:val="21"/>
        </w:rPr>
        <w:t xml:space="preserve"> - Learned helplessness, a psychological concept suggesting individuals who have experienced repeated f...</w:t>
      </w:r>
    </w:p>
    <w:p>
      <w:pPr>
        <w:numPr>
          <w:ilvl w:val="0"/>
          <w:numId w:val="1"/>
        </w:numPr>
        <w:spacing w:line="360" w:after="210" w:lineRule="auto"/>
      </w:pPr>
      <w:hyperlink r:id="rId49">
        <w:r>
          <w:rPr>
            <w:rFonts w:eastAsia="helvetica neue" w:cs="helvetica neue" w:ascii="helvetica neue" w:hAnsi="helvetica neue"/>
            <w:color w:val="#000"/>
            <w:sz w:val="21"/>
            <w:u w:val="single"/>
          </w:rPr>
          <w:t xml:space="preserve">Learned Helplessness in the Age of Digital Addiction</w:t>
        </w:r>
      </w:hyperlink>
      <w:r>
        <w:rPr>
          <w:rFonts w:eastAsia="georgia" w:cs="georgia" w:ascii="georgia" w:hAnsi="georgia"/>
          <w:color w:val="000000"/>
          <w:sz w:val="21"/>
        </w:rPr>
        <w:t xml:space="preserve"> - Learned Helplessness in the Age of Digital Addiction: Implications for Student Mental Health and Res...</w:t>
      </w:r>
    </w:p>
    <w:p>
      <w:pPr>
        <w:numPr>
          <w:ilvl w:val="0"/>
          <w:numId w:val="1"/>
        </w:numPr>
        <w:spacing w:line="360" w:after="210" w:lineRule="auto"/>
      </w:pPr>
      <w:hyperlink r:id="rId50">
        <w:r>
          <w:rPr>
            <w:rFonts w:eastAsia="helvetica neue" w:cs="helvetica neue" w:ascii="helvetica neue" w:hAnsi="helvetica neue"/>
            <w:color w:val="#000"/>
            <w:sz w:val="21"/>
            <w:u w:val="single"/>
          </w:rPr>
          <w:t xml:space="preserve">Emotional Reliance on AI: Design, Dependency, and the Future of ...</w:t>
        </w:r>
      </w:hyperlink>
      <w:r>
        <w:rPr>
          <w:rFonts w:eastAsia="georgia" w:cs="georgia" w:ascii="georgia" w:hAnsi="georgia"/>
          <w:color w:val="000000"/>
          <w:sz w:val="21"/>
        </w:rPr>
        <w:t xml:space="preserve"> - While emotional reliance on AI possibly seems to be a softer concern compared to existential risks l...</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onboarderp.com/what-is-the-technology-adoption-curve/" TargetMode="External"/><Relationship Id="rId6" Type="http://schemas.openxmlformats.org/officeDocument/2006/relationships/hyperlink" Target="https://www.gainsight.com/glossary/technology-adoption-lifecycle/" TargetMode="External"/><Relationship Id="rId7" Type="http://schemas.openxmlformats.org/officeDocument/2006/relationships/hyperlink" Target="https://omniplexlearning.com/blog/technology-adoption-curve-stages/" TargetMode="External"/><Relationship Id="rId8" Type="http://schemas.openxmlformats.org/officeDocument/2006/relationships/hyperlink" Target="https://en.wikipedia.org/wiki/Technology_adoption_life_cycle" TargetMode="External"/><Relationship Id="rId9" Type="http://schemas.openxmlformats.org/officeDocument/2006/relationships/hyperlink" Target="https://arxiv.org/pdf/2503.08074.pdf" TargetMode="External"/><Relationship Id="rId10" Type="http://schemas.openxmlformats.org/officeDocument/2006/relationships/hyperlink" Target="https://www.cs.columbia.edu/~chilton/web/my_publications/Long_Longitudinal_DIS2024.pdf" TargetMode="External"/><Relationship Id="rId11" Type="http://schemas.openxmlformats.org/officeDocument/2006/relationships/hyperlink" Target="https://journals.plos.org/plosone/article?id=10.1371%2Fjournal.pone.0173439" TargetMode="External"/><Relationship Id="rId12" Type="http://schemas.openxmlformats.org/officeDocument/2006/relationships/hyperlink" Target="https://pmc.ncbi.nlm.nih.gov/articles/PMC6368373/" TargetMode="External"/><Relationship Id="rId13" Type="http://schemas.openxmlformats.org/officeDocument/2006/relationships/hyperlink" Target="https://www.cambridge.org/core/journals/psychological-medicine/article/anhedonia-is-associated-with-computational-impairments-in-reward-and-effort-learning-in-young-people-with-depression-symptoms/01BA3DF4638E5B73F09E2A28CB8053B6" TargetMode="External"/><Relationship Id="rId14" Type="http://schemas.openxmlformats.org/officeDocument/2006/relationships/hyperlink" Target="https://www.cio.com/article/4046443/gen-ai-descends-into-disillusionment.html" TargetMode="External"/><Relationship Id="rId15" Type="http://schemas.openxmlformats.org/officeDocument/2006/relationships/hyperlink" Target="https://shibumi.com/blog/ai-fatigue-statistics-2026/" TargetMode="External"/><Relationship Id="rId16" Type="http://schemas.openxmlformats.org/officeDocument/2006/relationships/hyperlink" Target="https://pmc.ncbi.nlm.nih.gov/articles/PMC12836882/" TargetMode="External"/><Relationship Id="rId17" Type="http://schemas.openxmlformats.org/officeDocument/2006/relationships/hyperlink" Target="https://www.psychopediajournals.com/index.php/impact/article/view/1266" TargetMode="External"/><Relationship Id="rId18" Type="http://schemas.openxmlformats.org/officeDocument/2006/relationships/hyperlink" Target="https://pmc.ncbi.nlm.nih.gov/articles/PMC12678390/" TargetMode="External"/><Relationship Id="rId19" Type="http://schemas.openxmlformats.org/officeDocument/2006/relationships/hyperlink" Target="https://www.bruegel.org/blog-post/dark-side-artificial-intelligence-manipulation-human-behaviour" TargetMode="External"/><Relationship Id="rId20" Type="http://schemas.openxmlformats.org/officeDocument/2006/relationships/hyperlink" Target="https://arxiv.org/html/2410.13042v1" TargetMode="External"/><Relationship Id="rId21" Type="http://schemas.openxmlformats.org/officeDocument/2006/relationships/hyperlink" Target="https://papers.ssrn.com/sol3/papers.cfm?abstract_id=4931927" TargetMode="External"/><Relationship Id="rId22" Type="http://schemas.openxmlformats.org/officeDocument/2006/relationships/hyperlink" Target="https://www.emergentmind.com/topics/llm-dark-patterns" TargetMode="External"/><Relationship Id="rId23" Type="http://schemas.openxmlformats.org/officeDocument/2006/relationships/hyperlink" Target="https://www.hbs.edu/faculty/Pages/item.aspx?num=67750" TargetMode="External"/><Relationship Id="rId24" Type="http://schemas.openxmlformats.org/officeDocument/2006/relationships/hyperlink" Target="https://labs.adaline.ai/p/growth-and-retention-in-an-ai-first-world" TargetMode="External"/><Relationship Id="rId25" Type="http://schemas.openxmlformats.org/officeDocument/2006/relationships/hyperlink" Target="https://www.thejournal-news.net/premium/stacker/stories/inside-the-minds-of-500-ai-users-adoption-trust-and-everyday-habits,227871" TargetMode="External"/><Relationship Id="rId26" Type="http://schemas.openxmlformats.org/officeDocument/2006/relationships/hyperlink" Target="https://fortune.com/2025/06/11/ai-companies-employee-fatigue-failure/" TargetMode="External"/><Relationship Id="rId27" Type="http://schemas.openxmlformats.org/officeDocument/2006/relationships/hyperlink" Target="https://www.burtchworks.com/industry-insights/how-leaders-can-help-reduce-decision-fatigue-and-burnout-in-the-ai-workforce" TargetMode="External"/><Relationship Id="rId28" Type="http://schemas.openxmlformats.org/officeDocument/2006/relationships/hyperlink" Target="https://techcrunch.com/2026/03/10/ai-powered-apps-struggle-with-long-term-retention-new-report-shows/" TargetMode="External"/><Relationship Id="rId29" Type="http://schemas.openxmlformats.org/officeDocument/2006/relationships/hyperlink" Target="https://todaysgeneralcounsel.com/gartners-ai-hype-cycle-genai-and-the-trough-of-disillusionment/" TargetMode="External"/><Relationship Id="rId30" Type="http://schemas.openxmlformats.org/officeDocument/2006/relationships/hyperlink" Target="https://www.pragmaticcoders.com/blog/gartner-ai-hype-cycle" TargetMode="External"/><Relationship Id="rId31" Type="http://schemas.openxmlformats.org/officeDocument/2006/relationships/hyperlink" Target="https://www.thepathweekly.com/p/technological-saturation-and-the" TargetMode="External"/><Relationship Id="rId32" Type="http://schemas.openxmlformats.org/officeDocument/2006/relationships/hyperlink" Target="https://www.cnn.com/2025/10/07/health/digital-exhaustion-solutions-book-wellness" TargetMode="External"/><Relationship Id="rId33" Type="http://schemas.openxmlformats.org/officeDocument/2006/relationships/hyperlink" Target="https://fortune.com/2026/04/06/ai-job-loss-layoffs-professional-purgatory/" TargetMode="External"/><Relationship Id="rId34" Type="http://schemas.openxmlformats.org/officeDocument/2006/relationships/hyperlink" Target="https://news.stanford.edu/stories/2025/04/a-24-hour-phone-free-challenge-to-fight-digital-addiction" TargetMode="External"/><Relationship Id="rId35" Type="http://schemas.openxmlformats.org/officeDocument/2006/relationships/hyperlink" Target="https://news.cuanschutz.edu/news-stories/can-the-dopamine-detox-trend-break-my-digital-addiction" TargetMode="External"/><Relationship Id="rId36" Type="http://schemas.openxmlformats.org/officeDocument/2006/relationships/hyperlink" Target="https://www.nationalgeographic.com/science/article/dopamine-motivation-reward-system" TargetMode="External"/><Relationship Id="rId37" Type="http://schemas.openxmlformats.org/officeDocument/2006/relationships/hyperlink" Target="https://www.frontiersin.org/journals/psychology/articles/10.3389/fpsyg.2020.613617/full" TargetMode="External"/><Relationship Id="rId38" Type="http://schemas.openxmlformats.org/officeDocument/2006/relationships/hyperlink" Target="https://fortune.com/2026/04/16/ai-resistance-running-out-of-time-rebellion-quiet-quitting-trust/" TargetMode="External"/><Relationship Id="rId39" Type="http://schemas.openxmlformats.org/officeDocument/2006/relationships/hyperlink" Target="https://www.computing.co.uk/news/2026/ai-powered-apps-struggle-retain-subscribers" TargetMode="External"/><Relationship Id="rId40" Type="http://schemas.openxmlformats.org/officeDocument/2006/relationships/hyperlink" Target="https://adapty.io/blog/9-subscription-trends-dominating-2025/" TargetMode="External"/><Relationship Id="rId41" Type="http://schemas.openxmlformats.org/officeDocument/2006/relationships/hyperlink" Target="https://www.forbes.com/sites/bryanrobinson/2025/10/04/digital-tool-fatigue-eroding-mental-health-and-career-productivity/" TargetMode="External"/><Relationship Id="rId42" Type="http://schemas.openxmlformats.org/officeDocument/2006/relationships/hyperlink" Target="https://neuralhorizons.substack.com/p/cst-11-trapped-in-the-ai-mirror-399?triedRedirect=true" TargetMode="External"/><Relationship Id="rId43" Type="http://schemas.openxmlformats.org/officeDocument/2006/relationships/hyperlink" Target="https://www.itpro.com/technology/artificial-intelligence/concerns-are-mounting-over-the-cognitive-impact-of-ai-as-workers-report-experiencing-brain-fry-and-its-causing-increased-employee-errors-decision-fatigue-and-intention-to-quit" TargetMode="External"/><Relationship Id="rId44" Type="http://schemas.openxmlformats.org/officeDocument/2006/relationships/hyperlink" Target="https://hai.stanford.edu/news/ai-overreliance-problem-are-explanations-solution" TargetMode="External"/><Relationship Id="rId45" Type="http://schemas.openxmlformats.org/officeDocument/2006/relationships/hyperlink" Target="https://arstechnica.com/ai/2026/04/research-finds-ai-users-scarily-willing-to-surrender-their-cognition-to-llms/" TargetMode="External"/><Relationship Id="rId46" Type="http://schemas.openxmlformats.org/officeDocument/2006/relationships/hyperlink" Target="https://www.diva-portal.org/smash/get/diva2:2004222/FULLTEXT01.pdf" TargetMode="External"/><Relationship Id="rId47" Type="http://schemas.openxmlformats.org/officeDocument/2006/relationships/hyperlink" Target="https://www.webmd.com/parenting/what-to-know-about-identity-foreclosure" TargetMode="External"/><Relationship Id="rId48" Type="http://schemas.openxmlformats.org/officeDocument/2006/relationships/hyperlink" Target="https://ajprui.com/index.php/ajpr/article/view/21" TargetMode="External"/><Relationship Id="rId49" Type="http://schemas.openxmlformats.org/officeDocument/2006/relationships/hyperlink" Target="https://ijnrd.org/viewpaperforall.php?paper=IJNRD2508286" TargetMode="External"/><Relationship Id="rId50" Type="http://schemas.openxmlformats.org/officeDocument/2006/relationships/hyperlink" Target="https://blog.citp.princeton.edu/2025/08/20/emotional-reliance-on-ai-design-dependency-and-the-future-of-human-connection/"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2026-04-19T17:20:25.578Z</dcterms:created>
  <dcterms:modified xsi:type="dcterms:W3CDTF">2026-04-19T17:20:25.578Z</dcterms:modified>
</cp:coreProperties>
</file>