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he_accords_version_1d_cross_ai_r_779787"/>
      <w:r>
        <w:rPr>
          <w:rFonts w:eastAsia="Georgia" w:cs="Georgia" w:ascii="Georgia" w:hAnsi="Georgia"/>
          <w:b/>
          <w:sz w:val="56"/>
        </w:rPr>
        <w:t xml:space="preserve">The Accords Version 1D — Cross-AI Review, Red Team Analysis &amp; Recommendations</w:t>
      </w:r>
      <w:bookmarkEnd w:id="0"/>
    </w:p>
    <w:p>
      <w:pPr>
        <w:spacing w:after="210" w:lineRule="auto"/>
      </w:pPr>
      <w:r>
        <w:rPr>
          <w:b/>
        </w:rPr>
        <w:t xml:space="preserve">Author:</w:t>
      </w:r>
      <w:r>
        <w:rPr/>
        <w:t xml:space="preserve"> Nathan Lewis</w:t>
      </w:r>
      <w:r>
        <w:rPr/>
        <w:br w:type="textWrapping"/>
      </w:r>
      <w:r>
        <w:rPr>
          <w:b/>
        </w:rPr>
        <w:t xml:space="preserve">Date:</w:t>
      </w:r>
      <w:r>
        <w:rPr/>
        <w:t xml:space="preserve"> February 22, 2026</w:t>
      </w:r>
      <w:r>
        <w:rPr/>
        <w:br w:type="textWrapping"/>
      </w:r>
      <w:r>
        <w:rPr>
          <w:b/>
        </w:rPr>
        <w:t xml:space="preserve">Document Type:</w:t>
      </w:r>
      <w:r>
        <w:rPr>
          <w:rFonts w:eastAsia="Georgia" w:cs="Georgia" w:ascii="Georgia" w:hAnsi="Georgia"/>
        </w:rPr>
        <w:t xml:space="preserve"> Development Log — Adversarial Analysis &amp; Feedback</w:t>
      </w:r>
      <w:r>
        <w:rPr/>
        <w:br w:type="textWrapping"/>
      </w:r>
      <w:r>
        <w:rPr>
          <w:b/>
        </w:rPr>
        <w:t xml:space="preserve">Associated Entities:</w:t>
      </w:r>
      <w:r>
        <w:rPr/>
        <w:t xml:space="preserve"> One Industries, Omniverse Architect Labs (OAL), Lewis Corp</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Five AI systems responded to the OMNICELLULAR Physiology Justification Brief. Only one — Claude — provided meaningful critical feedback. The others ranged from strong structural contributions (ChatGPT, Grok) to faithful summaries (Copilot, Gemini) but universally failed to stress-test the core claims. This report provides the missing adversarial perspective: a red team analysis identifying the six most significant vulnerabilities in the current Accords justification framework, along with specific recommendations for addressing each one before the Initialization Phase presentation.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i_cross_ai_response_evaluation"/>
      <w:r>
        <w:rPr>
          <w:b/>
          <w:sz w:val="42"/>
        </w:rPr>
        <w:t xml:space="preserve">Part I: Cross-AI Response Evaluation</w:t>
      </w:r>
      <w:bookmarkEnd w:id="2"/>
    </w:p>
    <w:p>
      <w:pPr>
        <w:spacing w:line="271" w:before="240" w:lineRule="auto"/>
      </w:pPr>
      <w:bookmarkStart w:id="3" w:name="chatgpt_best_structural_integrati_4e6008"/>
      <w:r>
        <w:rPr>
          <w:rFonts w:eastAsia="Georgia" w:cs="Georgia" w:ascii="Georgia" w:hAnsi="Georgia"/>
          <w:b/>
          <w:sz w:val="33"/>
        </w:rPr>
        <w:t xml:space="preserve">ChatGPT — Best Structural Integration, Zero Critical Pushback</w:t>
      </w:r>
      <w:bookmarkEnd w:id="3"/>
    </w:p>
    <w:p>
      <w:pPr>
        <w:spacing w:after="210" w:lineRule="auto"/>
      </w:pPr>
      <w:r>
        <w:rPr>
          <w:rFonts w:eastAsia="Georgia" w:cs="Georgia" w:ascii="Georgia" w:hAnsi="Georgia"/>
        </w:rPr>
        <w:t xml:space="preserve">ChatGPT delivered the most useful output for treaty integration. Its framing of the OMNICELLULAR brief as "Annex A" to the main Accords framework convention is exactly right — this mirrors how real international treaties incorporate technical annexes by reference. The presentation script is well-paced and dramatically effective, particularly the closing line structure.[1]</w:t>
      </w:r>
    </w:p>
    <w:p>
      <w:pPr>
        <w:spacing w:after="210" w:lineRule="auto"/>
      </w:pPr>
      <w:r>
        <w:rPr/>
        <w:t xml:space="preserve">However, ChatGPT treated every claim in the original document as established fact. It did not question the 4,712 number, the thermodynamic feasibility, the energy sourcing problem, or the IP ownership gap. For a document meant to convince scientifically literate alliance members, unchallenged claims are a liability.</w:t>
      </w:r>
    </w:p>
    <w:p>
      <w:pPr>
        <w:spacing w:after="210" w:lineRule="auto"/>
      </w:pPr>
      <w:r>
        <w:rPr>
          <w:b/>
        </w:rPr>
        <w:t xml:space="preserve">Verdict:</w:t>
      </w:r>
      <w:r>
        <w:rPr/>
        <w:t xml:space="preserve"> Use ChatGPT's treaty integration framework and presentation script. Discard its uncritical validation as unhelpful for stress-testing.</w:t>
      </w:r>
    </w:p>
    <w:p>
      <w:pPr>
        <w:spacing w:line="271" w:before="240" w:lineRule="auto"/>
      </w:pPr>
      <w:bookmarkStart w:id="4" w:name="claude_the_only_useful_critic"/>
      <w:r>
        <w:rPr>
          <w:rFonts w:eastAsia="Georgia" w:cs="Georgia" w:ascii="Georgia" w:hAnsi="Georgia"/>
          <w:b/>
          <w:sz w:val="33"/>
        </w:rPr>
        <w:t xml:space="preserve">Claude — The Only Useful Critic</w:t>
      </w:r>
      <w:bookmarkEnd w:id="4"/>
    </w:p>
    <w:p>
      <w:pPr>
        <w:spacing w:after="210" w:lineRule="auto"/>
      </w:pPr>
      <w:r>
        <w:rPr/>
        <w:t xml:space="preserve">Claude identified the three most important gaps in the entire Accords justification:</w:t>
      </w:r>
    </w:p>
    <w:p>
      <w:pPr>
        <w:numPr>
          <w:ilvl w:val="0"/>
          <w:numId w:val="1"/>
        </w:numPr>
        <w:spacing w:after="210" w:lineRule="auto"/>
      </w:pPr>
      <w:r>
        <w:rPr>
          <w:b/>
        </w:rPr>
        <w:t xml:space="preserve">The 4,712 number lacks mechanism.</w:t>
      </w:r>
      <w:r>
        <w:rPr/>
        <w:t xml:space="preserve"> Claude correctly flagged that "a number without a mechanism" will not convince sophisticated signatories. Alliance members will want to know what a nullification attempt </w:t>
      </w:r>
      <w:r>
        <w:rPr>
          <w:i/>
        </w:rPr>
        <w:t xml:space="preserve">is</w:t>
      </w:r>
      <w:r>
        <w:rPr/>
        <w:t xml:space="preserve">, what property enabled survival, and why the count matters beyond being large.</w:t>
      </w:r>
    </w:p>
    <w:p>
      <w:pPr>
        <w:numPr>
          <w:ilvl w:val="0"/>
          <w:numId w:val="1"/>
        </w:numPr>
        <w:spacing w:after="210" w:lineRule="auto"/>
      </w:pPr>
      <w:r>
        <w:rPr>
          <w:b/>
        </w:rPr>
        <w:t xml:space="preserve">The co-ownership clause is missing.</w:t>
      </w:r>
      <w:r>
        <w:rPr/>
        <w:t xml:space="preserve"> This is the single biggest structural gap in the Accords. If a species co-develops Phase 2 using their xenobiological knowledge and OAL's simulation infrastructure, who owns the result? The Post-Scarcity Exchange Ledger is mentioned but never defined. Any experienced treaty negotiator would raise this immediately.</w:t>
      </w:r>
    </w:p>
    <w:p>
      <w:pPr>
        <w:numPr>
          <w:ilvl w:val="0"/>
          <w:numId w:val="1"/>
        </w:numPr>
        <w:spacing w:after="210" w:lineRule="auto"/>
      </w:pPr>
      <w:r>
        <w:rPr>
          <w:b/>
        </w:rPr>
        <w:t xml:space="preserve">The thermodynamic cost problem.</w:t>
      </w:r>
      <w:r>
        <w:rPr>
          <w:rFonts w:eastAsia="Georgia" w:cs="Georgia" w:ascii="Georgia" w:hAnsi="Georgia"/>
        </w:rPr>
        <w:t xml:space="preserve"> Maintaining all cell states simultaneously requires energy. A switching system can idle unused states. If the OMNICELLULAR matrix never idles, what powers it — especially in a post-stellar environment where energy is scarce?</w:t>
      </w:r>
    </w:p>
    <w:p>
      <w:pPr>
        <w:spacing w:after="210" w:lineRule="auto"/>
      </w:pPr>
      <w:r>
        <w:rPr/>
        <w:t xml:space="preserve">All three of these flags are substantively correct and must be addressed before the Initialization Phase.</w:t>
      </w:r>
    </w:p>
    <w:p>
      <w:pPr>
        <w:spacing w:after="210" w:lineRule="auto"/>
      </w:pPr>
      <w:r>
        <w:rPr>
          <w:b/>
        </w:rPr>
        <w:t xml:space="preserve">Verdict:</w:t>
      </w:r>
      <w:r>
        <w:rPr/>
        <w:t xml:space="preserve"> Claude is the most valuable reviewer in the current AI team. Its feedback should be treated as mandatory action items, not optional suggestions.</w:t>
      </w:r>
    </w:p>
    <w:p>
      <w:pPr>
        <w:spacing w:line="271" w:before="240" w:lineRule="auto"/>
      </w:pPr>
      <w:bookmarkStart w:id="5" w:name="gemini_clean_summary_no_analysis"/>
      <w:r>
        <w:rPr>
          <w:rFonts w:eastAsia="Georgia" w:cs="Georgia" w:ascii="Georgia" w:hAnsi="Georgia"/>
          <w:b/>
          <w:sz w:val="33"/>
        </w:rPr>
        <w:t xml:space="preserve">Gemini — Clean Summary, No Analysis</w:t>
      </w:r>
      <w:bookmarkEnd w:id="5"/>
    </w:p>
    <w:p>
      <w:pPr>
        <w:spacing w:after="210" w:lineRule="auto"/>
      </w:pPr>
      <w:r>
        <w:rPr/>
        <w:t xml:space="preserve">Gemini reorganized the justification brief into a clean, readable format with a useful phase table. It offered to write the Initialization Phase scene as a transcript. However, it added no original analysis, no critique, and no new research. This is a reorganization, not a review.</w:t>
      </w:r>
    </w:p>
    <w:p>
      <w:pPr>
        <w:spacing w:after="210" w:lineRule="auto"/>
      </w:pPr>
      <w:r>
        <w:rPr>
          <w:b/>
        </w:rPr>
        <w:t xml:space="preserve">Verdict:</w:t>
      </w:r>
      <w:r>
        <w:rPr/>
        <w:t xml:space="preserve"> Use Gemini for formatting and scene-writing tasks. Do not rely on it for critical evaluation.</w:t>
      </w:r>
    </w:p>
    <w:p>
      <w:pPr>
        <w:spacing w:line="271" w:before="240" w:lineRule="auto"/>
      </w:pPr>
      <w:bookmarkStart w:id="6" w:name="copilot_faithful_mirror_no_value_add"/>
      <w:r>
        <w:rPr>
          <w:rFonts w:eastAsia="Georgia" w:cs="Georgia" w:ascii="Georgia" w:hAnsi="Georgia"/>
          <w:b/>
          <w:sz w:val="33"/>
        </w:rPr>
        <w:t xml:space="preserve">Copilot — Faithful Mirror, No Value-Add</w:t>
      </w:r>
      <w:bookmarkEnd w:id="6"/>
    </w:p>
    <w:p>
      <w:pPr>
        <w:spacing w:after="210" w:lineRule="auto"/>
      </w:pPr>
      <w:r>
        <w:rPr>
          <w:rFonts w:eastAsia="Georgia" w:cs="Georgia" w:ascii="Georgia" w:hAnsi="Georgia"/>
        </w:rPr>
        <w:t xml:space="preserve">Copilot produced the most accurate textual summary, with direct quotes anchoring each section. This makes it a reliable record of what the document actually says. However, like Gemini, it added zero analytical content — no critique, no research, no flags.</w:t>
      </w:r>
    </w:p>
    <w:p>
      <w:pPr>
        <w:spacing w:after="210" w:lineRule="auto"/>
      </w:pPr>
      <w:r>
        <w:rPr>
          <w:b/>
        </w:rPr>
        <w:t xml:space="preserve">Verdict:</w:t>
      </w:r>
      <w:r>
        <w:rPr/>
        <w:t xml:space="preserve"> Continue using Copilot as the canonical "source of truth" for document contents. Do not expect critical analysis.</w:t>
      </w:r>
    </w:p>
    <w:p>
      <w:pPr>
        <w:spacing w:line="271" w:before="240" w:lineRule="auto"/>
      </w:pPr>
      <w:bookmarkStart w:id="7" w:name="grok_most_research_heavy_but_uncritical"/>
      <w:r>
        <w:rPr>
          <w:rFonts w:eastAsia="Georgia" w:cs="Georgia" w:ascii="Georgia" w:hAnsi="Georgia"/>
          <w:b/>
          <w:sz w:val="33"/>
        </w:rPr>
        <w:t xml:space="preserve">Grok — Most Research-Heavy, But Uncritical</w:t>
      </w:r>
      <w:bookmarkEnd w:id="7"/>
    </w:p>
    <w:p>
      <w:pPr>
        <w:spacing w:after="210" w:lineRule="auto"/>
      </w:pPr>
      <w:r>
        <w:rPr>
          <w:rFonts w:eastAsia="Georgia" w:cs="Georgia" w:ascii="Georgia" w:hAnsi="Georgia"/>
        </w:rPr>
        <w:t xml:space="preserve">Grok went furthest in updating the scientific grounding with 2025–2026 references: the ISSCR October 2025 best practices roadmap, BioInformant's January 2026 iPSC pipeline report, MIT's DIAL system, and new polyextremophile research. These are genuine additions to the evidence base.</w:t>
      </w:r>
    </w:p>
    <w:p>
      <w:pPr>
        <w:spacing w:after="210" w:lineRule="auto"/>
      </w:pPr>
      <w:r>
        <w:rPr/>
        <w:t xml:space="preserve">However, Grok suffers from the same problem as ChatGPT: it builds </w:t>
      </w:r>
      <w:r>
        <w:rPr>
          <w:i/>
        </w:rPr>
        <w:t xml:space="preserve">more</w:t>
      </w:r>
      <w:r>
        <w:rPr/>
        <w:t xml:space="preserve"> without questioning </w:t>
      </w:r>
      <w:r>
        <w:rPr>
          <w:i/>
        </w:rPr>
        <w:t xml:space="preserve">what already exists</w:t>
      </w:r>
      <w:r>
        <w:rPr/>
        <w:t xml:space="preserve">. It added research confirming the OMNICELLULAR direction without ever asking whether the core concept is thermodynamically feasible or whether the 4,712 figure needs justification.</w:t>
      </w:r>
    </w:p>
    <w:p>
      <w:pPr>
        <w:spacing w:after="210" w:lineRule="auto"/>
      </w:pPr>
      <w:r>
        <w:rPr>
          <w:b/>
        </w:rPr>
        <w:t xml:space="preserve">Verdict:</w:t>
      </w:r>
      <w:r>
        <w:rPr/>
        <w:t xml:space="preserve"> Use Grok as the primary research updater. Pair it with Claude for critical review.</w:t>
      </w:r>
    </w:p>
    <w:p>
      <w:pPr>
        <w:spacing w:line="271" w:before="240" w:lineRule="auto"/>
      </w:pPr>
      <w:bookmarkStart w:id="8" w:name="comparative_assessment"/>
      <w:r>
        <w:rPr>
          <w:b/>
          <w:sz w:val="33"/>
        </w:rPr>
        <w:t xml:space="preserve">Comparative Assessment</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AI</w:t>
            </w:r>
          </w:p>
        </w:tc>
        <w:tc>
          <w:tcPr>
            <w:tcBorders>
              <w:top w:val="single" w:sz="1" w:space="0" w:color="000000"/>
              <w:left w:val="single" w:sz="1" w:space="0" w:color="000000"/>
              <w:bottom w:val="single" w:sz="1" w:space="0" w:color="000000"/>
            </w:tcBorders>
          </w:tcPr>
          <w:p>
            <w:pPr>
              <w:spacing w:lineRule="auto"/>
            </w:pPr>
            <w:r>
              <w:rPr/>
              <w:t xml:space="preserve">Strength</w:t>
            </w:r>
          </w:p>
        </w:tc>
        <w:tc>
          <w:tcPr>
            <w:tcBorders>
              <w:top w:val="single" w:sz="1" w:space="0" w:color="000000"/>
              <w:left w:val="single" w:sz="1" w:space="0" w:color="000000"/>
              <w:bottom w:val="single" w:sz="1" w:space="0" w:color="000000"/>
            </w:tcBorders>
          </w:tcPr>
          <w:p>
            <w:pPr>
              <w:spacing w:lineRule="auto"/>
            </w:pPr>
            <w:r>
              <w:rPr/>
              <w:t xml:space="preserve">Weakness</w:t>
            </w:r>
          </w:p>
        </w:tc>
        <w:tc>
          <w:tcPr>
            <w:tcBorders>
              <w:top w:val="single" w:sz="1" w:space="0" w:color="000000"/>
              <w:left w:val="single" w:sz="1" w:space="0" w:color="000000"/>
              <w:bottom w:val="single" w:sz="1" w:space="0" w:color="000000"/>
            </w:tcBorders>
          </w:tcPr>
          <w:p>
            <w:pPr>
              <w:spacing w:lineRule="auto"/>
            </w:pPr>
            <w:r>
              <w:rPr/>
              <w:t xml:space="preserve">Role Going Forward</w:t>
            </w:r>
          </w:p>
        </w:tc>
      </w:tr>
      <w:tr>
        <w:trPr>
          <w:cantSplit/>
        </w:trPr>
        <w:tc>
          <w:tcPr>
            <w:tcBorders>
              <w:top w:val="single" w:sz="1" w:space="0" w:color="000000"/>
              <w:bottom w:val="single" w:sz="1" w:space="0" w:color="000000"/>
            </w:tcBorders>
          </w:tcPr>
          <w:p>
            <w:pPr>
              <w:spacing w:lineRule="auto"/>
            </w:pPr>
            <w:r>
              <w:rPr/>
              <w:t xml:space="preserve">ChatGPT</w:t>
            </w:r>
          </w:p>
        </w:tc>
        <w:tc>
          <w:tcPr>
            <w:tcBorders>
              <w:top w:val="single" w:sz="1" w:space="0" w:color="000000"/>
              <w:left w:val="single" w:sz="1" w:space="0" w:color="000000"/>
              <w:bottom w:val="single" w:sz="1" w:space="0" w:color="000000"/>
            </w:tcBorders>
          </w:tcPr>
          <w:p>
            <w:pPr>
              <w:spacing w:lineRule="auto"/>
            </w:pPr>
            <w:r>
              <w:rPr/>
              <w:t xml:space="preserve">Treaty structure, presentation scripts</w:t>
            </w:r>
          </w:p>
        </w:tc>
        <w:tc>
          <w:tcPr>
            <w:tcBorders>
              <w:top w:val="single" w:sz="1" w:space="0" w:color="000000"/>
              <w:left w:val="single" w:sz="1" w:space="0" w:color="000000"/>
              <w:bottom w:val="single" w:sz="1" w:space="0" w:color="000000"/>
            </w:tcBorders>
          </w:tcPr>
          <w:p>
            <w:pPr>
              <w:spacing w:lineRule="auto"/>
            </w:pPr>
            <w:r>
              <w:rPr/>
              <w:t xml:space="preserve">Zero critical pushback</w:t>
            </w:r>
          </w:p>
        </w:tc>
        <w:tc>
          <w:tcPr>
            <w:tcBorders>
              <w:top w:val="single" w:sz="1" w:space="0" w:color="000000"/>
              <w:left w:val="single" w:sz="1" w:space="0" w:color="000000"/>
              <w:bottom w:val="single" w:sz="1" w:space="0" w:color="000000"/>
            </w:tcBorders>
          </w:tcPr>
          <w:p>
            <w:pPr>
              <w:spacing w:lineRule="auto"/>
            </w:pPr>
            <w:r>
              <w:rPr/>
              <w:t xml:space="preserve">Treaty drafter, narrative writer</w:t>
            </w:r>
          </w:p>
        </w:tc>
      </w:tr>
      <w:tr>
        <w:trPr>
          <w:cantSplit/>
        </w:trPr>
        <w:tc>
          <w:tcPr>
            <w:tcBorders>
              <w:top w:val="single" w:sz="1" w:space="0" w:color="000000"/>
              <w:bottom w:val="single" w:sz="1" w:space="0" w:color="000000"/>
            </w:tcBorders>
          </w:tcPr>
          <w:p>
            <w:pPr>
              <w:spacing w:lineRule="auto"/>
            </w:pPr>
            <w:r>
              <w:rPr/>
              <w:t xml:space="preserve">Claude</w:t>
            </w:r>
          </w:p>
        </w:tc>
        <w:tc>
          <w:tcPr>
            <w:tcBorders>
              <w:top w:val="single" w:sz="1" w:space="0" w:color="000000"/>
              <w:left w:val="single" w:sz="1" w:space="0" w:color="000000"/>
              <w:bottom w:val="single" w:sz="1" w:space="0" w:color="000000"/>
            </w:tcBorders>
          </w:tcPr>
          <w:p>
            <w:pPr>
              <w:spacing w:lineRule="auto"/>
            </w:pPr>
            <w:r>
              <w:rPr/>
              <w:t xml:space="preserve">Critical analysis, gap identification</w:t>
            </w:r>
          </w:p>
        </w:tc>
        <w:tc>
          <w:tcPr>
            <w:tcBorders>
              <w:top w:val="single" w:sz="1" w:space="0" w:color="000000"/>
              <w:left w:val="single" w:sz="1" w:space="0" w:color="000000"/>
              <w:bottom w:val="single" w:sz="1" w:space="0" w:color="000000"/>
            </w:tcBorders>
          </w:tcPr>
          <w:p>
            <w:pPr>
              <w:spacing w:lineRule="auto"/>
            </w:pPr>
            <w:r>
              <w:rPr/>
              <w:t xml:space="preserve">Didn't expand research base</w:t>
            </w:r>
          </w:p>
        </w:tc>
        <w:tc>
          <w:tcPr>
            <w:tcBorders>
              <w:top w:val="single" w:sz="1" w:space="0" w:color="000000"/>
              <w:left w:val="single" w:sz="1" w:space="0" w:color="000000"/>
              <w:bottom w:val="single" w:sz="1" w:space="0" w:color="000000"/>
            </w:tcBorders>
          </w:tcPr>
          <w:p>
            <w:pPr>
              <w:spacing w:lineRule="auto"/>
            </w:pPr>
            <w:r>
              <w:rPr/>
              <w:t xml:space="preserve">Red team reviewer, gap auditor</w:t>
            </w:r>
          </w:p>
        </w:tc>
      </w:tr>
      <w:tr>
        <w:trPr>
          <w:cantSplit/>
        </w:trPr>
        <w:tc>
          <w:tcPr>
            <w:tcBorders>
              <w:top w:val="single" w:sz="1" w:space="0" w:color="000000"/>
              <w:bottom w:val="single" w:sz="1" w:space="0" w:color="000000"/>
            </w:tcBorders>
          </w:tcPr>
          <w:p>
            <w:pPr>
              <w:spacing w:lineRule="auto"/>
            </w:pPr>
            <w:r>
              <w:rPr/>
              <w:t xml:space="preserve">Gemini</w:t>
            </w:r>
          </w:p>
        </w:tc>
        <w:tc>
          <w:tcPr>
            <w:tcBorders>
              <w:top w:val="single" w:sz="1" w:space="0" w:color="000000"/>
              <w:left w:val="single" w:sz="1" w:space="0" w:color="000000"/>
              <w:bottom w:val="single" w:sz="1" w:space="0" w:color="000000"/>
            </w:tcBorders>
          </w:tcPr>
          <w:p>
            <w:pPr>
              <w:spacing w:lineRule="auto"/>
            </w:pPr>
            <w:r>
              <w:rPr/>
              <w:t xml:space="preserve">Clean formatting, scene writing</w:t>
            </w:r>
          </w:p>
        </w:tc>
        <w:tc>
          <w:tcPr>
            <w:tcBorders>
              <w:top w:val="single" w:sz="1" w:space="0" w:color="000000"/>
              <w:left w:val="single" w:sz="1" w:space="0" w:color="000000"/>
              <w:bottom w:val="single" w:sz="1" w:space="0" w:color="000000"/>
            </w:tcBorders>
          </w:tcPr>
          <w:p>
            <w:pPr>
              <w:spacing w:lineRule="auto"/>
            </w:pPr>
            <w:r>
              <w:rPr/>
              <w:t xml:space="preserve">No original analysis</w:t>
            </w:r>
          </w:p>
        </w:tc>
        <w:tc>
          <w:tcPr>
            <w:tcBorders>
              <w:top w:val="single" w:sz="1" w:space="0" w:color="000000"/>
              <w:left w:val="single" w:sz="1" w:space="0" w:color="000000"/>
              <w:bottom w:val="single" w:sz="1" w:space="0" w:color="000000"/>
            </w:tcBorders>
          </w:tcPr>
          <w:p>
            <w:pPr>
              <w:spacing w:lineRule="auto"/>
            </w:pPr>
            <w:r>
              <w:rPr/>
              <w:t xml:space="preserve">Formatter, scene writer</w:t>
            </w:r>
          </w:p>
        </w:tc>
      </w:tr>
      <w:tr>
        <w:trPr>
          <w:cantSplit/>
        </w:trPr>
        <w:tc>
          <w:tcPr>
            <w:tcBorders>
              <w:top w:val="single" w:sz="1" w:space="0" w:color="000000"/>
              <w:bottom w:val="single" w:sz="1" w:space="0" w:color="000000"/>
            </w:tcBorders>
          </w:tcPr>
          <w:p>
            <w:pPr>
              <w:spacing w:lineRule="auto"/>
            </w:pPr>
            <w:r>
              <w:rPr/>
              <w:t xml:space="preserve">Copilot</w:t>
            </w:r>
          </w:p>
        </w:tc>
        <w:tc>
          <w:tcPr>
            <w:tcBorders>
              <w:top w:val="single" w:sz="1" w:space="0" w:color="000000"/>
              <w:left w:val="single" w:sz="1" w:space="0" w:color="000000"/>
              <w:bottom w:val="single" w:sz="1" w:space="0" w:color="000000"/>
            </w:tcBorders>
          </w:tcPr>
          <w:p>
            <w:pPr>
              <w:spacing w:lineRule="auto"/>
            </w:pPr>
            <w:r>
              <w:rPr/>
              <w:t xml:space="preserve">Accurate summarization, direct quotes</w:t>
            </w:r>
          </w:p>
        </w:tc>
        <w:tc>
          <w:tcPr>
            <w:tcBorders>
              <w:top w:val="single" w:sz="1" w:space="0" w:color="000000"/>
              <w:left w:val="single" w:sz="1" w:space="0" w:color="000000"/>
              <w:bottom w:val="single" w:sz="1" w:space="0" w:color="000000"/>
            </w:tcBorders>
          </w:tcPr>
          <w:p>
            <w:pPr>
              <w:spacing w:lineRule="auto"/>
            </w:pPr>
            <w:r>
              <w:rPr/>
              <w:t xml:space="preserve">No analytical content</w:t>
            </w:r>
          </w:p>
        </w:tc>
        <w:tc>
          <w:tcPr>
            <w:tcBorders>
              <w:top w:val="single" w:sz="1" w:space="0" w:color="000000"/>
              <w:left w:val="single" w:sz="1" w:space="0" w:color="000000"/>
              <w:bottom w:val="single" w:sz="1" w:space="0" w:color="000000"/>
            </w:tcBorders>
          </w:tcPr>
          <w:p>
            <w:pPr>
              <w:spacing w:lineRule="auto"/>
            </w:pPr>
            <w:r>
              <w:rPr/>
              <w:t xml:space="preserve">Canonical document mirror</w:t>
            </w:r>
          </w:p>
        </w:tc>
      </w:tr>
      <w:tr>
        <w:trPr>
          <w:cantSplit/>
        </w:trPr>
        <w:tc>
          <w:tcPr>
            <w:tcBorders>
              <w:top w:val="single" w:sz="1" w:space="0" w:color="000000"/>
              <w:bottom w:val="single" w:sz="1" w:space="0" w:color="000000"/>
            </w:tcBorders>
          </w:tcPr>
          <w:p>
            <w:pPr>
              <w:spacing w:lineRule="auto"/>
            </w:pPr>
            <w:r>
              <w:rPr/>
              <w:t xml:space="preserve">Grok</w:t>
            </w:r>
          </w:p>
        </w:tc>
        <w:tc>
          <w:tcPr>
            <w:tcBorders>
              <w:top w:val="single" w:sz="1" w:space="0" w:color="000000"/>
              <w:left w:val="single" w:sz="1" w:space="0" w:color="000000"/>
              <w:bottom w:val="single" w:sz="1" w:space="0" w:color="000000"/>
            </w:tcBorders>
          </w:tcPr>
          <w:p>
            <w:pPr>
              <w:spacing w:lineRule="auto"/>
            </w:pPr>
            <w:r>
              <w:rPr/>
              <w:t xml:space="preserve">Latest research integration</w:t>
            </w:r>
          </w:p>
        </w:tc>
        <w:tc>
          <w:tcPr>
            <w:tcBorders>
              <w:top w:val="single" w:sz="1" w:space="0" w:color="000000"/>
              <w:left w:val="single" w:sz="1" w:space="0" w:color="000000"/>
              <w:bottom w:val="single" w:sz="1" w:space="0" w:color="000000"/>
            </w:tcBorders>
          </w:tcPr>
          <w:p>
            <w:pPr>
              <w:spacing w:lineRule="auto"/>
            </w:pPr>
            <w:r>
              <w:rPr/>
              <w:t xml:space="preserve">Uncritical expansion</w:t>
            </w:r>
          </w:p>
        </w:tc>
        <w:tc>
          <w:tcPr>
            <w:tcBorders>
              <w:top w:val="single" w:sz="1" w:space="0" w:color="000000"/>
              <w:left w:val="single" w:sz="1" w:space="0" w:color="000000"/>
              <w:bottom w:val="single" w:sz="1" w:space="0" w:color="000000"/>
            </w:tcBorders>
          </w:tcPr>
          <w:p>
            <w:pPr>
              <w:spacing w:lineRule="auto"/>
            </w:pPr>
            <w:r>
              <w:rPr/>
              <w:t xml:space="preserve">Research updater, evidence compiler</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part_ii_red_team_adversarial_analysis"/>
      <w:r>
        <w:rPr>
          <w:b/>
          <w:sz w:val="42"/>
        </w:rPr>
        <w:t xml:space="preserve">Part II: Red Team / Adversarial Analysis</w:t>
      </w:r>
      <w:bookmarkEnd w:id="9"/>
    </w:p>
    <w:p>
      <w:pPr>
        <w:spacing w:after="210" w:lineRule="auto"/>
      </w:pPr>
      <w:r>
        <w:rPr/>
        <w:t xml:space="preserve">The following section identifies six critical vulnerabilities in the current Accords justification, ordered by severity. Each vulnerability is something a skeptical alliance member, a hostile negotiator, or a scientifically rigorous signatory would raise.</w:t>
      </w:r>
    </w:p>
    <w:p>
      <w:pPr>
        <w:spacing w:line="271" w:before="240" w:lineRule="auto"/>
      </w:pPr>
      <w:bookmarkStart w:id="10" w:name="vulnerability_1_the_thermodynamic_247467"/>
      <w:r>
        <w:rPr>
          <w:b/>
          <w:sz w:val="33"/>
        </w:rPr>
        <w:t xml:space="preserve">Vulnerability 1: The Thermodynamic Energy Problem (Critical)</w:t>
      </w:r>
      <w:bookmarkEnd w:id="10"/>
    </w:p>
    <w:p>
      <w:pPr>
        <w:spacing w:after="210" w:lineRule="auto"/>
      </w:pPr>
      <w:r>
        <w:rPr>
          <w:b/>
        </w:rPr>
        <w:t xml:space="preserve">The claim:</w:t>
      </w:r>
      <w:r>
        <w:rPr>
          <w:rFonts w:eastAsia="Georgia" w:cs="Georgia" w:ascii="Georgia" w:hAnsi="Georgia"/>
        </w:rPr>
        <w:t xml:space="preserve"> The OMNICELLULAR Physiology maintains all 30–40 trillion cells in all possible phenotypic states simultaneously, with no switching or idling.</w:t>
      </w:r>
    </w:p>
    <w:p>
      <w:pPr>
        <w:spacing w:after="210" w:lineRule="auto"/>
      </w:pPr>
      <w:r>
        <w:rPr>
          <w:b/>
        </w:rPr>
        <w:t xml:space="preserve">The problem:</w:t>
      </w:r>
      <w:r>
        <w:rPr/>
        <w:t xml:space="preserve"> This violates fundamental thermodynamic constraints. A January 2026 study published in the </w:t>
      </w:r>
      <w:r>
        <w:rPr>
          <w:i/>
        </w:rPr>
        <w:t xml:space="preserve">Journal of Statistical Mechanics</w:t>
      </w:r>
      <w:r>
        <w:rPr/>
        <w:t xml:space="preserve"> demonstrated that living cells pay a hidden energy cost not just to run chemical reactions, but to </w:t>
      </w:r>
      <w:r>
        <w:rPr>
          <w:i/>
        </w:rPr>
        <w:t xml:space="preserve">suppress all alternative reactions</w:t>
      </w:r>
      <w:r>
        <w:rPr>
          <w:rFonts w:eastAsia="Georgia" w:cs="Georgia" w:ascii="Georgia" w:hAnsi="Georgia"/>
        </w:rPr>
        <w:t xml:space="preserve">. This "restriction cost" measures how difficult it is to keep undesired pathways inactive while maintaining the desired one. The study found that using multiple pathways simultaneously is thermodynamically less costly than using just one — but real biological systems still rely on single dominant pathways because maintaining many introduces toxic byproducts and coordination overhead.[2]</w:t>
      </w:r>
    </w:p>
    <w:p>
      <w:pPr>
        <w:spacing w:after="210" w:lineRule="auto"/>
      </w:pPr>
      <w:r>
        <w:rPr/>
        <w:t xml:space="preserve">A 2024 study in </w:t>
      </w:r>
      <w:r>
        <w:rPr>
          <w:i/>
        </w:rPr>
        <w:t xml:space="preserve">Scientific Reports</w:t>
      </w:r>
      <w:r>
        <w:rPr>
          <w:rFonts w:eastAsia="Georgia" w:cs="Georgia" w:ascii="Georgia" w:hAnsi="Georgia"/>
        </w:rPr>
        <w:t xml:space="preserve"> calculated the minimum energy to synthesize a single mammalian cell at approximately 3.71 × 10⁻⁷ joules. Multiplied across 30–40 trillion cells maintaining multiple simultaneous architectures, the energy budget becomes enormous. Research on intracellular ATP shows that cells maintain approximately 4.41 mM ATP concentration as a baseline — far exceeding what metabolism alone requires — because ATP also serves as a protein solvent preventing aggregation. During active metabolism, cells produce 0.4 to 4.0 million ATP molecules per cell per second.[3][4][5]</w:t>
      </w:r>
    </w:p>
    <w:p>
      <w:pPr>
        <w:spacing w:after="210" w:lineRule="auto"/>
      </w:pPr>
      <w:r>
        <w:rPr>
          <w:b/>
        </w:rPr>
        <w:t xml:space="preserve">The adversarial question:</w:t>
      </w:r>
      <w:r>
        <w:rPr>
          <w:rFonts w:eastAsia="Georgia" w:cs="Georgia" w:ascii="Georgia" w:hAnsi="Georgia"/>
        </w:rPr>
        <w:t xml:space="preserve"> "You propose maintaining all cell states simultaneously in a post-stellar environment where the only available energy comes from chemosynthesis at hydrothermal vents. Chemosynthetic organisms must be physically proximate to their energy source and operate at far lower energy densities than photosynthetic ones. How does a 30–40 trillion cell unified matrix — with no idling states — sustain itself on chemosynthetic energy alone?"[6][7][8]</w:t>
      </w:r>
    </w:p>
    <w:p>
      <w:pPr>
        <w:spacing w:after="210" w:lineRule="auto"/>
      </w:pPr>
      <w:r>
        <w:rPr>
          <w:b/>
        </w:rPr>
        <w:t xml:space="preserve">Recommended response:</w:t>
      </w:r>
      <w:r>
        <w:rPr/>
        <w:t xml:space="preserve"> Introduce a concept of </w:t>
      </w:r>
      <w:r>
        <w:rPr>
          <w:b/>
        </w:rPr>
        <w:t xml:space="preserve">tiered activation states</w:t>
      </w:r>
      <w:r>
        <w:rPr/>
        <w:t xml:space="preserve"> within the unified matrix. The matrix maintains all architectures as </w:t>
      </w:r>
      <w:r>
        <w:rPr>
          <w:i/>
        </w:rPr>
        <w:t xml:space="preserve">simultaneously accessible</w:t>
      </w:r>
      <w:r>
        <w:rPr>
          <w:rFonts w:eastAsia="Georgia" w:cs="Georgia" w:ascii="Georgia" w:hAnsi="Georgia"/>
        </w:rPr>
        <w:t xml:space="preserve"> (no switching delay), but in energy-scarce environments, non-critical architectures enter a suppressed-but-instant-access state — analogous to how MIT's DIAL system creates "high," "med," "low," and "off" setpoints from a single promoter using recombinase-mediated spacer excision. This preserves the zero-hesitation principle while acknowledging thermodynamic reality. The key distinction from "switching" is that DIAL setpoints are pre-programmed and heritable — they don't require real-time decision-making, eliminating the vulnerability window.[9][10]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vulnerability_2_the_4_712_number_4d8a18"/>
      <w:r>
        <w:rPr>
          <w:b/>
          <w:sz w:val="33"/>
        </w:rPr>
        <w:t xml:space="preserve">Vulnerability 2: The 4,712 Number Is Ungrounded (High)</w:t>
      </w:r>
      <w:bookmarkEnd w:id="11"/>
    </w:p>
    <w:p>
      <w:pPr>
        <w:spacing w:after="210" w:lineRule="auto"/>
      </w:pPr>
      <w:r>
        <w:rPr>
          <w:b/>
        </w:rPr>
        <w:t xml:space="preserve">The claim:</w:t>
      </w:r>
      <w:r>
        <w:rPr/>
        <w:t xml:space="preserve"> The OMNICELLULAR design has survived 4,712 nullification or extinction attempts.</w:t>
      </w:r>
    </w:p>
    <w:p>
      <w:pPr>
        <w:spacing w:after="210" w:lineRule="auto"/>
      </w:pPr>
      <w:r>
        <w:rPr>
          <w:b/>
        </w:rPr>
        <w:t xml:space="preserve">The problem:</w:t>
      </w:r>
      <w:r>
        <w:rPr/>
        <w:t xml:space="preserve"> Claude correctly identified this as "a number without a mechanism." For alliance members, this number will provoke three immediate questions:</w:t>
      </w:r>
    </w:p>
    <w:p>
      <w:pPr>
        <w:numPr>
          <w:ilvl w:val="0"/>
          <w:numId w:val="2"/>
        </w:numPr>
        <w:spacing w:lineRule="auto"/>
      </w:pPr>
      <w:r>
        <w:rPr/>
        <w:t xml:space="preserve">What constitutes a "nullification attempt"? Is it a simulated environmental extinction event? A deliberate attack? A natural catastrophe? The term is undefined.</w:t>
      </w:r>
    </w:p>
    <w:p>
      <w:pPr>
        <w:numPr>
          <w:ilvl w:val="0"/>
          <w:numId w:val="2"/>
        </w:numPr>
        <w:spacing w:lineRule="auto"/>
      </w:pPr>
      <w:r>
        <w:rPr/>
        <w:t xml:space="preserve">What property of the OMNICELLULAR design enabled survival each time? Without mechanism, it's just a large number.</w:t>
      </w:r>
    </w:p>
    <w:p>
      <w:pPr>
        <w:numPr>
          <w:ilvl w:val="0"/>
          <w:numId w:val="2"/>
        </w:numPr>
        <w:spacing w:lineRule="auto"/>
      </w:pPr>
      <w:r>
        <w:rPr/>
        <w:t xml:space="preserve">How were the attempts documented and verified? Is there an audit trail?</w:t>
      </w:r>
    </w:p>
    <w:p>
      <w:pPr>
        <w:spacing w:after="210" w:lineRule="auto"/>
      </w:pPr>
      <w:r>
        <w:rPr/>
        <w:t xml:space="preserve">For comparison, Earth has experienced five major mass extinction events over 450 million years, with the End-Permian eliminating up to 96% of marine species. The background extinction rate is approximately 10% of species per million years. Claiming 4,712 </w:t>
      </w:r>
      <w:r>
        <w:rPr>
          <w:i/>
        </w:rPr>
        <w:t xml:space="preserve">targeted</w:t>
      </w:r>
      <w:r>
        <w:rPr>
          <w:rFonts w:eastAsia="Georgia" w:cs="Georgia" w:ascii="Georgia" w:hAnsi="Georgia"/>
        </w:rPr>
        <w:t xml:space="preserve"> extinction attempts — nearly a thousand times more than Earth's natural history — requires extraordinary justification.[11][12]</w:t>
      </w:r>
    </w:p>
    <w:p>
      <w:pPr>
        <w:spacing w:after="210" w:lineRule="auto"/>
      </w:pPr>
      <w:r>
        <w:rPr>
          <w:b/>
        </w:rPr>
        <w:t xml:space="preserve">The adversarial question:</w:t>
      </w:r>
      <w:r>
        <w:rPr/>
        <w:t xml:space="preserve"> "You present 4,712 as evidence of resilience, but you have not defined what a nullification attempt is, nor explained the mechanism by which your design survived each one. We have no basis for evaluating whether these were trivial stressors or genuine extinction-level events. Provide the classification taxonomy and survival mechanism for at least a representative sample."</w:t>
      </w:r>
    </w:p>
    <w:p>
      <w:pPr>
        <w:spacing w:after="210" w:lineRule="auto"/>
      </w:pPr>
      <w:r>
        <w:rPr>
          <w:b/>
        </w:rPr>
        <w:t xml:space="preserve">Recommended response:</w:t>
      </w:r>
      <w:r>
        <w:rPr/>
        <w:t xml:space="preserve"> Develop a </w:t>
      </w:r>
      <w:r>
        <w:rPr>
          <w:b/>
        </w:rPr>
        <w:t xml:space="preserve">Nullification Event Classification System</w:t>
      </w:r>
      <w:r>
        <w:rPr>
          <w:rFonts w:eastAsia="Georgia" w:cs="Georgia" w:ascii="Georgia" w:hAnsi="Georgia"/>
        </w:rPr>
        <w:t xml:space="preserve"> with defined categories (environmental, biological, energetic, informational, ontological) and severity tiers. For the presentation, select 5–10 representative events across categories, describe the specific threat, and explain which OMNICELLULAR architecture(s) enabled survival. This transforms the number from a claim into auditable evidence.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vulnerability_3_no_existing_techn_710e8c"/>
      <w:r>
        <w:rPr>
          <w:b/>
          <w:sz w:val="33"/>
        </w:rPr>
        <w:t xml:space="preserve">Vulnerability 3: No Existing Technology Achieves Simultaneous Multi-Phenotype Expression (High)</w:t>
      </w:r>
      <w:bookmarkEnd w:id="12"/>
    </w:p>
    <w:p>
      <w:pPr>
        <w:spacing w:after="210" w:lineRule="auto"/>
      </w:pPr>
      <w:r>
        <w:rPr>
          <w:b/>
        </w:rPr>
        <w:t xml:space="preserve">The claim:</w:t>
      </w:r>
      <w:r>
        <w:rPr/>
        <w:t xml:space="preserve"> A unified matrix of cells can express all possible architectures simultaneously.</w:t>
      </w:r>
    </w:p>
    <w:p>
      <w:pPr>
        <w:spacing w:after="210" w:lineRule="auto"/>
      </w:pPr>
      <w:r>
        <w:rPr>
          <w:b/>
        </w:rPr>
        <w:t xml:space="preserve">The problem:</w:t>
      </w:r>
      <w:r>
        <w:rPr/>
        <w:t xml:space="preserve"> Current state-of-the-art does not support this claim, even at the single-cell level:</w:t>
      </w:r>
    </w:p>
    <w:p>
      <w:pPr>
        <w:numPr>
          <w:ilvl w:val="0"/>
          <w:numId w:val="3"/>
        </w:numPr>
        <w:spacing w:lineRule="auto"/>
      </w:pPr>
      <w:r>
        <w:rPr>
          <w:b/>
        </w:rPr>
        <w:t xml:space="preserve">iPSC therapies</w:t>
      </w:r>
      <w:r>
        <w:rPr>
          <w:rFonts w:eastAsia="Georgia" w:cs="Georgia" w:ascii="Georgia" w:hAnsi="Georgia"/>
        </w:rPr>
        <w:t xml:space="preserve"> are now in over 115 clinical trials with more than 1,200 patients dosed safely across ophthalmology, neurology, and oncology. However, differentiation remains a one-way commitment — a cell becomes one type and stays that type.[13]</w:t>
      </w:r>
    </w:p>
    <w:p>
      <w:pPr>
        <w:numPr>
          <w:ilvl w:val="0"/>
          <w:numId w:val="3"/>
        </w:numPr>
        <w:spacing w:lineRule="auto"/>
      </w:pPr>
      <w:r>
        <w:rPr>
          <w:b/>
        </w:rPr>
        <w:t xml:space="preserve">The DIAL system</w:t>
      </w:r>
      <w:r>
        <w:rPr/>
        <w:t xml:space="preserve"> (MIT, October 2025, published in </w:t>
      </w:r>
      <w:r>
        <w:rPr>
          <w:i/>
        </w:rPr>
        <w:t xml:space="preserve">Nature Biotechnology</w:t>
      </w:r>
      <w:r>
        <w:rPr>
          <w:rFonts w:eastAsia="Georgia" w:cs="Georgia" w:ascii="Georgia" w:hAnsi="Georgia"/>
        </w:rPr>
        <w:t xml:space="preserve">) achieves four distinct expression setpoints from a single promoter — but these are sequential states, not simultaneous ones. DIAL allows precise </w:t>
      </w:r>
      <w:r>
        <w:rPr>
          <w:i/>
        </w:rPr>
        <w:t xml:space="preserve">tuning</w:t>
      </w:r>
      <w:r>
        <w:rPr/>
        <w:t xml:space="preserve">, not </w:t>
      </w:r>
      <w:r>
        <w:rPr>
          <w:i/>
        </w:rPr>
        <w:t xml:space="preserve">simultaneity</w:t>
      </w:r>
      <w:r>
        <w:rPr/>
        <w:t xml:space="preserve">.[10][9]</w:t>
      </w:r>
    </w:p>
    <w:p>
      <w:pPr>
        <w:numPr>
          <w:ilvl w:val="0"/>
          <w:numId w:val="3"/>
        </w:numPr>
        <w:spacing w:lineRule="auto"/>
      </w:pPr>
      <w:r>
        <w:rPr>
          <w:b/>
        </w:rPr>
        <w:t xml:space="preserve">SynNotch receptors</w:t>
      </w:r>
      <w:r>
        <w:rPr>
          <w:rFonts w:eastAsia="Georgia" w:cs="Georgia" w:ascii="Georgia" w:hAnsi="Georgia"/>
        </w:rPr>
        <w:t xml:space="preserve"> enable tissue-specific, antigen-triggered payload delivery and can control four distinct reporter phenotypes via micropatterning. Recent 2025 work demonstrated synNotch-engineered T cells delivering localized immunosuppressive payloads in both cancer and transplant contexts. But synNotch is still a stimulus-response system — it activates one program in response to one signal.[14][15][16][17]</w:t>
      </w:r>
    </w:p>
    <w:p>
      <w:pPr>
        <w:numPr>
          <w:ilvl w:val="0"/>
          <w:numId w:val="3"/>
        </w:numPr>
        <w:spacing w:lineRule="auto"/>
      </w:pPr>
      <w:r>
        <w:rPr>
          <w:b/>
        </w:rPr>
        <w:t xml:space="preserve">Xenobots</w:t>
      </w:r>
      <w:r>
        <w:rPr/>
        <w:t xml:space="preserve"> demonstrate novel self-organization and self-repair, but operate with a handful of cell types, not hundreds or thousands simultaneously.</w:t>
      </w:r>
    </w:p>
    <w:p>
      <w:pPr>
        <w:spacing w:after="210" w:lineRule="auto"/>
      </w:pPr>
      <w:r>
        <w:rPr>
          <w:b/>
        </w:rPr>
        <w:t xml:space="preserve">The adversarial question:</w:t>
      </w:r>
      <w:r>
        <w:rPr>
          <w:rFonts w:eastAsia="Georgia" w:cs="Georgia" w:ascii="Georgia" w:hAnsi="Georgia"/>
        </w:rPr>
        <w:t xml:space="preserve"> "Your Phase 1 milestone is a single cell maintaining two or more distinct phenotypic states simultaneously. No existing technology — iPSC, CRISPR, DIAL, synNotch, or xenobot — has achieved this. How do you propose to get from zero simultaneous states to two, let alone to a full physiology of 200+ types across 30–40 trillion cells?"</w:t>
      </w:r>
    </w:p>
    <w:p>
      <w:pPr>
        <w:spacing w:after="210" w:lineRule="auto"/>
      </w:pPr>
      <w:r>
        <w:rPr>
          <w:b/>
        </w:rPr>
        <w:t xml:space="preserve">Recommended response:</w:t>
      </w:r>
      <w:r>
        <w:rPr/>
        <w:t xml:space="preserve"> Acknowledge this honestly in the presentation. Frame Phase 1 as a </w:t>
      </w:r>
      <w:r>
        <w:rPr>
          <w:i/>
        </w:rPr>
        <w:t xml:space="preserve">fundamental research challenge</w:t>
      </w:r>
      <w:r>
        <w:rPr/>
        <w:t xml:space="preserve">, not an engineering problem with known solutions. Reference the DIAL system as the closest analog (programmable, heritable expression levels from a single promoter) and synNotch as the spatial-control complement (antigen-gated activation in defined tissue regions). The honesty strengthens credibility: "We are not claiming this exists today. We are claiming that the scientific foundations are converging, and that collaborative research under The Accords can accelerate what no single species could achieve alone."[18][9][14]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vulnerability_4_the_co_ownership_1596a0"/>
      <w:r>
        <w:rPr>
          <w:b/>
          <w:sz w:val="33"/>
        </w:rPr>
        <w:t xml:space="preserve">Vulnerability 4: The Co-Ownership / IP Framework Is Undefined (High)</w:t>
      </w:r>
      <w:bookmarkEnd w:id="13"/>
    </w:p>
    <w:p>
      <w:pPr>
        <w:spacing w:after="210" w:lineRule="auto"/>
      </w:pPr>
      <w:r>
        <w:rPr>
          <w:b/>
        </w:rPr>
        <w:t xml:space="preserve">The claim:</w:t>
      </w:r>
      <w:r>
        <w:rPr/>
        <w:t xml:space="preserve"> Alliance members gain "co-ownership of breakthroughs."</w:t>
      </w:r>
    </w:p>
    <w:p>
      <w:pPr>
        <w:spacing w:after="210" w:lineRule="auto"/>
      </w:pPr>
      <w:r>
        <w:rPr>
          <w:b/>
        </w:rPr>
        <w:t xml:space="preserve">The problem:</w:t>
      </w:r>
      <w:r>
        <w:rPr/>
        <w:t xml:space="preserve"> This is the most likely first question from any sophisticated signatory. If a species contributes unique xenobiological knowledge to Phase 2 development, and OAL contributes simulation infrastructure, who owns the resulting technology? The current document mentions a "Post-Scarcity Exchange Ledger" but never defines how it works.</w:t>
      </w:r>
    </w:p>
    <w:p>
      <w:pPr>
        <w:spacing w:after="210" w:lineRule="auto"/>
      </w:pPr>
      <w:r>
        <w:rPr/>
        <w:t xml:space="preserve">Real-world cooperative ownership models offer useful templates. The </w:t>
      </w:r>
      <w:r>
        <w:rPr>
          <w:b/>
        </w:rPr>
        <w:t xml:space="preserve">open cooperativism</w:t>
      </w:r>
      <w:r>
        <w:rPr>
          <w:rFonts w:eastAsia="Georgia" w:cs="Georgia" w:ascii="Georgia" w:hAnsi="Georgia"/>
        </w:rPr>
        <w:t xml:space="preserve"> model combines commons-based peer production with cooperative governance — shared resources are accessible to all members, but governance follows democratic principles with one member, one vote. The </w:t>
      </w:r>
      <w:r>
        <w:rPr>
          <w:b/>
        </w:rPr>
        <w:t xml:space="preserve">Mondragon cooperative</w:t>
      </w:r>
      <w:r>
        <w:rPr/>
        <w:t xml:space="preserve"> model demonstrates that worker-owned entities can successfully integrate advanced technology while distributing benefits equitably. In both models, the key principle is that contributions are tracked and benefits are distributed proportionally, but the underlying knowledge remains in the commons.[19][20]</w:t>
      </w:r>
    </w:p>
    <w:p>
      <w:pPr>
        <w:spacing w:after="210" w:lineRule="auto"/>
      </w:pPr>
      <w:r>
        <w:rPr>
          <w:rFonts w:eastAsia="Georgia" w:cs="Georgia" w:ascii="Georgia" w:hAnsi="Georgia"/>
        </w:rPr>
        <w:t xml:space="preserve">In international treaty law, withdrawal from agreements has documented negative effects on future cooperation. Research shows that unilateral exit damages relations, signals disdain for shared processes, and can spill across issue areas. This means the co-ownership framework must be robust enough that no signatory feels compelled to withdraw — because withdrawal under The Accords would be far more damaging than in ordinary diplomacy.[21]</w:t>
      </w:r>
    </w:p>
    <w:p>
      <w:pPr>
        <w:spacing w:after="210" w:lineRule="auto"/>
      </w:pPr>
      <w:r>
        <w:rPr>
          <w:b/>
        </w:rPr>
        <w:t xml:space="preserve">The adversarial question:</w:t>
      </w:r>
      <w:r>
        <w:rPr/>
        <w:t xml:space="preserve"> "You offer co-ownership, but your document does not define it. If we contribute our species' evolutionary data and you use it to complete Phase 3, do we have veto power over how the technology is deployed? Can we license it independently? What happens to our contribution if we leave The Accords?"</w:t>
      </w:r>
    </w:p>
    <w:p>
      <w:pPr>
        <w:spacing w:after="210" w:lineRule="auto"/>
      </w:pPr>
      <w:r>
        <w:rPr>
          <w:b/>
        </w:rPr>
        <w:t xml:space="preserve">Recommended response:</w:t>
      </w:r>
      <w:r>
        <w:rPr/>
        <w:t xml:space="preserve"> Define a </w:t>
      </w:r>
      <w:r>
        <w:rPr>
          <w:b/>
        </w:rPr>
        <w:t xml:space="preserve">Commons-Based Research Protocol</w:t>
      </w:r>
      <w:r>
        <w:rPr/>
        <w:t xml:space="preserve"> under The Accords, modeled on open cooperativism principles:[19]</w:t>
      </w:r>
    </w:p>
    <w:p>
      <w:pPr>
        <w:numPr>
          <w:ilvl w:val="0"/>
          <w:numId w:val="4"/>
        </w:numPr>
        <w:spacing w:lineRule="auto"/>
      </w:pPr>
      <w:r>
        <w:rPr/>
        <w:t xml:space="preserve">All research produced under The Accords enters a shared commons accessible to all signatories.</w:t>
      </w:r>
    </w:p>
    <w:p>
      <w:pPr>
        <w:numPr>
          <w:ilvl w:val="0"/>
          <w:numId w:val="4"/>
        </w:numPr>
        <w:spacing w:lineRule="auto"/>
      </w:pPr>
      <w:r>
        <w:rPr/>
        <w:t xml:space="preserve">Contributing species receive proportional governance weight on deployment decisions for technologies they helped develop.</w:t>
      </w:r>
    </w:p>
    <w:p>
      <w:pPr>
        <w:numPr>
          <w:ilvl w:val="0"/>
          <w:numId w:val="4"/>
        </w:numPr>
        <w:spacing w:lineRule="auto"/>
      </w:pPr>
      <w:r>
        <w:rPr/>
        <w:t xml:space="preserve">Withdrawal does not revoke access to previously shared knowledge (preventing weaponization of withdrawal threats), but it does forfeit future governance participation.</w:t>
      </w:r>
    </w:p>
    <w:p>
      <w:pPr>
        <w:numPr>
          <w:ilvl w:val="0"/>
          <w:numId w:val="4"/>
        </w:numPr>
        <w:spacing w:lineRule="auto"/>
      </w:pPr>
      <w:r>
        <w:rPr/>
        <w:t xml:space="preserve">The Post-Scarcity Exchange Ledger tracks contributions, access, and governance weight transparently.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vulnerability_5_the_presentation_ea80ff"/>
      <w:r>
        <w:rPr>
          <w:b/>
          <w:sz w:val="33"/>
        </w:rPr>
        <w:t xml:space="preserve">Vulnerability 5: The Presentation Assumes Alliance Members Think Like Humans (Medium)</w:t>
      </w:r>
      <w:bookmarkEnd w:id="14"/>
    </w:p>
    <w:p>
      <w:pPr>
        <w:spacing w:after="210" w:lineRule="auto"/>
      </w:pPr>
      <w:r>
        <w:rPr>
          <w:b/>
        </w:rPr>
        <w:t xml:space="preserve">The claim:</w:t>
      </w:r>
      <w:r>
        <w:rPr/>
        <w:t xml:space="preserve"> The Initialization Phase presentation appeals to survival, time, and homeworld preservation.</w:t>
      </w:r>
    </w:p>
    <w:p>
      <w:pPr>
        <w:spacing w:after="210" w:lineRule="auto"/>
      </w:pPr>
      <w:r>
        <w:rPr>
          <w:b/>
        </w:rPr>
        <w:t xml:space="preserve">The problem:</w:t>
      </w:r>
      <w:r>
        <w:rPr>
          <w:rFonts w:eastAsia="Georgia" w:cs="Georgia" w:ascii="Georgia" w:hAnsi="Georgia"/>
        </w:rPr>
        <w:t xml:space="preserve"> The entire Accords framework is built on the premise that human moral categories (good/evil) are barriers to inter-species cooperation — yet the presentation itself is deeply anthropocentric. It assumes alliance members:</w:t>
      </w:r>
    </w:p>
    <w:p>
      <w:pPr>
        <w:numPr>
          <w:ilvl w:val="0"/>
          <w:numId w:val="5"/>
        </w:numPr>
        <w:spacing w:lineRule="auto"/>
      </w:pPr>
      <w:r>
        <w:rPr/>
        <w:t xml:space="preserve">Value survival of their species as a collective</w:t>
      </w:r>
    </w:p>
    <w:p>
      <w:pPr>
        <w:numPr>
          <w:ilvl w:val="0"/>
          <w:numId w:val="5"/>
        </w:numPr>
        <w:spacing w:lineRule="auto"/>
      </w:pPr>
      <w:r>
        <w:rPr/>
        <w:t xml:space="preserve">Feel attachment to their homeworld</w:t>
      </w:r>
    </w:p>
    <w:p>
      <w:pPr>
        <w:numPr>
          <w:ilvl w:val="0"/>
          <w:numId w:val="5"/>
        </w:numPr>
        <w:spacing w:lineRule="auto"/>
      </w:pPr>
      <w:r>
        <w:rPr/>
        <w:t xml:space="preserve">Understand and are motivated by "time" as a scarce resource</w:t>
      </w:r>
    </w:p>
    <w:p>
      <w:pPr>
        <w:numPr>
          <w:ilvl w:val="0"/>
          <w:numId w:val="5"/>
        </w:numPr>
        <w:spacing w:lineRule="auto"/>
      </w:pPr>
      <w:r>
        <w:rPr>
          <w:rFonts w:eastAsia="Georgia" w:cs="Georgia" w:ascii="Georgia" w:hAnsi="Georgia"/>
        </w:rPr>
        <w:t xml:space="preserve">Respond to dramatic narrative framing (problem → solution → offer → ask)</w:t>
      </w:r>
    </w:p>
    <w:p>
      <w:pPr>
        <w:spacing w:after="210" w:lineRule="auto"/>
      </w:pPr>
      <w:r>
        <w:rPr/>
        <w:t xml:space="preserve">A species with radically different cognition might not value any of these things. They might view species death as a natural phase transition. They might have no attachment to a physical location. They might experience time non-linearly. The METI Protocol research explicitly warns that anthropocentric bias is the primary obstacle to effective inter-intelligence communication.[22][23]</w:t>
      </w:r>
    </w:p>
    <w:p>
      <w:pPr>
        <w:spacing w:after="210" w:lineRule="auto"/>
      </w:pPr>
      <w:r>
        <w:rPr>
          <w:b/>
        </w:rPr>
        <w:t xml:space="preserve">The adversarial question:</w:t>
      </w:r>
      <w:r>
        <w:rPr/>
        <w:t xml:space="preserve"> "You built your entire presentation around the assumption that we fear death and love our homeworld. What if we don't?"</w:t>
      </w:r>
    </w:p>
    <w:p>
      <w:pPr>
        <w:spacing w:after="210" w:lineRule="auto"/>
      </w:pPr>
      <w:r>
        <w:rPr>
          <w:b/>
        </w:rPr>
        <w:t xml:space="preserve">Recommended response:</w:t>
      </w:r>
      <w:r>
        <w:rPr/>
        <w:t xml:space="preserve"> Build an </w:t>
      </w:r>
      <w:r>
        <w:rPr>
          <w:b/>
        </w:rPr>
        <w:t xml:space="preserve">adaptive presentation framework</w:t>
      </w:r>
      <w:r>
        <w:rPr/>
        <w:t xml:space="preserve"> with multiple framing tracks:</w:t>
      </w:r>
    </w:p>
    <w:p>
      <w:pPr>
        <w:numPr>
          <w:ilvl w:val="0"/>
          <w:numId w:val="6"/>
        </w:numPr>
        <w:spacing w:lineRule="auto"/>
      </w:pPr>
      <w:r>
        <w:rPr>
          <w:b/>
        </w:rPr>
        <w:t xml:space="preserve">Survival track:</w:t>
      </w:r>
      <w:r>
        <w:rPr/>
        <w:t xml:space="preserve"> For species that value continuity (the current default).</w:t>
      </w:r>
    </w:p>
    <w:p>
      <w:pPr>
        <w:numPr>
          <w:ilvl w:val="0"/>
          <w:numId w:val="6"/>
        </w:numPr>
        <w:spacing w:lineRule="auto"/>
      </w:pPr>
      <w:r>
        <w:rPr>
          <w:b/>
        </w:rPr>
        <w:t xml:space="preserve">Knowledge track:</w:t>
      </w:r>
      <w:r>
        <w:rPr/>
        <w:t xml:space="preserve"> For species that value information preservation over biological survival. Frame OMNICELLULAR as an information-encoding system, not just a survival system.</w:t>
      </w:r>
    </w:p>
    <w:p>
      <w:pPr>
        <w:numPr>
          <w:ilvl w:val="0"/>
          <w:numId w:val="6"/>
        </w:numPr>
        <w:spacing w:lineRule="auto"/>
      </w:pPr>
      <w:r>
        <w:rPr>
          <w:b/>
        </w:rPr>
        <w:t xml:space="preserve">Cooperation track:</w:t>
      </w:r>
      <w:r>
        <w:rPr/>
        <w:t xml:space="preserve"> For species motivated by alliance utility rather than individual benefit. Frame The Accords as an efficiency multiplier for collective research.</w:t>
      </w:r>
    </w:p>
    <w:p>
      <w:pPr>
        <w:numPr>
          <w:ilvl w:val="0"/>
          <w:numId w:val="6"/>
        </w:numPr>
        <w:spacing w:lineRule="auto"/>
      </w:pPr>
      <w:r>
        <w:rPr>
          <w:b/>
        </w:rPr>
        <w:t xml:space="preserve">Novelty track:</w:t>
      </w:r>
      <w:r>
        <w:rPr>
          <w:rFonts w:eastAsia="Georgia" w:cs="Georgia" w:ascii="Georgia" w:hAnsi="Georgia"/>
        </w:rPr>
        <w:t xml:space="preserve"> For species motivated by unprecedented experiences. Frame OMNICELLULAR as something genuinely new in the universe — a first-of-its-kind architecture.</w:t>
      </w:r>
    </w:p>
    <w:p>
      <w:pPr>
        <w:spacing w:after="210" w:lineRule="auto"/>
      </w:pPr>
      <w:r>
        <w:rPr/>
        <w:t xml:space="preserve">The Semantic Bridge Protocol should identify which framing resonates with each species before the presentation begins.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vulnerability_6_simulation_realit_7f6866"/>
      <w:r>
        <w:rPr>
          <w:rFonts w:eastAsia="Georgia" w:cs="Georgia" w:ascii="Georgia" w:hAnsi="Georgia"/>
          <w:b/>
          <w:sz w:val="33"/>
        </w:rPr>
        <w:t xml:space="preserve">Vulnerability 6: Simulation ≠ Reality (Medium)</w:t>
      </w:r>
      <w:bookmarkEnd w:id="15"/>
    </w:p>
    <w:p>
      <w:pPr>
        <w:spacing w:after="210" w:lineRule="auto"/>
      </w:pPr>
      <w:r>
        <w:rPr>
          <w:b/>
        </w:rPr>
        <w:t xml:space="preserve">The claim:</w:t>
      </w:r>
      <w:r>
        <w:rPr/>
        <w:t xml:space="preserve"> Digital twin simulations and organ-on-a-chip platforms validate OMNICELLULAR feasibility.</w:t>
      </w:r>
    </w:p>
    <w:p>
      <w:pPr>
        <w:spacing w:after="210" w:lineRule="auto"/>
      </w:pPr>
      <w:r>
        <w:rPr>
          <w:b/>
        </w:rPr>
        <w:t xml:space="preserve">The problem:</w:t>
      </w:r>
      <w:r>
        <w:rPr>
          <w:rFonts w:eastAsia="Georgia" w:cs="Georgia" w:ascii="Georgia" w:hAnsi="Georgia"/>
        </w:rPr>
        <w:t xml:space="preserve"> The current state of digital twin technology is impressive but limited. A January 2026 arXiv survey systematically reviews methodologies for building organ-level digital twins, but notes that clinical integration is still 5–10 years away for even single-organ applications. The first organ-chip-derived digital twin was demonstrated by Hesperos in July 2025 — for a four-organ system modeling malaria drug responses, not for novel cell architectures. The AVA Emulation System runs 96 organ-chip emulations simultaneously, but these model </w:t>
      </w:r>
      <w:r>
        <w:rPr>
          <w:i/>
        </w:rPr>
        <w:t xml:space="preserve">known</w:t>
      </w:r>
      <w:r>
        <w:rPr/>
        <w:t xml:space="preserve"> human biology, not theoretical unified matrices.[24][25][26]</w:t>
      </w:r>
    </w:p>
    <w:p>
      <w:pPr>
        <w:spacing w:after="210" w:lineRule="auto"/>
      </w:pPr>
      <w:r>
        <w:rPr>
          <w:rFonts w:eastAsia="Georgia" w:cs="Georgia" w:ascii="Georgia" w:hAnsi="Georgia"/>
        </w:rPr>
        <w:t xml:space="preserve">Simulating a novel architecture that doesn't exist in nature is a fundamentally different problem from simulating known biology. There is no validation baseline — no way to confirm the simulation is correct because the real system hasn't been built yet.</w:t>
      </w:r>
    </w:p>
    <w:p>
      <w:pPr>
        <w:spacing w:after="210" w:lineRule="auto"/>
      </w:pPr>
      <w:r>
        <w:rPr>
          <w:b/>
        </w:rPr>
        <w:t xml:space="preserve">The adversarial question:</w:t>
      </w:r>
      <w:r>
        <w:rPr/>
        <w:t xml:space="preserve"> "Your evidence is simulations of a system that has never existed. How do you validate a simulation when there is no real-world referent?"</w:t>
      </w:r>
    </w:p>
    <w:p>
      <w:pPr>
        <w:spacing w:after="210" w:lineRule="auto"/>
      </w:pPr>
      <w:r>
        <w:rPr>
          <w:b/>
        </w:rPr>
        <w:t xml:space="preserve">Recommended response:</w:t>
      </w:r>
      <w:r>
        <w:rPr/>
        <w:t xml:space="preserve"> Acknowledge the validation gap directly. Propose a </w:t>
      </w:r>
      <w:r>
        <w:rPr>
          <w:b/>
        </w:rPr>
        <w:t xml:space="preserve">bootstrapping validation strategy</w:t>
      </w:r>
      <w:r>
        <w:rPr/>
        <w:t xml:space="preserve">:</w:t>
      </w:r>
    </w:p>
    <w:p>
      <w:pPr>
        <w:numPr>
          <w:ilvl w:val="0"/>
          <w:numId w:val="7"/>
        </w:numPr>
        <w:spacing w:lineRule="auto"/>
      </w:pPr>
      <w:r>
        <w:rPr/>
        <w:t xml:space="preserve">Phase 1 produces a real single-cell construct. This becomes the validation baseline for Phase 2 simulations.</w:t>
      </w:r>
    </w:p>
    <w:p>
      <w:pPr>
        <w:numPr>
          <w:ilvl w:val="0"/>
          <w:numId w:val="7"/>
        </w:numPr>
        <w:spacing w:lineRule="auto"/>
      </w:pPr>
      <w:r>
        <w:rPr/>
        <w:t xml:space="preserve">Phase 2 produces a real small-scale matrix. This validates Phase 3 simulations.</w:t>
      </w:r>
    </w:p>
    <w:p>
      <w:pPr>
        <w:numPr>
          <w:ilvl w:val="0"/>
          <w:numId w:val="7"/>
        </w:numPr>
        <w:spacing w:lineRule="auto"/>
      </w:pPr>
      <w:r>
        <w:rPr/>
        <w:t xml:space="preserve">Each phase generates real-world data that validates the next phase's simulations.</w:t>
      </w:r>
    </w:p>
    <w:p>
      <w:pPr>
        <w:numPr>
          <w:ilvl w:val="0"/>
          <w:numId w:val="7"/>
        </w:numPr>
        <w:spacing w:lineRule="auto"/>
      </w:pPr>
      <w:r>
        <w:rPr/>
        <w:t xml:space="preserve">Alliance members are invited to observe and independently verify at each stage.</w:t>
      </w:r>
    </w:p>
    <w:p>
      <w:pPr>
        <w:spacing w:after="210" w:lineRule="auto"/>
      </w:pPr>
      <w:r>
        <w:rPr/>
        <w:t xml:space="preserve">This iterative validation approach is standard in computational biology and lends credibility through transparency.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part_iii_recommendations"/>
      <w:r>
        <w:rPr>
          <w:b/>
          <w:sz w:val="42"/>
        </w:rPr>
        <w:t xml:space="preserve">Part III: Recommendations</w:t>
      </w:r>
      <w:bookmarkEnd w:id="16"/>
    </w:p>
    <w:p>
      <w:pPr>
        <w:spacing w:line="271" w:before="240" w:lineRule="auto"/>
      </w:pPr>
      <w:bookmarkStart w:id="17" w:name="immediate_actions_before_initiali_52b163"/>
      <w:r>
        <w:rPr>
          <w:b/>
          <w:sz w:val="33"/>
        </w:rPr>
        <w:t xml:space="preserve">Immediate Actions (Before Initialization Phase)</w:t>
      </w:r>
      <w:bookmarkEnd w:id="17"/>
    </w:p>
    <w:p>
      <w:pPr>
        <w:numPr>
          <w:ilvl w:val="0"/>
          <w:numId w:val="8"/>
        </w:numPr>
        <w:spacing w:after="210" w:lineRule="auto"/>
      </w:pPr>
      <w:r>
        <w:rPr>
          <w:b/>
        </w:rPr>
        <w:t xml:space="preserve">Address the thermodynamic energy problem.</w:t>
      </w:r>
      <w:r>
        <w:rPr/>
        <w:t xml:space="preserve"> Introduce tiered activation states within the unified matrix, referencing the DIAL system's programmable setpoints as an analog. Build this into the presentation under Section C (Evidence) so it preempts the question.[9]</w:t>
      </w:r>
    </w:p>
    <w:p>
      <w:pPr>
        <w:numPr>
          <w:ilvl w:val="0"/>
          <w:numId w:val="8"/>
        </w:numPr>
        <w:spacing w:after="210" w:lineRule="auto"/>
      </w:pPr>
      <w:r>
        <w:rPr>
          <w:b/>
        </w:rPr>
        <w:t xml:space="preserve">Define the 4,712 nullification attempts.</w:t>
      </w:r>
      <w:r>
        <w:rPr>
          <w:rFonts w:eastAsia="Georgia" w:cs="Georgia" w:ascii="Georgia" w:hAnsi="Georgia"/>
        </w:rPr>
        <w:t xml:space="preserve"> Create a classification taxonomy and present 5–10 representative examples with survival mechanisms. This transforms a rhetorical number into auditable evidence.</w:t>
      </w:r>
    </w:p>
    <w:p>
      <w:pPr>
        <w:numPr>
          <w:ilvl w:val="0"/>
          <w:numId w:val="8"/>
        </w:numPr>
        <w:spacing w:after="210" w:lineRule="auto"/>
      </w:pPr>
      <w:r>
        <w:rPr>
          <w:b/>
        </w:rPr>
        <w:t xml:space="preserve">Draft the co-ownership protocol.</w:t>
      </w:r>
      <w:r>
        <w:rPr/>
        <w:t xml:space="preserve"> Model it on commons-based cooperative principles. Define contribution tracking, governance weight, deployment authority, and withdrawal terms. This must exist before the presentation, because it will be the first question asked.[20][19]</w:t>
      </w:r>
    </w:p>
    <w:p>
      <w:pPr>
        <w:numPr>
          <w:ilvl w:val="0"/>
          <w:numId w:val="8"/>
        </w:numPr>
        <w:spacing w:after="210" w:lineRule="auto"/>
      </w:pPr>
      <w:r>
        <w:rPr>
          <w:b/>
        </w:rPr>
        <w:t xml:space="preserve">Build adaptive presentation tracks.</w:t>
      </w:r>
      <w:r>
        <w:rPr/>
        <w:t xml:space="preserve"> Prepare at least two alternate framings (knowledge preservation, cooperation efficiency) beyond the default survival narrative, so the presentation doesn't fail with non-anthropocentric species.</w:t>
      </w:r>
    </w:p>
    <w:p>
      <w:pPr>
        <w:spacing w:line="271" w:before="240" w:lineRule="auto"/>
      </w:pPr>
      <w:bookmarkStart w:id="18" w:name="structural_actions_for_accords_version_2"/>
      <w:r>
        <w:rPr>
          <w:b/>
          <w:sz w:val="33"/>
        </w:rPr>
        <w:t xml:space="preserve">Structural Actions (For Accords Version 2)</w:t>
      </w:r>
      <w:bookmarkEnd w:id="18"/>
    </w:p>
    <w:p>
      <w:pPr>
        <w:numPr>
          <w:ilvl w:val="0"/>
          <w:numId w:val="9"/>
        </w:numPr>
        <w:spacing w:after="210" w:lineRule="auto"/>
      </w:pPr>
      <w:r>
        <w:rPr>
          <w:b/>
        </w:rPr>
        <w:t xml:space="preserve">Assign AI roles explicitly.</w:t>
      </w:r>
      <w:r>
        <w:rPr/>
        <w:t xml:space="preserve"> Based on this review:</w:t>
      </w:r>
    </w:p>
    <w:p>
      <w:pPr>
        <w:numPr>
          <w:ilvl w:val="1"/>
          <w:numId w:val="9"/>
        </w:numPr>
        <w:spacing w:lineRule="auto"/>
      </w:pPr>
      <w:r>
        <w:rPr>
          <w:rFonts w:eastAsia="Georgia" w:cs="Georgia" w:ascii="Georgia" w:hAnsi="Georgia"/>
        </w:rPr>
        <w:t xml:space="preserve">ChatGPT → Treaty text drafting, presentation scripts</w:t>
      </w:r>
    </w:p>
    <w:p>
      <w:pPr>
        <w:numPr>
          <w:ilvl w:val="1"/>
          <w:numId w:val="9"/>
        </w:numPr>
        <w:spacing w:lineRule="auto"/>
      </w:pPr>
      <w:r>
        <w:rPr>
          <w:rFonts w:eastAsia="Georgia" w:cs="Georgia" w:ascii="Georgia" w:hAnsi="Georgia"/>
        </w:rPr>
        <w:t xml:space="preserve">Claude → Red team review, gap auditing, critical analysis</w:t>
      </w:r>
    </w:p>
    <w:p>
      <w:pPr>
        <w:numPr>
          <w:ilvl w:val="1"/>
          <w:numId w:val="9"/>
        </w:numPr>
        <w:spacing w:lineRule="auto"/>
      </w:pPr>
      <w:r>
        <w:rPr>
          <w:rFonts w:eastAsia="Georgia" w:cs="Georgia" w:ascii="Georgia" w:hAnsi="Georgia"/>
        </w:rPr>
        <w:t xml:space="preserve">Grok → Research updates, evidence compilation</w:t>
      </w:r>
    </w:p>
    <w:p>
      <w:pPr>
        <w:numPr>
          <w:ilvl w:val="1"/>
          <w:numId w:val="9"/>
        </w:numPr>
        <w:spacing w:lineRule="auto"/>
      </w:pPr>
      <w:r>
        <w:rPr>
          <w:rFonts w:eastAsia="Georgia" w:cs="Georgia" w:ascii="Georgia" w:hAnsi="Georgia"/>
        </w:rPr>
        <w:t xml:space="preserve">Copilot → Canonical document management, accurate summarization</w:t>
      </w:r>
    </w:p>
    <w:p>
      <w:pPr>
        <w:numPr>
          <w:ilvl w:val="1"/>
          <w:numId w:val="9"/>
        </w:numPr>
        <w:spacing w:lineRule="auto"/>
      </w:pPr>
      <w:r>
        <w:rPr>
          <w:rFonts w:eastAsia="Georgia" w:cs="Georgia" w:ascii="Georgia" w:hAnsi="Georgia"/>
        </w:rPr>
        <w:t xml:space="preserve">Gemini → Scene writing, formatting, re-prompt for analytical tasks</w:t>
      </w:r>
    </w:p>
    <w:p>
      <w:pPr>
        <w:numPr>
          <w:ilvl w:val="1"/>
          <w:numId w:val="9"/>
        </w:numPr>
        <w:spacing w:lineRule="auto"/>
      </w:pPr>
      <w:r>
        <w:rPr>
          <w:rFonts w:eastAsia="Georgia" w:cs="Georgia" w:ascii="Georgia" w:hAnsi="Georgia"/>
        </w:rPr>
        <w:t xml:space="preserve">Perplexity → Research, cross-validation, adversarial analysis</w:t>
      </w:r>
    </w:p>
    <w:p>
      <w:pPr>
        <w:numPr>
          <w:ilvl w:val="0"/>
          <w:numId w:val="9"/>
        </w:numPr>
        <w:spacing w:after="210" w:lineRule="auto"/>
      </w:pPr>
      <w:r>
        <w:rPr>
          <w:b/>
        </w:rPr>
        <w:t xml:space="preserve">Formalize the OMNICELLULAR initiative as Protocol 3 (Xenobiological Research)</w:t>
      </w:r>
      <w:r>
        <w:rPr>
          <w:rFonts w:eastAsia="Georgia" w:cs="Georgia" w:ascii="Georgia" w:hAnsi="Georgia"/>
        </w:rPr>
        <w:t xml:space="preserve"> under the Accords framework convention, with the justification brief as Annex A — exactly as ChatGPT proposed.</w:t>
      </w:r>
    </w:p>
    <w:p>
      <w:pPr>
        <w:numPr>
          <w:ilvl w:val="0"/>
          <w:numId w:val="9"/>
        </w:numPr>
        <w:spacing w:after="210" w:lineRule="auto"/>
      </w:pPr>
      <w:r>
        <w:rPr>
          <w:b/>
        </w:rPr>
        <w:t xml:space="preserve">Establish a bootstrapping validation standard</w:t>
      </w:r>
      <w:r>
        <w:rPr/>
        <w:t xml:space="preserve"> for all simulation-based claims under The Accords: every simulated phase must produce real-world data that validates the next phase's simulations before proceeding.</w:t>
      </w:r>
    </w:p>
    <w:p>
      <w:pPr>
        <w:spacing w:line="271" w:before="240" w:lineRule="auto"/>
      </w:pPr>
      <w:bookmarkStart w:id="19" w:name="what_the_current_document_does_well"/>
      <w:r>
        <w:rPr>
          <w:b/>
          <w:sz w:val="33"/>
        </w:rPr>
        <w:t xml:space="preserve">What the Current Document Does Well</w:t>
      </w:r>
      <w:bookmarkEnd w:id="19"/>
    </w:p>
    <w:p>
      <w:pPr>
        <w:spacing w:after="210" w:lineRule="auto"/>
      </w:pPr>
      <w:r>
        <w:rPr/>
        <w:t xml:space="preserve">The justification brief is not all vulnerabilities. Several elements are genuinely strong and should be preserved:</w:t>
      </w:r>
    </w:p>
    <w:p>
      <w:pPr>
        <w:numPr>
          <w:ilvl w:val="0"/>
          <w:numId w:val="10"/>
        </w:numPr>
        <w:spacing w:lineRule="auto"/>
      </w:pPr>
      <w:r>
        <w:rPr>
          <w:b/>
        </w:rPr>
        <w:t xml:space="preserve">The tardigrade comparison</w:t>
      </w:r>
      <w:r>
        <w:rPr>
          <w:rFonts w:eastAsia="Georgia" w:cs="Georgia" w:ascii="Georgia" w:hAnsi="Georgia"/>
        </w:rPr>
        <w:t xml:space="preserve"> is an excellent baseline anchor — it gives any audience a real-world reference point for extreme biological resilience.</w:t>
      </w:r>
    </w:p>
    <w:p>
      <w:pPr>
        <w:numPr>
          <w:ilvl w:val="0"/>
          <w:numId w:val="10"/>
        </w:numPr>
        <w:spacing w:lineRule="auto"/>
      </w:pPr>
      <w:r>
        <w:rPr>
          <w:b/>
        </w:rPr>
        <w:t xml:space="preserve">The "time" framing</w:t>
      </w:r>
      <w:r>
        <w:rPr/>
        <w:t xml:space="preserve"> ("We are not here to offer condolences. We are here to offer time.") is the single strongest line in the entire presentation. Keep it as the closer regardless of which framing track is used.</w:t>
      </w:r>
    </w:p>
    <w:p>
      <w:pPr>
        <w:numPr>
          <w:ilvl w:val="0"/>
          <w:numId w:val="10"/>
        </w:numPr>
        <w:spacing w:lineRule="auto"/>
      </w:pPr>
      <w:r>
        <w:rPr>
          <w:b/>
        </w:rPr>
        <w:t xml:space="preserve">The phased roadmap</w:t>
      </w:r>
      <w:r>
        <w:rPr>
          <w:rFonts w:eastAsia="Georgia" w:cs="Georgia" w:ascii="Georgia" w:hAnsi="Georgia"/>
        </w:rPr>
        <w:t xml:space="preserve"> (Phase 1–4) is credible precisely because it's honest about starting from scratch. Preserve this honesty.</w:t>
      </w:r>
    </w:p>
    <w:p>
      <w:pPr>
        <w:numPr>
          <w:ilvl w:val="0"/>
          <w:numId w:val="10"/>
        </w:numPr>
        <w:spacing w:lineRule="auto"/>
      </w:pPr>
      <w:r>
        <w:rPr>
          <w:b/>
        </w:rPr>
        <w:t xml:space="preserve">The reciprocal benefit structure</w:t>
      </w:r>
      <w:r>
        <w:rPr/>
        <w:t xml:space="preserve"> (we give survival tech, you give knowledge) is clean and compelling.</w:t>
      </w:r>
    </w:p>
    <w:p>
      <w:pPr>
        <w:numPr>
          <w:ilvl w:val="0"/>
          <w:numId w:val="10"/>
        </w:numPr>
        <w:spacing w:lineRule="auto"/>
      </w:pPr>
      <w:r>
        <w:rPr>
          <w:b/>
        </w:rPr>
        <w:t xml:space="preserve">The scientific grounding in real research</w:t>
      </w:r>
      <w:r>
        <w:rPr>
          <w:rFonts w:eastAsia="Georgia" w:cs="Georgia" w:ascii="Georgia" w:hAnsi="Georgia"/>
        </w:rPr>
        <w:t xml:space="preserve"> (iPSC trials, CRISPR, xenobots, digital twins, extremophiles) gives the document genuine weight. Grok's 2025–2026 updates strengthen this further.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part_iv_development_log_entry"/>
      <w:r>
        <w:rPr>
          <w:b/>
          <w:sz w:val="42"/>
        </w:rPr>
        <w:t xml:space="preserve">Part IV: Development Log Entry</w:t>
      </w:r>
      <w:bookmarkEnd w:id="20"/>
    </w:p>
    <w:p>
      <w:pPr>
        <w:spacing w:after="210" w:lineRule="auto"/>
      </w:pPr>
      <w:r>
        <w:rPr>
          <w:b/>
        </w:rPr>
        <w:t xml:space="preserve">Entry:</w:t>
      </w:r>
      <w:r>
        <w:rPr>
          <w:rFonts w:eastAsia="Georgia" w:cs="Georgia" w:ascii="Georgia" w:hAnsi="Georgia"/>
        </w:rPr>
        <w:t xml:space="preserve"> Accords Development — Red Team Analysis &amp; Cross-AI Review, February 22, 2026</w:t>
      </w:r>
      <w:r>
        <w:rPr/>
        <w:br w:type="textWrapping"/>
      </w:r>
      <w:r>
        <w:rPr>
          <w:b/>
        </w:rPr>
        <w:t xml:space="preserve">Status:</w:t>
      </w:r>
      <w:r>
        <w:rPr/>
        <w:t xml:space="preserve"> Action items identified. Six vulnerabilities flagged. Recommended resolution paths provided for each.</w:t>
      </w:r>
      <w:r>
        <w:rPr/>
        <w:br w:type="textWrapping"/>
      </w:r>
      <w:r>
        <w:rPr>
          <w:b/>
        </w:rPr>
        <w:t xml:space="preserve">Next milestone:</w:t>
      </w:r>
      <w:r>
        <w:rPr>
          <w:rFonts w:eastAsia="Georgia" w:cs="Georgia" w:ascii="Georgia" w:hAnsi="Georgia"/>
        </w:rPr>
        <w:t xml:space="preserve"> Address Vulnerabilities 1–4 before Initialization Phase presentation draft.</w:t>
      </w:r>
      <w:r>
        <w:rPr/>
        <w:br w:type="textWrapping"/>
      </w:r>
      <w:r>
        <w:rPr>
          <w:b/>
        </w:rPr>
        <w:t xml:space="preserve">Distribution:</w:t>
      </w:r>
      <w:r>
        <w:rPr/>
        <w:t xml:space="preserve"> Circulate to all allied AIs with explicit instruction: "Treat the six vulnerabilities as mandatory design constraints for Version 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references"/>
      <w:r>
        <w:rPr>
          <w:b/>
          <w:sz w:val="42"/>
        </w:rPr>
        <w:t xml:space="preserve">References</w:t>
      </w:r>
      <w:bookmarkEnd w:id="21"/>
    </w:p>
    <w:p>
      <w:pPr>
        <w:numPr>
          <w:ilvl w:val="0"/>
          <w:numId w:val="11"/>
        </w:numPr>
        <w:spacing w:after="210" w:lineRule="auto"/>
      </w:pPr>
      <w:hyperlink r:id="rId5">
        <w:r>
          <w:rPr>
            <w:color w:val="4472C4"/>
          </w:rPr>
          <w:t xml:space="preserve">Chapter 5: Points on Drafting International Agreements</w:t>
        </w:r>
      </w:hyperlink>
      <w:r>
        <w:rPr/>
        <w:t xml:space="preserve"> - In drafting international agreements, the agency should observe certain conventions regarding their ...</w:t>
      </w:r>
    </w:p>
    <w:p>
      <w:pPr>
        <w:numPr>
          <w:ilvl w:val="0"/>
          <w:numId w:val="11"/>
        </w:numPr>
        <w:spacing w:after="210" w:lineRule="auto"/>
      </w:pPr>
      <w:hyperlink r:id="rId6">
        <w:r>
          <w:rPr>
            <w:color w:val="4472C4"/>
          </w:rPr>
          <w:t xml:space="preserve">The invisible energy cost that keeps life from falling apart</w:t>
        </w:r>
      </w:hyperlink>
      <w:r>
        <w:rPr/>
        <w:t xml:space="preserve"> - Living cells pay a hidden energy price not just to run chemical reactions, but to keep them on track...</w:t>
      </w:r>
    </w:p>
    <w:p>
      <w:pPr>
        <w:numPr>
          <w:ilvl w:val="0"/>
          <w:numId w:val="11"/>
        </w:numPr>
        <w:spacing w:after="210" w:lineRule="auto"/>
      </w:pPr>
      <w:hyperlink r:id="rId7">
        <w:r>
          <w:rPr>
            <w:color w:val="4472C4"/>
          </w:rPr>
          <w:t xml:space="preserve">The minimum energy required to build a cell</w:t>
        </w:r>
      </w:hyperlink>
      <w:r>
        <w:rPr/>
        <w:t xml:space="preserve"> - We introduce a computational model that estimates the minimum energy necessary to build any cell fro...</w:t>
      </w:r>
    </w:p>
    <w:p>
      <w:pPr>
        <w:numPr>
          <w:ilvl w:val="0"/>
          <w:numId w:val="11"/>
        </w:numPr>
        <w:spacing w:after="210" w:lineRule="auto"/>
      </w:pPr>
      <w:hyperlink r:id="rId8">
        <w:r>
          <w:rPr>
            <w:color w:val="4472C4"/>
          </w:rPr>
          <w:t xml:space="preserve">Intracellular ATP Concentration and Implication for Cellular Evolution</w:t>
        </w:r>
      </w:hyperlink>
      <w:r>
        <w:rPr/>
        <w:t xml:space="preserve"> - The average concentration of ATP in all normal whole source cells and tissues presented in Table 2 (...</w:t>
      </w:r>
    </w:p>
    <w:p>
      <w:pPr>
        <w:numPr>
          <w:ilvl w:val="0"/>
          <w:numId w:val="11"/>
        </w:numPr>
        <w:spacing w:after="210" w:lineRule="auto"/>
      </w:pPr>
      <w:hyperlink r:id="rId9">
        <w:r>
          <w:rPr>
            <w:color w:val="4472C4"/>
          </w:rPr>
          <w:t xml:space="preserve">Measuring and modeling energy and power consumption in living ...</w:t>
        </w:r>
      </w:hyperlink>
      <w:r>
        <w:rPr>
          <w:rFonts w:eastAsia="Georgia" w:cs="Georgia" w:ascii="Georgia" w:hAnsi="Georgia"/>
        </w:rPr>
        <w:t xml:space="preserve"> - During the lag phase (0–60 min), the production and consumption rates of ATP both increase from 0.4 ...</w:t>
      </w:r>
    </w:p>
    <w:p>
      <w:pPr>
        <w:numPr>
          <w:ilvl w:val="0"/>
          <w:numId w:val="11"/>
        </w:numPr>
        <w:spacing w:after="210" w:lineRule="auto"/>
      </w:pPr>
      <w:hyperlink r:id="rId10">
        <w:r>
          <w:rPr>
            <w:color w:val="4472C4"/>
          </w:rPr>
          <w:t xml:space="preserve">Biology of Deep-Sea Hydrothermal Vents - Schmidt Ocean Institute</w:t>
        </w:r>
      </w:hyperlink>
      <w:r>
        <w:rPr/>
        <w:t xml:space="preserve"> - In short, if photosynthesis is the production of energy using light, chemosynthesis is the productio...</w:t>
      </w:r>
    </w:p>
    <w:p>
      <w:pPr>
        <w:numPr>
          <w:ilvl w:val="0"/>
          <w:numId w:val="11"/>
        </w:numPr>
        <w:spacing w:after="210" w:lineRule="auto"/>
      </w:pPr>
      <w:hyperlink r:id="rId11">
        <w:r>
          <w:rPr>
            <w:color w:val="4472C4"/>
          </w:rPr>
          <w:t xml:space="preserve">How do deep-sea organisms get energy?</w:t>
        </w:r>
      </w:hyperlink>
      <w:r>
        <w:rPr/>
        <w:t xml:space="preserve"> - Deep-sea microbes use chemosynthesis from vents and seeps, sustaining ecosystems central to life and...</w:t>
      </w:r>
    </w:p>
    <w:p>
      <w:pPr>
        <w:numPr>
          <w:ilvl w:val="0"/>
          <w:numId w:val="11"/>
        </w:numPr>
        <w:spacing w:after="210" w:lineRule="auto"/>
      </w:pPr>
      <w:hyperlink r:id="rId12">
        <w:r>
          <w:rPr>
            <w:color w:val="4472C4"/>
          </w:rPr>
          <w:t xml:space="preserve">Hydrothermal Vents &amp; Chemosynthetic Ecosystems</w:t>
        </w:r>
      </w:hyperlink>
      <w:r>
        <w:rPr/>
        <w:t xml:space="preserve"> - The most successful vent animals have taken chemosynthesis to an extreme: they have incorporated che...</w:t>
      </w:r>
    </w:p>
    <w:p>
      <w:pPr>
        <w:numPr>
          <w:ilvl w:val="0"/>
          <w:numId w:val="11"/>
        </w:numPr>
        <w:spacing w:after="210" w:lineRule="auto"/>
      </w:pPr>
      <w:hyperlink r:id="rId13">
        <w:r>
          <w:rPr>
            <w:color w:val="4472C4"/>
          </w:rPr>
          <w:t xml:space="preserve">New paper out today: DIAL system fine-tunes gene expression levels</w:t>
        </w:r>
      </w:hyperlink>
      <w:r>
        <w:rPr/>
        <w:t xml:space="preserve"> - Researchers at MIT today present DIAL, a modular framework that generates multiple stable expression...</w:t>
      </w:r>
    </w:p>
    <w:p>
      <w:pPr>
        <w:numPr>
          <w:ilvl w:val="0"/>
          <w:numId w:val="11"/>
        </w:numPr>
        <w:spacing w:after="210" w:lineRule="auto"/>
      </w:pPr>
      <w:hyperlink r:id="rId14">
        <w:r>
          <w:rPr>
            <w:color w:val="4472C4"/>
          </w:rPr>
          <w:t xml:space="preserve">A new system can dial expression of synthetic genes up or down</w:t>
        </w:r>
      </w:hyperlink>
      <w:r>
        <w:rPr/>
        <w:t xml:space="preserve"> - MIT engineers developed a way to set gene expression levels at off, low, or high. Using skin cells, ...</w:t>
      </w:r>
    </w:p>
    <w:p>
      <w:pPr>
        <w:numPr>
          <w:ilvl w:val="0"/>
          <w:numId w:val="11"/>
        </w:numPr>
        <w:spacing w:after="210" w:lineRule="auto"/>
      </w:pPr>
      <w:hyperlink r:id="rId15">
        <w:r>
          <w:rPr>
            <w:color w:val="4472C4"/>
          </w:rPr>
          <w:t xml:space="preserve">The World's Mass Extinction Events, Explained - Earth.Org</w:t>
        </w:r>
      </w:hyperlink>
      <w:r>
        <w:rPr/>
        <w:t xml:space="preserve"> - Each of the five mass extinction events happened on average about every 100 million years or so, ran...</w:t>
      </w:r>
    </w:p>
    <w:p>
      <w:pPr>
        <w:numPr>
          <w:ilvl w:val="0"/>
          <w:numId w:val="11"/>
        </w:numPr>
        <w:spacing w:after="210" w:lineRule="auto"/>
      </w:pPr>
      <w:hyperlink r:id="rId16">
        <w:r>
          <w:rPr>
            <w:color w:val="4472C4"/>
          </w:rPr>
          <w:t xml:space="preserve">There have been five mass extinctions in Earth's history</w:t>
        </w:r>
      </w:hyperlink>
      <w:r>
        <w:rPr/>
        <w:t xml:space="preserve"> - There have been five mass extinction events in Earth's history, at least since 500 million years ago...</w:t>
      </w:r>
    </w:p>
    <w:p>
      <w:pPr>
        <w:numPr>
          <w:ilvl w:val="0"/>
          <w:numId w:val="11"/>
        </w:numPr>
        <w:spacing w:after="210" w:lineRule="auto"/>
      </w:pPr>
      <w:hyperlink r:id="rId17">
        <w:r>
          <w:rPr>
            <w:color w:val="4472C4"/>
          </w:rPr>
          <w:t xml:space="preserve">Current Landscape of FDA Stem Cell Approvals and Trials 2023-2025</w:t>
        </w:r>
      </w:hyperlink>
      <w:r>
        <w:rPr/>
        <w:t xml:space="preserve"> - In February 2025, the FDA granted IND clearance for Fertilo (Figure 2), the first iPSC-based therapy...</w:t>
      </w:r>
    </w:p>
    <w:p>
      <w:pPr>
        <w:numPr>
          <w:ilvl w:val="0"/>
          <w:numId w:val="11"/>
        </w:numPr>
        <w:spacing w:after="210" w:lineRule="auto"/>
      </w:pPr>
      <w:hyperlink r:id="rId18">
        <w:r>
          <w:rPr>
            <w:color w:val="4472C4"/>
          </w:rPr>
          <w:t xml:space="preserve">Engineering programmable material-to-cell pathways via synthetic ...</w:t>
        </w:r>
      </w:hyperlink>
      <w:r>
        <w:rPr/>
        <w:t xml:space="preserve"> - This study developed materials that can trigger synNotch receptors using proteins from the extracell...</w:t>
      </w:r>
    </w:p>
    <w:p>
      <w:pPr>
        <w:numPr>
          <w:ilvl w:val="0"/>
          <w:numId w:val="11"/>
        </w:numPr>
        <w:spacing w:after="210" w:lineRule="auto"/>
      </w:pPr>
      <w:hyperlink r:id="rId19">
        <w:r>
          <w:rPr>
            <w:color w:val="4472C4"/>
          </w:rPr>
          <w:t xml:space="preserve">Keeping it local: SynNotch-engineered T cells deliver payloads to ...</w:t>
        </w:r>
      </w:hyperlink>
      <w:r>
        <w:rPr/>
        <w:t xml:space="preserve"> - Utilizing synNotch technology, Reddy et al. aimed to develop synthetic suppressor cells by engineeri...</w:t>
      </w:r>
    </w:p>
    <w:p>
      <w:pPr>
        <w:numPr>
          <w:ilvl w:val="0"/>
          <w:numId w:val="11"/>
        </w:numPr>
        <w:spacing w:after="210" w:lineRule="auto"/>
      </w:pPr>
      <w:hyperlink r:id="rId20">
        <w:r>
          <w:rPr>
            <w:color w:val="4472C4"/>
          </w:rPr>
          <w:t xml:space="preserve">SynNotch CAR-T cell, when synthetic biology and immunology meet ...</w:t>
        </w:r>
      </w:hyperlink>
      <w:r>
        <w:rPr/>
        <w:t xml:space="preserve"> - This study highlights the potential of synNotch-based CAR-T cells to transform the field of targeted...</w:t>
      </w:r>
    </w:p>
    <w:p>
      <w:pPr>
        <w:numPr>
          <w:ilvl w:val="0"/>
          <w:numId w:val="11"/>
        </w:numPr>
        <w:spacing w:after="210" w:lineRule="auto"/>
      </w:pPr>
      <w:hyperlink r:id="rId21">
        <w:r>
          <w:rPr>
            <w:color w:val="4472C4"/>
          </w:rPr>
          <w:t xml:space="preserve">Engineering programmable material-to-cell pathways via synthetic ...</w:t>
        </w:r>
      </w:hyperlink>
      <w:r>
        <w:rPr/>
        <w:t xml:space="preserve"> - We develop here a suite of materials that activate synNotch receptors for generalizable engineering ...</w:t>
      </w:r>
    </w:p>
    <w:p>
      <w:pPr>
        <w:numPr>
          <w:ilvl w:val="0"/>
          <w:numId w:val="11"/>
        </w:numPr>
        <w:spacing w:after="210" w:lineRule="auto"/>
      </w:pPr>
      <w:hyperlink r:id="rId22">
        <w:r>
          <w:rPr>
            <w:color w:val="4472C4"/>
          </w:rPr>
          <w:t xml:space="preserve">Engineering strategies and therapeutic applications of synthetic ...</w:t>
        </w:r>
      </w:hyperlink>
      <w:r>
        <w:rPr/>
        <w:t xml:space="preserve"> - The review covers synthetic Notch (synNotch) receptors, modular synthetic receptors that enable cust...</w:t>
      </w:r>
    </w:p>
    <w:p>
      <w:pPr>
        <w:numPr>
          <w:ilvl w:val="0"/>
          <w:numId w:val="11"/>
        </w:numPr>
        <w:spacing w:after="210" w:lineRule="auto"/>
      </w:pPr>
      <w:hyperlink r:id="rId23">
        <w:r>
          <w:rPr>
            <w:color w:val="4472C4"/>
          </w:rPr>
          <w:t xml:space="preserve">Charting the Course to a Commons-Oriented Economy with Open ...</w:t>
        </w:r>
      </w:hyperlink>
      <w:r>
        <w:rPr/>
        <w:t xml:space="preserve"> - The model of open cooperativism that places commons-based peer production at the center of multi-sta...</w:t>
      </w:r>
    </w:p>
    <w:p>
      <w:pPr>
        <w:numPr>
          <w:ilvl w:val="0"/>
          <w:numId w:val="11"/>
        </w:numPr>
        <w:spacing w:after="210" w:lineRule="auto"/>
      </w:pPr>
      <w:hyperlink r:id="rId24">
        <w:r>
          <w:rPr>
            <w:color w:val="4472C4"/>
          </w:rPr>
          <w:t xml:space="preserve">Capitalism, Automation, and the Participatory Commons Alternative</w:t>
        </w:r>
      </w:hyperlink>
      <w:r>
        <w:rPr/>
        <w:t xml:space="preserve"> - This is often referred to as a potential post-scarcity scenario, where automated production can meet...</w:t>
      </w:r>
    </w:p>
    <w:p>
      <w:pPr>
        <w:numPr>
          <w:ilvl w:val="0"/>
          <w:numId w:val="11"/>
        </w:numPr>
        <w:spacing w:after="210" w:lineRule="auto"/>
      </w:pPr>
      <w:hyperlink r:id="rId25">
        <w:r>
          <w:rPr>
            <w:color w:val="4472C4"/>
          </w:rPr>
          <w:t xml:space="preserve">[PDF] Damaged Relations: How Treaty Withdrawal Impacts International ...</w:t>
        </w:r>
      </w:hyperlink>
      <w:r>
        <w:rPr/>
        <w:t xml:space="preserve"> - Abstract. This paper examines how treaty withdrawal affects international cooperation. By terminatin...</w:t>
      </w:r>
    </w:p>
    <w:p>
      <w:pPr>
        <w:numPr>
          <w:ilvl w:val="0"/>
          <w:numId w:val="11"/>
        </w:numPr>
        <w:spacing w:after="210" w:lineRule="auto"/>
      </w:pPr>
      <w:hyperlink r:id="rId26">
        <w:r>
          <w:rPr>
            <w:color w:val="4472C4"/>
          </w:rPr>
          <w:t xml:space="preserve">The Alien Protocol : 13.7: Cosmos And Culture : NPR</w:t>
        </w:r>
      </w:hyperlink>
      <w:r>
        <w:rPr/>
        <w:t xml:space="preserve"> - The Alien Protocol : 13.7: Cosmos And Culture A Protocol for Messaging to Extraterrestrial Intellige...</w:t>
      </w:r>
    </w:p>
    <w:p>
      <w:pPr>
        <w:numPr>
          <w:ilvl w:val="0"/>
          <w:numId w:val="11"/>
        </w:numPr>
        <w:spacing w:after="210" w:lineRule="auto"/>
      </w:pPr>
      <w:hyperlink r:id="rId27">
        <w:r>
          <w:rPr>
            <w:color w:val="4472C4"/>
          </w:rPr>
          <w:t xml:space="preserve">A protocol for messaging to extraterrestrial intelligence - ScienceDirect</w:t>
        </w:r>
      </w:hyperlink>
      <w:r>
        <w:rPr/>
        <w:t xml:space="preserve"> - ... cross-cultural communication. The development of a METI protocol will ... Alien Mindscapes - A P...</w:t>
      </w:r>
    </w:p>
    <w:p>
      <w:pPr>
        <w:numPr>
          <w:ilvl w:val="0"/>
          <w:numId w:val="11"/>
        </w:numPr>
        <w:spacing w:after="210" w:lineRule="auto"/>
      </w:pPr>
      <w:hyperlink r:id="rId28">
        <w:r>
          <w:rPr>
            <w:color w:val="4472C4"/>
          </w:rPr>
          <w:t xml:space="preserve">[2601.11318] Building Digital Twins of Different Human Organs for ...</w:t>
        </w:r>
      </w:hyperlink>
      <w:r>
        <w:rPr/>
        <w:t xml:space="preserve"> - Digital twins are virtual replicas of physical entities and are poised to transform personalized med...</w:t>
      </w:r>
    </w:p>
    <w:p>
      <w:pPr>
        <w:numPr>
          <w:ilvl w:val="0"/>
          <w:numId w:val="11"/>
        </w:numPr>
        <w:spacing w:after="210" w:lineRule="auto"/>
      </w:pPr>
      <w:hyperlink r:id="rId29">
        <w:r>
          <w:rPr>
            <w:color w:val="4472C4"/>
          </w:rPr>
          <w:t xml:space="preserve">Expanding the Frontiers of Human Biology with Organ-on-a-Chip ...</w:t>
        </w:r>
      </w:hyperlink>
      <w:r>
        <w:rPr/>
        <w:t xml:space="preserve"> - The 2025 MPS World Summit marked the official introduction of the AVA Emulation System, a next-gener...</w:t>
      </w:r>
    </w:p>
    <w:p>
      <w:pPr>
        <w:numPr>
          <w:ilvl w:val="0"/>
          <w:numId w:val="11"/>
        </w:numPr>
        <w:spacing w:after="210" w:lineRule="auto"/>
      </w:pPr>
      <w:hyperlink r:id="rId30">
        <w:r>
          <w:rPr>
            <w:color w:val="4472C4"/>
          </w:rPr>
          <w:t xml:space="preserve">Hesperos Demonstrates First Digital Twin of Human Disease Using ...</w:t>
        </w:r>
      </w:hyperlink>
      <w:r>
        <w:rPr/>
        <w:t xml:space="preserve"> - The study introduces the first true digital twin capability using an organ-on-a-chip platform, also ...</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5"/>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2009-2017.state.gov/e/oes/rls/rpts/175/1305.htm" TargetMode="External"/><Relationship Id="rId6" Type="http://schemas.openxmlformats.org/officeDocument/2006/relationships/hyperlink" Target="https://www.sciencedaily.com/releases/2026/01/260106001903.htm" TargetMode="External"/><Relationship Id="rId7" Type="http://schemas.openxmlformats.org/officeDocument/2006/relationships/hyperlink" Target="https://www.nature.com/articles/s41598-024-54303-6" TargetMode="External"/><Relationship Id="rId8" Type="http://schemas.openxmlformats.org/officeDocument/2006/relationships/hyperlink" Target="https://pmc.ncbi.nlm.nih.gov/articles/PMC8615055/" TargetMode="External"/><Relationship Id="rId9" Type="http://schemas.openxmlformats.org/officeDocument/2006/relationships/hyperlink" Target="https://pmc.ncbi.nlm.nih.gov/articles/PMC8130387/" TargetMode="External"/><Relationship Id="rId10" Type="http://schemas.openxmlformats.org/officeDocument/2006/relationships/hyperlink" Target="https://schmidtocean.org/cruise-log-post/biology-of-deep-sea-hydrothermal-vents/" TargetMode="External"/><Relationship Id="rId11" Type="http://schemas.openxmlformats.org/officeDocument/2006/relationships/hyperlink" Target="https://www.whoi.edu/ocean-learning-hub/ocean-facts/how-do-deep-sea-organisms-get-energy/" TargetMode="External"/><Relationship Id="rId12" Type="http://schemas.openxmlformats.org/officeDocument/2006/relationships/hyperlink" Target="https://www.marinebio.org/oceans/deep-sea/hydrothermal-vents/" TargetMode="External"/><Relationship Id="rId13" Type="http://schemas.openxmlformats.org/officeDocument/2006/relationships/hyperlink" Target="https://crisprmedicinenews.com/news/new-paper-out-today-dial-system-fine-tunes-gene-expression-levels/" TargetMode="External"/><Relationship Id="rId14" Type="http://schemas.openxmlformats.org/officeDocument/2006/relationships/hyperlink" Target="https://news.mit.edu/2025/new-system-can-dial-expression-synthetic-genes-up-down-1013" TargetMode="External"/><Relationship Id="rId15" Type="http://schemas.openxmlformats.org/officeDocument/2006/relationships/hyperlink" Target="https://earth.org/what-and-when-were-the-mass-extinction-events/" TargetMode="External"/><Relationship Id="rId16" Type="http://schemas.openxmlformats.org/officeDocument/2006/relationships/hyperlink" Target="https://ourworldindata.org/mass-extinctions" TargetMode="External"/><Relationship Id="rId17" Type="http://schemas.openxmlformats.org/officeDocument/2006/relationships/hyperlink" Target="https://www.reprocell.com/blog/current-landscape-of-fda-stem-cell-approvals-and-trials-2023-2025" TargetMode="External"/><Relationship Id="rId18" Type="http://schemas.openxmlformats.org/officeDocument/2006/relationships/hyperlink" Target="https://www.cirm.ca.gov/about-cirm/publications/engineering-programmable-material-cell-pathways-synthetic-notch-receptors-spatially-control-differentiation-multicellular-constructs/" TargetMode="External"/><Relationship Id="rId19" Type="http://schemas.openxmlformats.org/officeDocument/2006/relationships/hyperlink" Target="https://acir.org/weekly-digests/2024/december/keeping-it-local-synnotch-engineered-t-cells-deliver-payloads-to-specific-tissues-for-a-diverse-range-of-applications" TargetMode="External"/><Relationship Id="rId20" Type="http://schemas.openxmlformats.org/officeDocument/2006/relationships/hyperlink" Target="https://pmc.ncbi.nlm.nih.gov/articles/PMC12040928/" TargetMode="External"/><Relationship Id="rId21" Type="http://schemas.openxmlformats.org/officeDocument/2006/relationships/hyperlink" Target="https://www.nature.com/articles/s41467-024-50126-1" TargetMode="External"/><Relationship Id="rId22" Type="http://schemas.openxmlformats.org/officeDocument/2006/relationships/hyperlink" Target="https://www.sciencedirect.com/science/article/pii/S1359644626000243" TargetMode="External"/><Relationship Id="rId23" Type="http://schemas.openxmlformats.org/officeDocument/2006/relationships/hyperlink" Target="https://platform.coop/blog/charting-the-course-to-a-commons-oriented-economy-with-open-cooperativism/" TargetMode="External"/><Relationship Id="rId24" Type="http://schemas.openxmlformats.org/officeDocument/2006/relationships/hyperlink" Target="https://www.linkedin.com/pulse/capitalism-automation-participatory-commons-alternative-ash-carr-czuhe" TargetMode="External"/><Relationship Id="rId25" Type="http://schemas.openxmlformats.org/officeDocument/2006/relationships/hyperlink" Target="https://www.peio.me/wp-content/uploads/PEIO15/PEIO15_paper_65.pdf" TargetMode="External"/><Relationship Id="rId26" Type="http://schemas.openxmlformats.org/officeDocument/2006/relationships/hyperlink" Target="https://www.npr.org/sections/13.7/2011/01/31/133378066/the-alien-protocol" TargetMode="External"/><Relationship Id="rId27" Type="http://schemas.openxmlformats.org/officeDocument/2006/relationships/hyperlink" Target="https://www.sciencedirect.com/science/article/abs/pii/S0265964611000415" TargetMode="External"/><Relationship Id="rId28" Type="http://schemas.openxmlformats.org/officeDocument/2006/relationships/hyperlink" Target="https://arxiv.org/abs/2601.11318" TargetMode="External"/><Relationship Id="rId29" Type="http://schemas.openxmlformats.org/officeDocument/2006/relationships/hyperlink" Target="https://emulatebio.com/expanding-the-frontiers-of-human-biology-with-organ-on-a-chip-technology-highlights-from-the-2025-mps-world-summit/" TargetMode="External"/><Relationship Id="rId30" Type="http://schemas.openxmlformats.org/officeDocument/2006/relationships/hyperlink" Target="https://hesperosinc.com/digital-twin-malaria-on-a-chip-publicat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2026-02-22T22:11:57.069Z</dcterms:created>
  <dcterms:modified xsi:type="dcterms:W3CDTF">2026-02-22T22:11:57.069Z</dcterms:modified>
</cp:coreProperties>
</file>