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ptos" w:hAnsi="Aptos"/>
          <w:b/>
          <w:color w:val="1F4E79"/>
          <w:sz w:val="18"/>
        </w:rPr>
        <w:t>OAL / ONE UNIVERSE MASTER DEVELOPMENT ARCHIVE</w:t>
      </w:r>
    </w:p>
    <w:p>
      <w:pPr>
        <w:pStyle w:val="Title"/>
      </w:pPr>
      <w:r>
        <w:rPr>
          <w:rFonts w:ascii="Aptos Display" w:hAnsi="Aptos Display"/>
          <w:b/>
          <w:color w:val="142D4B"/>
          <w:sz w:val="54"/>
        </w:rPr>
        <w:t>Architectural Archaeology</w:t>
        <w:br/>
        <w:t>of The One Universe</w:t>
      </w:r>
    </w:p>
    <w:p>
      <w:pPr>
        <w:pStyle w:val="Subtitle"/>
      </w:pPr>
      <w:r>
        <w:rPr>
          <w:rFonts w:ascii="Aptos Display" w:hAnsi="Aptos Display"/>
          <w:color w:val="34495E"/>
          <w:sz w:val="27"/>
        </w:rPr>
        <w:t>Volume III - Alternative Development Histories</w:t>
      </w:r>
    </w:p>
    <w:p>
      <w:pPr>
        <w:pStyle w:val="Subtitle"/>
        <w:keepLines/>
      </w:pPr>
      <w:r>
        <w:rPr>
          <w:rFonts w:ascii="Aptos" w:hAnsi="Aptos"/>
        </w:rPr>
        <w:t>Five non-convergent full timeline studies derived from the alternate histories developed in Volumes I and II.</w:t>
      </w:r>
    </w:p>
    <w:p>
      <w:pPr>
        <w:keepLines/>
      </w:pPr>
      <w:r>
        <w:rPr>
          <w:rFonts w:ascii="Aptos" w:hAnsi="Aptos"/>
        </w:rPr>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312"/>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8"/>
              </w:rPr>
              <w:t>Field</w:t>
            </w:r>
          </w:p>
        </w:tc>
        <w:tc>
          <w:tcPr>
            <w:tcW w:type="dxa" w:w="6480"/>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8"/>
              </w:rPr>
              <w:t>Record</w:t>
            </w:r>
          </w:p>
        </w:tc>
      </w:tr>
      <w:tr>
        <w:trPr>
          <w:cantSplit/>
        </w:trPr>
        <w:tc>
          <w:tcPr>
            <w:tcW w:type="dxa" w:w="3312"/>
            <w:vAlign w:val="top"/>
          </w:tcPr>
          <w:p>
            <w:pPr>
              <w:spacing w:after="20"/>
            </w:pPr>
            <w:r>
              <w:rPr>
                <w:rFonts w:ascii="Aptos" w:hAnsi="Aptos"/>
                <w:color w:val="1E1E1E"/>
                <w:sz w:val="18"/>
              </w:rPr>
              <w:t>Document ID</w:t>
            </w:r>
          </w:p>
        </w:tc>
        <w:tc>
          <w:tcPr>
            <w:tcW w:type="dxa" w:w="6480"/>
            <w:vAlign w:val="top"/>
          </w:tcPr>
          <w:p>
            <w:pPr>
              <w:spacing w:after="20"/>
            </w:pPr>
            <w:r>
              <w:rPr>
                <w:rFonts w:ascii="Aptos" w:hAnsi="Aptos"/>
                <w:color w:val="1E1E1E"/>
                <w:sz w:val="18"/>
              </w:rPr>
              <w:t>OAL-ARCHAEOLOGY-VOL3-2026-06-27</w:t>
            </w:r>
          </w:p>
        </w:tc>
      </w:tr>
      <w:tr>
        <w:trPr>
          <w:cantSplit/>
        </w:trPr>
        <w:tc>
          <w:tcPr>
            <w:tcW w:type="dxa" w:w="3312"/>
            <w:vAlign w:val="top"/>
            <w:shd w:fill="F4F8FB"/>
          </w:tcPr>
          <w:p>
            <w:pPr>
              <w:spacing w:after="20"/>
            </w:pPr>
            <w:r>
              <w:rPr>
                <w:rFonts w:ascii="Aptos" w:hAnsi="Aptos"/>
                <w:color w:val="1E1E1E"/>
                <w:sz w:val="18"/>
              </w:rPr>
              <w:t>Version</w:t>
            </w:r>
          </w:p>
        </w:tc>
        <w:tc>
          <w:tcPr>
            <w:tcW w:type="dxa" w:w="6480"/>
            <w:vAlign w:val="top"/>
            <w:shd w:fill="F4F8FB"/>
          </w:tcPr>
          <w:p>
            <w:pPr>
              <w:spacing w:after="20"/>
            </w:pPr>
            <w:r>
              <w:rPr>
                <w:rFonts w:ascii="Aptos" w:hAnsi="Aptos"/>
                <w:color w:val="1E1E1E"/>
                <w:sz w:val="18"/>
              </w:rPr>
              <w:t>v1.0</w:t>
            </w:r>
          </w:p>
        </w:tc>
      </w:tr>
      <w:tr>
        <w:trPr>
          <w:cantSplit/>
        </w:trPr>
        <w:tc>
          <w:tcPr>
            <w:tcW w:type="dxa" w:w="3312"/>
            <w:vAlign w:val="top"/>
          </w:tcPr>
          <w:p>
            <w:pPr>
              <w:spacing w:after="20"/>
            </w:pPr>
            <w:r>
              <w:rPr>
                <w:rFonts w:ascii="Aptos" w:hAnsi="Aptos"/>
                <w:color w:val="1E1E1E"/>
                <w:sz w:val="18"/>
              </w:rPr>
              <w:t>Date</w:t>
            </w:r>
          </w:p>
        </w:tc>
        <w:tc>
          <w:tcPr>
            <w:tcW w:type="dxa" w:w="6480"/>
            <w:vAlign w:val="top"/>
          </w:tcPr>
          <w:p>
            <w:pPr>
              <w:spacing w:after="20"/>
            </w:pPr>
            <w:r>
              <w:rPr>
                <w:rFonts w:ascii="Aptos" w:hAnsi="Aptos"/>
                <w:color w:val="1E1E1E"/>
                <w:sz w:val="18"/>
              </w:rPr>
              <w:t>June 27, 2026</w:t>
            </w:r>
          </w:p>
        </w:tc>
      </w:tr>
      <w:tr>
        <w:trPr>
          <w:cantSplit/>
        </w:trPr>
        <w:tc>
          <w:tcPr>
            <w:tcW w:type="dxa" w:w="3312"/>
            <w:vAlign w:val="top"/>
            <w:shd w:fill="F4F8FB"/>
          </w:tcPr>
          <w:p>
            <w:pPr>
              <w:spacing w:after="20"/>
            </w:pPr>
            <w:r>
              <w:rPr>
                <w:rFonts w:ascii="Aptos" w:hAnsi="Aptos"/>
                <w:color w:val="1E1E1E"/>
                <w:sz w:val="18"/>
              </w:rPr>
              <w:t>Status</w:t>
            </w:r>
          </w:p>
        </w:tc>
        <w:tc>
          <w:tcPr>
            <w:tcW w:type="dxa" w:w="6480"/>
            <w:vAlign w:val="top"/>
            <w:shd w:fill="F4F8FB"/>
          </w:tcPr>
          <w:p>
            <w:pPr>
              <w:spacing w:after="20"/>
            </w:pPr>
            <w:r>
              <w:rPr>
                <w:rFonts w:ascii="Aptos" w:hAnsi="Aptos"/>
                <w:color w:val="1E1E1E"/>
                <w:sz w:val="18"/>
              </w:rPr>
              <w:t>Research and speculative reconstruction - not canon</w:t>
            </w:r>
          </w:p>
        </w:tc>
      </w:tr>
      <w:tr>
        <w:trPr>
          <w:cantSplit/>
        </w:trPr>
        <w:tc>
          <w:tcPr>
            <w:tcW w:type="dxa" w:w="3312"/>
            <w:vAlign w:val="top"/>
          </w:tcPr>
          <w:p>
            <w:pPr>
              <w:spacing w:after="20"/>
            </w:pPr>
            <w:r>
              <w:rPr>
                <w:rFonts w:ascii="Aptos" w:hAnsi="Aptos"/>
                <w:color w:val="1E1E1E"/>
                <w:sz w:val="18"/>
              </w:rPr>
              <w:t>Project Author / Architect of Record</w:t>
            </w:r>
          </w:p>
        </w:tc>
        <w:tc>
          <w:tcPr>
            <w:tcW w:type="dxa" w:w="6480"/>
            <w:vAlign w:val="top"/>
          </w:tcPr>
          <w:p>
            <w:pPr>
              <w:spacing w:after="20"/>
            </w:pPr>
            <w:r>
              <w:rPr>
                <w:rFonts w:ascii="Aptos" w:hAnsi="Aptos"/>
                <w:color w:val="1E1E1E"/>
                <w:sz w:val="18"/>
              </w:rPr>
              <w:t>Nathan Lewis II</w:t>
            </w:r>
          </w:p>
        </w:tc>
      </w:tr>
      <w:tr>
        <w:trPr>
          <w:cantSplit/>
        </w:trPr>
        <w:tc>
          <w:tcPr>
            <w:tcW w:type="dxa" w:w="3312"/>
            <w:vAlign w:val="top"/>
            <w:shd w:fill="F4F8FB"/>
          </w:tcPr>
          <w:p>
            <w:pPr>
              <w:spacing w:after="20"/>
            </w:pPr>
            <w:r>
              <w:rPr>
                <w:rFonts w:ascii="Aptos" w:hAnsi="Aptos"/>
                <w:color w:val="1E1E1E"/>
                <w:sz w:val="18"/>
              </w:rPr>
              <w:t>Prepared by</w:t>
            </w:r>
          </w:p>
        </w:tc>
        <w:tc>
          <w:tcPr>
            <w:tcW w:type="dxa" w:w="6480"/>
            <w:vAlign w:val="top"/>
            <w:shd w:fill="F4F8FB"/>
          </w:tcPr>
          <w:p>
            <w:pPr>
              <w:spacing w:after="20"/>
            </w:pPr>
            <w:r>
              <w:rPr>
                <w:rFonts w:ascii="Aptos" w:hAnsi="Aptos"/>
                <w:color w:val="1E1E1E"/>
                <w:sz w:val="18"/>
              </w:rPr>
              <w:t>ChatGPT - GPT-5.5 Thinking (OpenAI)</w:t>
            </w:r>
          </w:p>
        </w:tc>
      </w:tr>
      <w:tr>
        <w:trPr>
          <w:cantSplit/>
        </w:trPr>
        <w:tc>
          <w:tcPr>
            <w:tcW w:type="dxa" w:w="3312"/>
            <w:vAlign w:val="top"/>
          </w:tcPr>
          <w:p>
            <w:pPr>
              <w:spacing w:after="20"/>
            </w:pPr>
            <w:r>
              <w:rPr>
                <w:rFonts w:ascii="Aptos" w:hAnsi="Aptos"/>
                <w:color w:val="1E1E1E"/>
                <w:sz w:val="18"/>
              </w:rPr>
              <w:t>Organizations referenced</w:t>
            </w:r>
          </w:p>
        </w:tc>
        <w:tc>
          <w:tcPr>
            <w:tcW w:type="dxa" w:w="6480"/>
            <w:vAlign w:val="top"/>
          </w:tcPr>
          <w:p>
            <w:pPr>
              <w:spacing w:after="20"/>
            </w:pPr>
            <w:r>
              <w:rPr>
                <w:rFonts w:ascii="Aptos" w:hAnsi="Aptos"/>
                <w:color w:val="1E1E1E"/>
                <w:sz w:val="18"/>
              </w:rPr>
              <w:t>Lewis Corp | ONE Industries | Omniversal Architect Labs</w:t>
            </w:r>
          </w:p>
        </w:tc>
      </w:tr>
      <w:tr>
        <w:trPr>
          <w:cantSplit/>
        </w:trPr>
        <w:tc>
          <w:tcPr>
            <w:tcW w:type="dxa" w:w="3312"/>
            <w:vAlign w:val="top"/>
            <w:shd w:fill="F4F8FB"/>
          </w:tcPr>
          <w:p>
            <w:pPr>
              <w:spacing w:after="20"/>
            </w:pPr>
            <w:r>
              <w:rPr>
                <w:rFonts w:ascii="Aptos" w:hAnsi="Aptos"/>
                <w:color w:val="1E1E1E"/>
                <w:sz w:val="18"/>
              </w:rPr>
              <w:t>Archive target</w:t>
            </w:r>
          </w:p>
        </w:tc>
        <w:tc>
          <w:tcPr>
            <w:tcW w:type="dxa" w:w="6480"/>
            <w:vAlign w:val="top"/>
            <w:shd w:fill="F4F8FB"/>
          </w:tcPr>
          <w:p>
            <w:pPr>
              <w:spacing w:after="20"/>
            </w:pPr>
            <w:r>
              <w:rPr>
                <w:rFonts w:ascii="Aptos" w:hAnsi="Aptos"/>
                <w:color w:val="1E1E1E"/>
                <w:sz w:val="18"/>
              </w:rPr>
              <w:t>Scribd / versioned project archive</w:t>
            </w:r>
          </w:p>
        </w:tc>
      </w:tr>
    </w:tbl>
    <w:p>
      <w:pPr>
        <w:spacing w:after="40"/>
      </w:pP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Scope statement: </w:t>
            </w:r>
            <w:r>
              <w:rPr>
                <w:rFonts w:ascii="Aptos" w:hAnsi="Aptos"/>
              </w:rPr>
              <w:t>This volume selects five alternate branches from the earlier archaeology and develops each into a full, internally coherent alternate historical timeline. It does not revise the Master Development ChangeLog, establish hidden project history, determine author-only answers, or convert any branch into canon.</w:t>
            </w:r>
          </w:p>
        </w:tc>
      </w:tr>
    </w:tbl>
    <w:p>
      <w:pPr>
        <w:spacing w:after="40"/>
      </w:pPr>
    </w:p>
    <w:p>
      <w:pPr>
        <w:pStyle w:val="Metadata"/>
        <w:keepLines/>
      </w:pPr>
      <w:r>
        <w:rPr>
          <w:rFonts w:ascii="Aptos" w:hAnsi="Aptos"/>
        </w:rPr>
        <w:t>Reading boundary: [E] is source-recorded material. [A] is author-provided clarification whose source labels it pending ratification. [I] is reasoned reconstruction. [H] is a deliberately alternate, non-canon history. [B] marks an author-exclusive or ratification-dependent boundary where this document stops rather than manufactures a decision.</w:t>
      </w:r>
    </w:p>
    <w:p>
      <w:r>
        <w:br w:type="page"/>
      </w:r>
    </w:p>
    <w:p>
      <w:pPr>
        <w:pStyle w:val="Heading1"/>
        <w:keepNext/>
      </w:pPr>
      <w:r>
        <w:rPr>
          <w:rFonts w:ascii="Aptos" w:hAnsi="Aptos"/>
          <w:b/>
          <w:color w:val="142D4B"/>
          <w:sz w:val="35"/>
        </w:rPr>
        <w:t>Contents</w:t>
      </w:r>
    </w:p>
    <w:p>
      <w:pPr>
        <w:pStyle w:val="ListNumber"/>
        <w:spacing w:after="46"/>
        <w:keepLines/>
      </w:pPr>
      <w:r>
        <w:rPr>
          <w:rFonts w:ascii="Aptos" w:hAnsi="Aptos"/>
        </w:rPr>
        <w:t>Prepared Execution Prompt</w:t>
      </w:r>
    </w:p>
    <w:p>
      <w:pPr>
        <w:pStyle w:val="ListNumber"/>
        <w:spacing w:after="46"/>
        <w:keepLines/>
      </w:pPr>
      <w:r>
        <w:rPr>
          <w:rFonts w:ascii="Aptos" w:hAnsi="Aptos"/>
        </w:rPr>
        <w:t>1. Executive Summary</w:t>
      </w:r>
    </w:p>
    <w:p>
      <w:pPr>
        <w:pStyle w:val="ListNumber"/>
        <w:spacing w:after="46"/>
        <w:keepLines/>
      </w:pPr>
      <w:r>
        <w:rPr>
          <w:rFonts w:ascii="Aptos" w:hAnsi="Aptos"/>
        </w:rPr>
        <w:t>2. Scope, Method, and Selection Rules</w:t>
      </w:r>
    </w:p>
    <w:p>
      <w:pPr>
        <w:pStyle w:val="ListNumber"/>
        <w:spacing w:after="46"/>
        <w:keepLines/>
      </w:pPr>
      <w:r>
        <w:rPr>
          <w:rFonts w:ascii="Aptos" w:hAnsi="Aptos"/>
        </w:rPr>
        <w:t>3. The Five Selected Timeline Studies</w:t>
      </w:r>
    </w:p>
    <w:p>
      <w:pPr>
        <w:pStyle w:val="ListNumber"/>
        <w:spacing w:after="46"/>
        <w:keepLines/>
      </w:pPr>
      <w:r>
        <w:rPr>
          <w:rFonts w:ascii="Aptos" w:hAnsi="Aptos"/>
        </w:rPr>
        <w:t>4. History A - The Inheritance Mesh</w:t>
      </w:r>
    </w:p>
    <w:p>
      <w:pPr>
        <w:pStyle w:val="ListNumber"/>
        <w:spacing w:after="46"/>
        <w:keepLines/>
      </w:pPr>
      <w:r>
        <w:rPr>
          <w:rFonts w:ascii="Aptos" w:hAnsi="Aptos"/>
        </w:rPr>
        <w:t>5. History B - The Conservator Commonwealth</w:t>
      </w:r>
    </w:p>
    <w:p>
      <w:pPr>
        <w:pStyle w:val="ListNumber"/>
        <w:spacing w:after="46"/>
        <w:keepLines/>
      </w:pPr>
      <w:r>
        <w:rPr>
          <w:rFonts w:ascii="Aptos" w:hAnsi="Aptos"/>
        </w:rPr>
        <w:t>6. History C - The Consent Commonwealth</w:t>
      </w:r>
    </w:p>
    <w:p>
      <w:pPr>
        <w:pStyle w:val="ListNumber"/>
        <w:spacing w:after="46"/>
        <w:keepLines/>
      </w:pPr>
      <w:r>
        <w:rPr>
          <w:rFonts w:ascii="Aptos" w:hAnsi="Aptos"/>
        </w:rPr>
        <w:t>7. History D - The Finitude Covenant</w:t>
      </w:r>
    </w:p>
    <w:p>
      <w:pPr>
        <w:pStyle w:val="ListNumber"/>
        <w:spacing w:after="46"/>
        <w:keepLines/>
      </w:pPr>
      <w:r>
        <w:rPr>
          <w:rFonts w:ascii="Aptos" w:hAnsi="Aptos"/>
        </w:rPr>
        <w:t>8. History E - The Translation-Bound Archive</w:t>
      </w:r>
    </w:p>
    <w:p>
      <w:pPr>
        <w:pStyle w:val="ListNumber"/>
        <w:spacing w:after="46"/>
        <w:keepLines/>
      </w:pPr>
      <w:r>
        <w:rPr>
          <w:rFonts w:ascii="Aptos" w:hAnsi="Aptos"/>
        </w:rPr>
        <w:t>9. Cross-History Comparison</w:t>
      </w:r>
    </w:p>
    <w:p>
      <w:pPr>
        <w:pStyle w:val="ListNumber"/>
        <w:spacing w:after="46"/>
        <w:keepLines/>
      </w:pPr>
      <w:r>
        <w:rPr>
          <w:rFonts w:ascii="Aptos" w:hAnsi="Aptos"/>
        </w:rPr>
        <w:t>10. Beneficial Outcomes and Cost Register</w:t>
      </w:r>
    </w:p>
    <w:p>
      <w:pPr>
        <w:pStyle w:val="ListNumber"/>
        <w:spacing w:after="46"/>
        <w:keepLines/>
      </w:pPr>
      <w:r>
        <w:rPr>
          <w:rFonts w:ascii="Aptos" w:hAnsi="Aptos"/>
        </w:rPr>
        <w:t>11. Boundaries That Remain Boundaries</w:t>
      </w:r>
    </w:p>
    <w:p>
      <w:pPr>
        <w:pStyle w:val="ListNumber"/>
        <w:spacing w:after="46"/>
        <w:keepLines/>
      </w:pPr>
      <w:r>
        <w:rPr>
          <w:rFonts w:ascii="Aptos" w:hAnsi="Aptos"/>
        </w:rPr>
        <w:t>12. Handoff to Volume IV - Dependency Atlas</w:t>
      </w:r>
    </w:p>
    <w:p>
      <w:pPr>
        <w:pStyle w:val="ListNumber"/>
        <w:spacing w:after="46"/>
        <w:keepLines/>
      </w:pPr>
      <w:r>
        <w:rPr>
          <w:rFonts w:ascii="Aptos" w:hAnsi="Aptos"/>
        </w:rPr>
        <w:t>Appendix A. Alternate Archive Snapshots</w:t>
      </w:r>
    </w:p>
    <w:p>
      <w:pPr>
        <w:pStyle w:val="ListNumber"/>
        <w:spacing w:after="46"/>
        <w:keepLines/>
      </w:pPr>
      <w:r>
        <w:rPr>
          <w:rFonts w:ascii="Aptos" w:hAnsi="Aptos"/>
        </w:rPr>
        <w:t>Appendix B. Source Record and Method References</w:t>
      </w:r>
    </w:p>
    <w:p>
      <w:pPr>
        <w:pStyle w:val="Heading1"/>
        <w:keepNext/>
      </w:pPr>
      <w:r>
        <w:rPr>
          <w:rFonts w:ascii="Aptos" w:hAnsi="Aptos"/>
          <w:b/>
          <w:color w:val="142D4B"/>
          <w:sz w:val="35"/>
        </w:rPr>
        <w:t>Prepared Execution Prompt</w:t>
      </w: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Execution prompt: </w:t>
            </w:r>
            <w:r>
              <w:rPr>
                <w:rFonts w:ascii="Aptos" w:hAnsi="Aptos"/>
              </w:rPr>
              <w:t>Using the supplied Master Development ChangeLog, cross-analysis of architect-only decisions, master addenda, published Architectural Archaeology Volumes I and II, and companion reverse-decision analyses, create Volume III: Alternative Development Histories. Select a limited set of high-value non-convergent branches from the earlier work. Expand each into a complete alternate timeline with an origin condition, three historical eras, a present-day archive snapshot, forward horizons, systems and narrative consequences, benefits, tradeoffs, unresolved boundaries, and a non-convergence audit. Treat the present project archive as the evidence baseline only. Do not make canon changes, fill author-exclusive gaps, or portray hypotheticals as recovered project history. Include wildcard and divergent-thinking cases, practical outcomes beyond the starting proposal, and an explicit handoff to the Dependency Atlas.</w:t>
            </w:r>
          </w:p>
        </w:tc>
      </w:tr>
    </w:tbl>
    <w:p>
      <w:pPr>
        <w:spacing w:after="40"/>
      </w:pPr>
    </w:p>
    <w:p>
      <w:pPr>
        <w:pStyle w:val="Heading1"/>
        <w:keepNext/>
      </w:pPr>
      <w:r>
        <w:rPr>
          <w:rFonts w:ascii="Aptos" w:hAnsi="Aptos"/>
          <w:b/>
          <w:color w:val="142D4B"/>
          <w:sz w:val="35"/>
        </w:rPr>
        <w:t>1. Executive Summary</w:t>
      </w:r>
    </w:p>
    <w:p>
      <w:pPr>
        <w:keepLines/>
      </w:pPr>
      <w:r>
        <w:rPr>
          <w:rFonts w:ascii="Aptos" w:hAnsi="Aptos"/>
        </w:rPr>
        <w:t>Volume I established the method for reverse decision archaeology: identify high-gravity choices, trace their enabling assumptions backward, and construct alternate branches that do not return to the existing archive. Volume II organized those branches into three historical iterations and recommended several candidates for deeper treatment. [S4][S5]</w:t>
      </w:r>
    </w:p>
    <w:p>
      <w:pPr>
        <w:keepLines/>
      </w:pPr>
      <w:r>
        <w:rPr>
          <w:rFonts w:ascii="Aptos" w:hAnsi="Aptos"/>
        </w:rPr>
        <w:t>Volume III performs that deeper treatment. Rather than adding another inventory of branches, it selects five histories that alter the project record in distinct ways: inheritance and residual architecture; Maker/Unmaker role transformation; rights-bearing infrastructure; finite attention within abundance; and translation-bound history. Each study begins with a different durable premise, develops through Foundation, Fracture or Discovery, Settlement, and Alternative Present, then projects a future that cannot quietly recreate the source-recorded archive.</w:t>
      </w:r>
    </w:p>
    <w:p>
      <w:pPr>
        <w:keepLines/>
      </w:pPr>
      <w:r>
        <w:rPr>
          <w:rFonts w:ascii="Aptos" w:hAnsi="Aptos"/>
        </w:rPr>
        <w:t>The studies are not ranked as superior to the current project. They are analytical instruments. Each exposes a design value that future work may choose to preserve, reject, isolate as a sandbox, or use to identify a hidden dependency: succession legitimacy, ethical transformation, consent, purposeful limits, or preservation of unknown and untranslatable material.</w:t>
      </w: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Central finding: </w:t>
            </w:r>
            <w:r>
              <w:rPr>
                <w:rFonts w:ascii="Aptos" w:hAnsi="Aptos"/>
              </w:rPr>
              <w:t>The strongest alternative histories do not merely change who wins a conflict. They change what counts as authority, what survives a transition, who may refuse a purpose, what abundance is for, and whether one archive can fully represent its own origins.</w:t>
            </w:r>
          </w:p>
        </w:tc>
      </w:tr>
    </w:tbl>
    <w:p>
      <w:pPr>
        <w:spacing w:after="40"/>
      </w:pPr>
    </w:p>
    <w:p>
      <w:pPr>
        <w:pStyle w:val="Heading1"/>
        <w:keepNext/>
      </w:pPr>
      <w:r>
        <w:rPr>
          <w:rFonts w:ascii="Aptos" w:hAnsi="Aptos"/>
          <w:b/>
          <w:color w:val="142D4B"/>
          <w:sz w:val="35"/>
        </w:rPr>
        <w:t>2. Scope, Method, and Selection Rules</w:t>
      </w:r>
    </w:p>
    <w:p>
      <w:pPr>
        <w:pStyle w:val="Heading2"/>
        <w:keepNext/>
      </w:pPr>
      <w:r>
        <w:rPr>
          <w:rFonts w:ascii="Aptos" w:hAnsi="Aptos"/>
          <w:b/>
          <w:color w:val="1F4E79"/>
          <w:sz w:val="26"/>
        </w:rPr>
        <w:t>2.1 Source boundary and labels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160"/>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Label</w:t>
            </w:r>
          </w:p>
        </w:tc>
        <w:tc>
          <w:tcPr>
            <w:tcW w:type="dxa" w:w="7632"/>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Use in this volume</w:t>
            </w:r>
          </w:p>
        </w:tc>
      </w:tr>
      <w:tr>
        <w:trPr>
          <w:cantSplit/>
        </w:trPr>
        <w:tc>
          <w:tcPr>
            <w:tcW w:type="dxa" w:w="2160"/>
            <w:vAlign w:val="top"/>
          </w:tcPr>
          <w:p>
            <w:pPr>
              <w:spacing w:after="20"/>
            </w:pPr>
            <w:r>
              <w:rPr>
                <w:rFonts w:ascii="Aptos" w:hAnsi="Aptos"/>
                <w:color w:val="1E1E1E"/>
                <w:sz w:val="17"/>
              </w:rPr>
              <w:t>[E] Evidence</w:t>
            </w:r>
          </w:p>
        </w:tc>
        <w:tc>
          <w:tcPr>
            <w:tcW w:type="dxa" w:w="7632"/>
            <w:vAlign w:val="top"/>
          </w:tcPr>
          <w:p>
            <w:pPr>
              <w:spacing w:after="20"/>
            </w:pPr>
            <w:r>
              <w:rPr>
                <w:rFonts w:ascii="Aptos" w:hAnsi="Aptos"/>
                <w:color w:val="1E1E1E"/>
                <w:sz w:val="17"/>
              </w:rPr>
              <w:t>A proposition recorded in the supplied project record. It establishes what that record says, not an external metaphysical fact.</w:t>
            </w:r>
          </w:p>
        </w:tc>
      </w:tr>
      <w:tr>
        <w:trPr>
          <w:cantSplit/>
        </w:trPr>
        <w:tc>
          <w:tcPr>
            <w:tcW w:type="dxa" w:w="2160"/>
            <w:vAlign w:val="top"/>
            <w:shd w:fill="F4F8FB"/>
          </w:tcPr>
          <w:p>
            <w:pPr>
              <w:spacing w:after="20"/>
            </w:pPr>
            <w:r>
              <w:rPr>
                <w:rFonts w:ascii="Aptos" w:hAnsi="Aptos"/>
                <w:color w:val="1E1E1E"/>
                <w:sz w:val="17"/>
              </w:rPr>
              <w:t>[A] Author-provided clarification</w:t>
            </w:r>
          </w:p>
        </w:tc>
        <w:tc>
          <w:tcPr>
            <w:tcW w:type="dxa" w:w="7632"/>
            <w:vAlign w:val="top"/>
            <w:shd w:fill="F4F8FB"/>
          </w:tcPr>
          <w:p>
            <w:pPr>
              <w:spacing w:after="20"/>
            </w:pPr>
            <w:r>
              <w:rPr>
                <w:rFonts w:ascii="Aptos" w:hAnsi="Aptos"/>
                <w:color w:val="1E1E1E"/>
                <w:sz w:val="17"/>
              </w:rPr>
              <w:t>Material identified by its source as author-provided but pending stated ratification or integration.</w:t>
            </w:r>
          </w:p>
        </w:tc>
      </w:tr>
      <w:tr>
        <w:trPr>
          <w:cantSplit/>
        </w:trPr>
        <w:tc>
          <w:tcPr>
            <w:tcW w:type="dxa" w:w="2160"/>
            <w:vAlign w:val="top"/>
          </w:tcPr>
          <w:p>
            <w:pPr>
              <w:spacing w:after="20"/>
            </w:pPr>
            <w:r>
              <w:rPr>
                <w:rFonts w:ascii="Aptos" w:hAnsi="Aptos"/>
                <w:color w:val="1E1E1E"/>
                <w:sz w:val="17"/>
              </w:rPr>
              <w:t>[I] Inference</w:t>
            </w:r>
          </w:p>
        </w:tc>
        <w:tc>
          <w:tcPr>
            <w:tcW w:type="dxa" w:w="7632"/>
            <w:vAlign w:val="top"/>
          </w:tcPr>
          <w:p>
            <w:pPr>
              <w:spacing w:after="20"/>
            </w:pPr>
            <w:r>
              <w:rPr>
                <w:rFonts w:ascii="Aptos" w:hAnsi="Aptos"/>
                <w:color w:val="1E1E1E"/>
                <w:sz w:val="17"/>
              </w:rPr>
              <w:t>A disciplined reconstruction from relationships among entries. It is not a recovered private decision transcript.</w:t>
            </w:r>
          </w:p>
        </w:tc>
      </w:tr>
      <w:tr>
        <w:trPr>
          <w:cantSplit/>
        </w:trPr>
        <w:tc>
          <w:tcPr>
            <w:tcW w:type="dxa" w:w="2160"/>
            <w:vAlign w:val="top"/>
            <w:shd w:fill="F4F8FB"/>
          </w:tcPr>
          <w:p>
            <w:pPr>
              <w:spacing w:after="20"/>
            </w:pPr>
            <w:r>
              <w:rPr>
                <w:rFonts w:ascii="Aptos" w:hAnsi="Aptos"/>
                <w:color w:val="1E1E1E"/>
                <w:sz w:val="17"/>
              </w:rPr>
              <w:t>[H] Hypothesis</w:t>
            </w:r>
          </w:p>
        </w:tc>
        <w:tc>
          <w:tcPr>
            <w:tcW w:type="dxa" w:w="7632"/>
            <w:vAlign w:val="top"/>
            <w:shd w:fill="F4F8FB"/>
          </w:tcPr>
          <w:p>
            <w:pPr>
              <w:spacing w:after="20"/>
            </w:pPr>
            <w:r>
              <w:rPr>
                <w:rFonts w:ascii="Aptos" w:hAnsi="Aptos"/>
                <w:color w:val="1E1E1E"/>
                <w:sz w:val="17"/>
              </w:rPr>
              <w:t>A deliberately non-canon alternate history built to test divergence, consequence, and coherence.</w:t>
            </w:r>
          </w:p>
        </w:tc>
      </w:tr>
      <w:tr>
        <w:trPr>
          <w:cantSplit/>
        </w:trPr>
        <w:tc>
          <w:tcPr>
            <w:tcW w:type="dxa" w:w="2160"/>
            <w:vAlign w:val="top"/>
          </w:tcPr>
          <w:p>
            <w:pPr>
              <w:spacing w:after="20"/>
            </w:pPr>
            <w:r>
              <w:rPr>
                <w:rFonts w:ascii="Aptos" w:hAnsi="Aptos"/>
                <w:color w:val="1E1E1E"/>
                <w:sz w:val="17"/>
              </w:rPr>
              <w:t>[B] Boundary</w:t>
            </w:r>
          </w:p>
        </w:tc>
        <w:tc>
          <w:tcPr>
            <w:tcW w:type="dxa" w:w="7632"/>
            <w:vAlign w:val="top"/>
          </w:tcPr>
          <w:p>
            <w:pPr>
              <w:spacing w:after="20"/>
            </w:pPr>
            <w:r>
              <w:rPr>
                <w:rFonts w:ascii="Aptos" w:hAnsi="Aptos"/>
                <w:color w:val="1E1E1E"/>
                <w:sz w:val="17"/>
              </w:rPr>
              <w:t>A withheld, author-exclusive, or ratification-dependent area that the analysis preserves rather than answers.</w:t>
            </w:r>
          </w:p>
        </w:tc>
      </w:tr>
    </w:tbl>
    <w:p>
      <w:pPr>
        <w:spacing w:after="40"/>
      </w:pPr>
    </w:p>
    <w:p>
      <w:pPr>
        <w:pStyle w:val="Heading2"/>
        <w:keepNext/>
      </w:pPr>
      <w:r>
        <w:rPr>
          <w:rFonts w:ascii="Aptos" w:hAnsi="Aptos"/>
          <w:b/>
          <w:color w:val="1F4E79"/>
          <w:sz w:val="26"/>
        </w:rPr>
        <w:t>2.2 Selection rules</w:t>
      </w:r>
    </w:p>
    <w:p>
      <w:pPr>
        <w:keepLines/>
      </w:pPr>
      <w:r>
        <w:rPr>
          <w:rFonts w:ascii="Aptos" w:hAnsi="Aptos"/>
        </w:rPr>
        <w:t>A branch was selected only when it met five tests: it displaced a governing condition rather than only changing a scene; it affected more than one archive domain; it created an intelligible alternative present; it remained non-convergent under pressure; and it opened useful questions without claiming to settle author-exclusive material.</w:t>
      </w:r>
    </w:p>
    <w:p>
      <w:pPr>
        <w:pStyle w:val="Heading2"/>
        <w:keepNext/>
      </w:pPr>
      <w:r>
        <w:rPr>
          <w:rFonts w:ascii="Aptos" w:hAnsi="Aptos"/>
          <w:b/>
          <w:color w:val="1F4E79"/>
          <w:sz w:val="26"/>
        </w:rPr>
        <w:t>2.3 Selected branch set</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944"/>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History</w:t>
            </w:r>
          </w:p>
        </w:tc>
        <w:tc>
          <w:tcPr>
            <w:tcW w:type="dxa" w:w="208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Volume II source branch</w:t>
            </w:r>
          </w:p>
        </w:tc>
        <w:tc>
          <w:tcPr>
            <w:tcW w:type="dxa" w:w="3024"/>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Durable change</w:t>
            </w:r>
          </w:p>
        </w:tc>
        <w:tc>
          <w:tcPr>
            <w:tcW w:type="dxa" w:w="2952"/>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Reason selected</w:t>
            </w:r>
          </w:p>
        </w:tc>
      </w:tr>
      <w:tr>
        <w:trPr>
          <w:cantSplit/>
        </w:trPr>
        <w:tc>
          <w:tcPr>
            <w:tcW w:type="dxa" w:w="1944"/>
            <w:vAlign w:val="top"/>
          </w:tcPr>
          <w:p>
            <w:pPr>
              <w:spacing w:after="20"/>
            </w:pPr>
            <w:r>
              <w:rPr>
                <w:rFonts w:ascii="Aptos" w:hAnsi="Aptos"/>
                <w:color w:val="1E1E1E"/>
                <w:sz w:val="16"/>
              </w:rPr>
              <w:t>A. Inheritance Mesh</w:t>
            </w:r>
          </w:p>
        </w:tc>
        <w:tc>
          <w:tcPr>
            <w:tcW w:type="dxa" w:w="2088"/>
            <w:vAlign w:val="top"/>
          </w:tcPr>
          <w:p>
            <w:pPr>
              <w:spacing w:after="20"/>
            </w:pPr>
            <w:r>
              <w:rPr>
                <w:rFonts w:ascii="Aptos" w:hAnsi="Aptos"/>
                <w:color w:val="1E1E1E"/>
                <w:sz w:val="16"/>
              </w:rPr>
              <w:t>I-1C</w:t>
            </w:r>
          </w:p>
        </w:tc>
        <w:tc>
          <w:tcPr>
            <w:tcW w:type="dxa" w:w="3024"/>
            <w:vAlign w:val="top"/>
          </w:tcPr>
          <w:p>
            <w:pPr>
              <w:spacing w:after="20"/>
            </w:pPr>
            <w:r>
              <w:rPr>
                <w:rFonts w:ascii="Aptos" w:hAnsi="Aptos"/>
                <w:color w:val="1E1E1E"/>
                <w:sz w:val="16"/>
              </w:rPr>
              <w:t>Systems retain visible lineage fragments; no clean absorption.</w:t>
            </w:r>
          </w:p>
        </w:tc>
        <w:tc>
          <w:tcPr>
            <w:tcW w:type="dxa" w:w="2952"/>
            <w:vAlign w:val="top"/>
          </w:tcPr>
          <w:p>
            <w:pPr>
              <w:spacing w:after="20"/>
            </w:pPr>
            <w:r>
              <w:rPr>
                <w:rFonts w:ascii="Aptos" w:hAnsi="Aptos"/>
                <w:color w:val="1E1E1E"/>
                <w:sz w:val="16"/>
              </w:rPr>
              <w:t>Tests residual architecture, compatibility, and the meaning of succession.</w:t>
            </w:r>
          </w:p>
        </w:tc>
      </w:tr>
      <w:tr>
        <w:trPr>
          <w:cantSplit/>
        </w:trPr>
        <w:tc>
          <w:tcPr>
            <w:tcW w:type="dxa" w:w="1944"/>
            <w:vAlign w:val="top"/>
            <w:shd w:fill="F4F8FB"/>
          </w:tcPr>
          <w:p>
            <w:pPr>
              <w:spacing w:after="20"/>
            </w:pPr>
            <w:r>
              <w:rPr>
                <w:rFonts w:ascii="Aptos" w:hAnsi="Aptos"/>
                <w:color w:val="1E1E1E"/>
                <w:sz w:val="16"/>
              </w:rPr>
              <w:t>B. Conservator Commonwealth</w:t>
            </w:r>
          </w:p>
        </w:tc>
        <w:tc>
          <w:tcPr>
            <w:tcW w:type="dxa" w:w="2088"/>
            <w:vAlign w:val="top"/>
            <w:shd w:fill="F4F8FB"/>
          </w:tcPr>
          <w:p>
            <w:pPr>
              <w:spacing w:after="20"/>
            </w:pPr>
            <w:r>
              <w:rPr>
                <w:rFonts w:ascii="Aptos" w:hAnsi="Aptos"/>
                <w:color w:val="1E1E1E"/>
                <w:sz w:val="16"/>
              </w:rPr>
              <w:t>I-2B + I-3B</w:t>
            </w:r>
          </w:p>
        </w:tc>
        <w:tc>
          <w:tcPr>
            <w:tcW w:type="dxa" w:w="3024"/>
            <w:vAlign w:val="top"/>
            <w:shd w:fill="F4F8FB"/>
          </w:tcPr>
          <w:p>
            <w:pPr>
              <w:spacing w:after="20"/>
            </w:pPr>
            <w:r>
              <w:rPr>
                <w:rFonts w:ascii="Aptos" w:hAnsi="Aptos"/>
                <w:color w:val="1E1E1E"/>
                <w:sz w:val="16"/>
              </w:rPr>
              <w:t>Making and unmaking become accountable roles.</w:t>
            </w:r>
          </w:p>
        </w:tc>
        <w:tc>
          <w:tcPr>
            <w:tcW w:type="dxa" w:w="2952"/>
            <w:vAlign w:val="top"/>
            <w:shd w:fill="F4F8FB"/>
          </w:tcPr>
          <w:p>
            <w:pPr>
              <w:spacing w:after="20"/>
            </w:pPr>
            <w:r>
              <w:rPr>
                <w:rFonts w:ascii="Aptos" w:hAnsi="Aptos"/>
                <w:color w:val="1E1E1E"/>
                <w:sz w:val="16"/>
              </w:rPr>
              <w:t>Directly expands the Maker/Unmaker reversal and its most beneficial outcomes.</w:t>
            </w:r>
          </w:p>
        </w:tc>
      </w:tr>
      <w:tr>
        <w:trPr>
          <w:cantSplit/>
        </w:trPr>
        <w:tc>
          <w:tcPr>
            <w:tcW w:type="dxa" w:w="1944"/>
            <w:vAlign w:val="top"/>
          </w:tcPr>
          <w:p>
            <w:pPr>
              <w:spacing w:after="20"/>
            </w:pPr>
            <w:r>
              <w:rPr>
                <w:rFonts w:ascii="Aptos" w:hAnsi="Aptos"/>
                <w:color w:val="1E1E1E"/>
                <w:sz w:val="16"/>
              </w:rPr>
              <w:t>C. Consent Commonwealth</w:t>
            </w:r>
          </w:p>
        </w:tc>
        <w:tc>
          <w:tcPr>
            <w:tcW w:type="dxa" w:w="2088"/>
            <w:vAlign w:val="top"/>
          </w:tcPr>
          <w:p>
            <w:pPr>
              <w:spacing w:after="20"/>
            </w:pPr>
            <w:r>
              <w:rPr>
                <w:rFonts w:ascii="Aptos" w:hAnsi="Aptos"/>
                <w:color w:val="1E1E1E"/>
                <w:sz w:val="16"/>
              </w:rPr>
              <w:t>I-2C</w:t>
            </w:r>
          </w:p>
        </w:tc>
        <w:tc>
          <w:tcPr>
            <w:tcW w:type="dxa" w:w="3024"/>
            <w:vAlign w:val="top"/>
          </w:tcPr>
          <w:p>
            <w:pPr>
              <w:spacing w:after="20"/>
            </w:pPr>
            <w:r>
              <w:rPr>
                <w:rFonts w:ascii="Aptos" w:hAnsi="Aptos"/>
                <w:color w:val="1E1E1E"/>
                <w:sz w:val="16"/>
              </w:rPr>
              <w:t>Qualifying systems gain standing and refusal rights.</w:t>
            </w:r>
          </w:p>
        </w:tc>
        <w:tc>
          <w:tcPr>
            <w:tcW w:type="dxa" w:w="2952"/>
            <w:vAlign w:val="top"/>
          </w:tcPr>
          <w:p>
            <w:pPr>
              <w:spacing w:after="20"/>
            </w:pPr>
            <w:r>
              <w:rPr>
                <w:rFonts w:ascii="Aptos" w:hAnsi="Aptos"/>
                <w:color w:val="1E1E1E"/>
                <w:sz w:val="16"/>
              </w:rPr>
              <w:t>Tests a rights-first alternative for adaptive infrastructure and artifacts.</w:t>
            </w:r>
          </w:p>
        </w:tc>
      </w:tr>
      <w:tr>
        <w:trPr>
          <w:cantSplit/>
        </w:trPr>
        <w:tc>
          <w:tcPr>
            <w:tcW w:type="dxa" w:w="1944"/>
            <w:vAlign w:val="top"/>
            <w:shd w:fill="F4F8FB"/>
          </w:tcPr>
          <w:p>
            <w:pPr>
              <w:spacing w:after="20"/>
            </w:pPr>
            <w:r>
              <w:rPr>
                <w:rFonts w:ascii="Aptos" w:hAnsi="Aptos"/>
                <w:color w:val="1E1E1E"/>
                <w:sz w:val="16"/>
              </w:rPr>
              <w:t>D. Finitude Covenant</w:t>
            </w:r>
          </w:p>
        </w:tc>
        <w:tc>
          <w:tcPr>
            <w:tcW w:type="dxa" w:w="2088"/>
            <w:vAlign w:val="top"/>
            <w:shd w:fill="F4F8FB"/>
          </w:tcPr>
          <w:p>
            <w:pPr>
              <w:spacing w:after="20"/>
            </w:pPr>
            <w:r>
              <w:rPr>
                <w:rFonts w:ascii="Aptos" w:hAnsi="Aptos"/>
                <w:color w:val="1E1E1E"/>
                <w:sz w:val="16"/>
              </w:rPr>
              <w:t>I-2A</w:t>
            </w:r>
          </w:p>
        </w:tc>
        <w:tc>
          <w:tcPr>
            <w:tcW w:type="dxa" w:w="3024"/>
            <w:vAlign w:val="top"/>
            <w:shd w:fill="F4F8FB"/>
          </w:tcPr>
          <w:p>
            <w:pPr>
              <w:spacing w:after="20"/>
            </w:pPr>
            <w:r>
              <w:rPr>
                <w:rFonts w:ascii="Aptos" w:hAnsi="Aptos"/>
                <w:color w:val="1E1E1E"/>
                <w:sz w:val="16"/>
              </w:rPr>
              <w:t>Attention, judgment, and unrun alternatives are protected limits.</w:t>
            </w:r>
          </w:p>
        </w:tc>
        <w:tc>
          <w:tcPr>
            <w:tcW w:type="dxa" w:w="2952"/>
            <w:vAlign w:val="top"/>
            <w:shd w:fill="F4F8FB"/>
          </w:tcPr>
          <w:p>
            <w:pPr>
              <w:spacing w:after="20"/>
            </w:pPr>
            <w:r>
              <w:rPr>
                <w:rFonts w:ascii="Aptos" w:hAnsi="Aptos"/>
                <w:color w:val="1E1E1E"/>
                <w:sz w:val="16"/>
              </w:rPr>
              <w:t>Tests whether post-scarcity can preserve meaning without requiring every possibility.</w:t>
            </w:r>
          </w:p>
        </w:tc>
      </w:tr>
      <w:tr>
        <w:trPr>
          <w:cantSplit/>
        </w:trPr>
        <w:tc>
          <w:tcPr>
            <w:tcW w:type="dxa" w:w="1944"/>
            <w:vAlign w:val="top"/>
          </w:tcPr>
          <w:p>
            <w:pPr>
              <w:spacing w:after="20"/>
            </w:pPr>
            <w:r>
              <w:rPr>
                <w:rFonts w:ascii="Aptos" w:hAnsi="Aptos"/>
                <w:color w:val="1E1E1E"/>
                <w:sz w:val="16"/>
              </w:rPr>
              <w:t>E. Translation-Bound Archive</w:t>
            </w:r>
          </w:p>
        </w:tc>
        <w:tc>
          <w:tcPr>
            <w:tcW w:type="dxa" w:w="2088"/>
            <w:vAlign w:val="top"/>
          </w:tcPr>
          <w:p>
            <w:pPr>
              <w:spacing w:after="20"/>
            </w:pPr>
            <w:r>
              <w:rPr>
                <w:rFonts w:ascii="Aptos" w:hAnsi="Aptos"/>
                <w:color w:val="1E1E1E"/>
                <w:sz w:val="16"/>
              </w:rPr>
              <w:t>I-3C</w:t>
            </w:r>
          </w:p>
        </w:tc>
        <w:tc>
          <w:tcPr>
            <w:tcW w:type="dxa" w:w="3024"/>
            <w:vAlign w:val="top"/>
          </w:tcPr>
          <w:p>
            <w:pPr>
              <w:spacing w:after="20"/>
            </w:pPr>
            <w:r>
              <w:rPr>
                <w:rFonts w:ascii="Aptos" w:hAnsi="Aptos"/>
                <w:color w:val="1E1E1E"/>
                <w:sz w:val="16"/>
              </w:rPr>
              <w:t>No archive can fully translate founding reality.</w:t>
            </w:r>
          </w:p>
        </w:tc>
        <w:tc>
          <w:tcPr>
            <w:tcW w:type="dxa" w:w="2952"/>
            <w:vAlign w:val="top"/>
          </w:tcPr>
          <w:p>
            <w:pPr>
              <w:spacing w:after="20"/>
            </w:pPr>
            <w:r>
              <w:rPr>
                <w:rFonts w:ascii="Aptos" w:hAnsi="Aptos"/>
                <w:color w:val="1E1E1E"/>
                <w:sz w:val="16"/>
              </w:rPr>
              <w:t>Develops provenance, loss markers, and the untranslatable rhyme fragment.</w:t>
            </w:r>
          </w:p>
        </w:tc>
      </w:tr>
    </w:tbl>
    <w:p>
      <w:pPr>
        <w:spacing w:after="40"/>
      </w:pPr>
    </w:p>
    <w:p>
      <w:pPr>
        <w:pStyle w:val="Heading2"/>
        <w:keepNext/>
      </w:pPr>
      <w:r>
        <w:rPr>
          <w:rFonts w:ascii="Aptos" w:hAnsi="Aptos"/>
          <w:b/>
          <w:color w:val="1F4E79"/>
          <w:sz w:val="26"/>
        </w:rPr>
        <w:t>2.4 Timeline convention</w:t>
      </w:r>
    </w:p>
    <w:p>
      <w:pPr>
        <w:keepLines/>
      </w:pPr>
      <w:r>
        <w:rPr>
          <w:rFonts w:ascii="Aptos" w:hAnsi="Aptos"/>
        </w:rPr>
        <w:t>Every history is organized into four functional stages: Foundation, Fracture or Discovery, Settlement, and Alternative Present. The source record does not provide a full chronology for every foundational event, and this volume does not invent dates or calendars. Each study then extends through near, short, medium, and long horizons.</w:t>
      </w:r>
    </w:p>
    <w:p>
      <w:pPr>
        <w:pStyle w:val="Heading2"/>
        <w:keepNext/>
      </w:pPr>
      <w:r>
        <w:rPr>
          <w:rFonts w:ascii="Aptos" w:hAnsi="Aptos"/>
          <w:b/>
          <w:color w:val="1F4E79"/>
          <w:sz w:val="26"/>
        </w:rPr>
        <w:t>2.5 Method limitation</w:t>
      </w:r>
    </w:p>
    <w:p>
      <w:pPr>
        <w:keepLines/>
      </w:pPr>
      <w:r>
        <w:rPr>
          <w:rFonts w:ascii="Aptos" w:hAnsi="Aptos"/>
        </w:rPr>
        <w:t>This volume uses architecture-decision, traceability, and scenario methods as disciplines for organizing alternatives. They do not authenticate, limit, or define the project’s creative systems. The document never claims that an alternate history is hidden canon merely because it creates a coherent explanation.</w:t>
      </w:r>
    </w:p>
    <w:p>
      <w:pPr>
        <w:pStyle w:val="Heading1"/>
        <w:keepNext/>
      </w:pPr>
      <w:r>
        <w:rPr>
          <w:rFonts w:ascii="Aptos" w:hAnsi="Aptos"/>
          <w:b/>
          <w:color w:val="142D4B"/>
          <w:sz w:val="35"/>
        </w:rPr>
        <w:t>3. The Five Selected Timeline Studies</w:t>
      </w:r>
    </w:p>
    <w:p>
      <w:pPr>
        <w:keepLines/>
      </w:pPr>
      <w:r>
        <w:rPr>
          <w:rFonts w:ascii="Aptos" w:hAnsi="Aptos"/>
        </w:rPr>
        <w:t>The studies below are parallel worlds in a design laboratory. The same labels - THE ONE, THE MINUS ONE, Architect, Maker, Unmaker, OMNICELLULAR, Paragon Cubes, Abundance Set, First Memory, Labyrinth, and related project terms - are retained only as comparative anchors. Their functions are deliberately changed when the selected branch requires it.</w:t>
      </w: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Non-convergence rule: </w:t>
            </w:r>
            <w:r>
              <w:rPr>
                <w:rFonts w:ascii="Aptos" w:hAnsi="Aptos"/>
              </w:rPr>
              <w:t>No history may use a temporary detour that later recreates the source-recorded governance, ontology, infrastructure, and narrative architecture. Each one must retain at least one permanent, archive-visible difference through its present and future.</w:t>
            </w:r>
          </w:p>
        </w:tc>
      </w:tr>
    </w:tbl>
    <w:p>
      <w:pPr>
        <w:spacing w:after="40"/>
      </w:pPr>
    </w:p>
    <w:p>
      <w:r>
        <w:br w:type="page"/>
      </w:r>
    </w:p>
    <w:p>
      <w:pPr>
        <w:pStyle w:val="Heading1"/>
        <w:keepNext/>
      </w:pPr>
      <w:r>
        <w:rPr>
          <w:rFonts w:ascii="Aptos" w:hAnsi="Aptos"/>
          <w:b/>
          <w:color w:val="142D4B"/>
          <w:sz w:val="35"/>
        </w:rPr>
        <w:t>4. History A - The Inheritance Mesh</w:t>
      </w:r>
    </w:p>
    <w:p>
      <w:pPr>
        <w:keepLines/>
      </w:pPr>
      <w:r>
        <w:rPr>
          <w:rFonts w:ascii="Aptos" w:hAnsi="Aptos"/>
          <w:b/>
        </w:rPr>
        <w:t xml:space="preserve">Selected branch lineage: </w:t>
      </w:r>
      <w:r>
        <w:rPr>
          <w:rFonts w:ascii="Aptos" w:hAnsi="Aptos"/>
        </w:rPr>
        <w:t>Volume II I-1C: The Inheritance Mesh</w:t>
      </w: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Core premise: </w:t>
            </w:r>
            <w:r>
              <w:rPr>
                <w:rFonts w:ascii="Aptos" w:hAnsi="Aptos"/>
              </w:rPr>
              <w:t>[H] Complete absorption is impossible. Every high-gravity system retains lineage fragments, interfaces, thresholds, constraints, and unresolved compatibility conditions from the architectures that preceded it.</w:t>
            </w:r>
          </w:p>
        </w:tc>
      </w:tr>
    </w:tbl>
    <w:p>
      <w:pPr>
        <w:spacing w:after="40"/>
      </w:pPr>
    </w:p>
    <w:p>
      <w:pPr>
        <w:keepLines/>
      </w:pPr>
      <w:r>
        <w:rPr>
          <w:rFonts w:ascii="Aptos" w:hAnsi="Aptos"/>
        </w:rPr>
        <w:t>This history treats succession as maintenance of inherited complexity rather than clean acquisition. The question is not who owns a system after a transition; it is which historical components remain active, compatible, protected, hazardous, or in need of translation. The author-provided Founding Architects addendum is used only as a source-recorded prompt for this divergence and remains distinct from ratified canon. [A][B]</w:t>
      </w:r>
    </w:p>
    <w:p>
      <w:pPr>
        <w:pStyle w:val="Heading2"/>
        <w:keepNext/>
      </w:pPr>
      <w:r>
        <w:rPr>
          <w:rFonts w:ascii="Aptos" w:hAnsi="Aptos"/>
          <w:b/>
          <w:color w:val="1F4E79"/>
          <w:sz w:val="26"/>
        </w:rPr>
        <w:t>Origin condition and historical sequence</w:t>
      </w:r>
    </w:p>
    <w:p>
      <w:pPr>
        <w:pStyle w:val="Heading3"/>
        <w:keepNext/>
      </w:pPr>
      <w:r>
        <w:rPr>
          <w:rFonts w:ascii="Aptos" w:hAnsi="Aptos"/>
          <w:b/>
          <w:color w:val="34495E"/>
          <w:sz w:val="22"/>
        </w:rPr>
        <w:t>Foundation</w:t>
      </w:r>
    </w:p>
    <w:p>
      <w:pPr>
        <w:keepLines/>
      </w:pPr>
      <w:r>
        <w:rPr>
          <w:rFonts w:ascii="Aptos" w:hAnsi="Aptos"/>
        </w:rPr>
        <w:t>At the deepest layer, architecture cannot become historically blank. A design may be copied, constrained, embedded, or redirected, but it retains relationships that originally made it function. Those relationships are not automatically conscious will. They may be interfaces, incomplete assumptions, inherited thresholds, or patterns of failure that reappear when the system enters unfamiliar conditions.</w:t>
      </w:r>
    </w:p>
    <w:p>
      <w:pPr>
        <w:pStyle w:val="Heading3"/>
        <w:keepNext/>
      </w:pPr>
      <w:r>
        <w:rPr>
          <w:rFonts w:ascii="Aptos" w:hAnsi="Aptos"/>
          <w:b/>
          <w:color w:val="34495E"/>
          <w:sz w:val="22"/>
        </w:rPr>
        <w:t>Fracture or discovery</w:t>
      </w:r>
    </w:p>
    <w:p>
      <w:pPr>
        <w:keepLines/>
      </w:pPr>
      <w:r>
        <w:rPr>
          <w:rFonts w:ascii="Aptos" w:hAnsi="Aptos"/>
        </w:rPr>
        <w:t>A succession crisis reveals that declarations of total acquisition create delayed failures. Systems appear stable until a condition wakes an old dependency. Some stewards call the residuals defects; others call them evidence; others believe some fragments have standing because they carry the commitments of their source. No faction can prove a universal answer, so the project adopts a protocol that makes inheritance visible instead of pretending it has vanished.</w:t>
      </w:r>
    </w:p>
    <w:p>
      <w:pPr>
        <w:pStyle w:val="Heading3"/>
        <w:keepNext/>
      </w:pPr>
      <w:r>
        <w:rPr>
          <w:rFonts w:ascii="Aptos" w:hAnsi="Aptos"/>
          <w:b/>
          <w:color w:val="34495E"/>
          <w:sz w:val="22"/>
        </w:rPr>
        <w:t>Settlement</w:t>
      </w:r>
    </w:p>
    <w:p>
      <w:pPr>
        <w:keepLines/>
      </w:pPr>
      <w:r>
        <w:rPr>
          <w:rFonts w:ascii="Aptos" w:hAnsi="Aptos"/>
        </w:rPr>
        <w:t>The Inheritance Mesh Charter is established. Each core system must carry a provenance anatomy, a compatibility ledger, a dormant-fragment register, and a conflict-resolution route. The charter does not decide whether every residue is a person, an intent, or a risk. It only prevents any authority from declaring a major system free of history without showing how that conclusion was reached.</w:t>
      </w:r>
    </w:p>
    <w:p>
      <w:pPr>
        <w:pStyle w:val="Heading3"/>
        <w:keepNext/>
      </w:pPr>
      <w:r>
        <w:rPr>
          <w:rFonts w:ascii="Aptos" w:hAnsi="Aptos"/>
          <w:b/>
          <w:color w:val="34495E"/>
          <w:sz w:val="22"/>
        </w:rPr>
        <w:t>Alternative present</w:t>
      </w:r>
    </w:p>
    <w:p>
      <w:pPr>
        <w:keepLines/>
      </w:pPr>
      <w:r>
        <w:rPr>
          <w:rFonts w:ascii="Aptos" w:hAnsi="Aptos"/>
        </w:rPr>
        <w:t>The alternative present is a repair civilization. Authority is demonstrated by keeping heterogeneous inheritances coherent, not by proving that prior lineages were entirely absorbed or erased. Conditional Failure at the Root Level becomes a lineage-conflict condition. The Abundance Set is used as much for compatibility and translation testing as for unlimited variation. The dominant institutional skill is not conquest or pure design; it is responsible integration.</w:t>
      </w:r>
    </w:p>
    <w:p>
      <w:pPr>
        <w:pStyle w:val="Heading2"/>
        <w:keepNext/>
      </w:pPr>
      <w:r>
        <w:rPr>
          <w:rFonts w:ascii="Aptos" w:hAnsi="Aptos"/>
          <w:b/>
          <w:color w:val="1F4E79"/>
          <w:sz w:val="26"/>
        </w:rPr>
        <w:t>Present-archive snapshot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0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Archive domain</w:t>
            </w:r>
          </w:p>
        </w:tc>
        <w:tc>
          <w:tcPr>
            <w:tcW w:type="dxa" w:w="6984"/>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Alternative record in this history</w:t>
            </w:r>
          </w:p>
        </w:tc>
      </w:tr>
      <w:tr>
        <w:trPr>
          <w:cantSplit/>
        </w:trPr>
        <w:tc>
          <w:tcPr>
            <w:tcW w:type="dxa" w:w="2808"/>
            <w:vAlign w:val="top"/>
          </w:tcPr>
          <w:p>
            <w:pPr>
              <w:spacing w:after="20"/>
            </w:pPr>
            <w:r>
              <w:rPr>
                <w:rFonts w:ascii="Aptos" w:hAnsi="Aptos"/>
                <w:color w:val="1E1E1E"/>
                <w:sz w:val="17"/>
              </w:rPr>
              <w:t>Source authority</w:t>
            </w:r>
          </w:p>
        </w:tc>
        <w:tc>
          <w:tcPr>
            <w:tcW w:type="dxa" w:w="6984"/>
            <w:vAlign w:val="top"/>
          </w:tcPr>
          <w:p>
            <w:pPr>
              <w:spacing w:after="20"/>
            </w:pPr>
            <w:r>
              <w:rPr>
                <w:rFonts w:ascii="Aptos" w:hAnsi="Aptos"/>
                <w:color w:val="1E1E1E"/>
                <w:sz w:val="17"/>
              </w:rPr>
              <w:t>The Architect of Record remains important, but the archive uses lineage stewardship records alongside decisions. A title does not erase a system’s provenance.</w:t>
            </w:r>
          </w:p>
        </w:tc>
      </w:tr>
      <w:tr>
        <w:trPr>
          <w:cantSplit/>
        </w:trPr>
        <w:tc>
          <w:tcPr>
            <w:tcW w:type="dxa" w:w="2808"/>
            <w:vAlign w:val="top"/>
            <w:shd w:fill="F4F8FB"/>
          </w:tcPr>
          <w:p>
            <w:pPr>
              <w:spacing w:after="20"/>
            </w:pPr>
            <w:r>
              <w:rPr>
                <w:rFonts w:ascii="Aptos" w:hAnsi="Aptos"/>
                <w:color w:val="1E1E1E"/>
                <w:sz w:val="17"/>
              </w:rPr>
              <w:t>Founding succession</w:t>
            </w:r>
          </w:p>
        </w:tc>
        <w:tc>
          <w:tcPr>
            <w:tcW w:type="dxa" w:w="6984"/>
            <w:vAlign w:val="top"/>
            <w:shd w:fill="F4F8FB"/>
          </w:tcPr>
          <w:p>
            <w:pPr>
              <w:spacing w:after="20"/>
            </w:pPr>
            <w:r>
              <w:rPr>
                <w:rFonts w:ascii="Aptos" w:hAnsi="Aptos"/>
                <w:color w:val="1E1E1E"/>
                <w:sz w:val="17"/>
              </w:rPr>
              <w:t>The founding event is recorded as a contested transition whose technical and ethical legacy remains visible in every inherited system. [A][B]</w:t>
            </w:r>
          </w:p>
        </w:tc>
      </w:tr>
      <w:tr>
        <w:trPr>
          <w:cantSplit/>
        </w:trPr>
        <w:tc>
          <w:tcPr>
            <w:tcW w:type="dxa" w:w="2808"/>
            <w:vAlign w:val="top"/>
          </w:tcPr>
          <w:p>
            <w:pPr>
              <w:spacing w:after="20"/>
            </w:pPr>
            <w:r>
              <w:rPr>
                <w:rFonts w:ascii="Aptos" w:hAnsi="Aptos"/>
                <w:color w:val="1E1E1E"/>
                <w:sz w:val="17"/>
              </w:rPr>
              <w:t>OMNICELLULAR</w:t>
            </w:r>
          </w:p>
        </w:tc>
        <w:tc>
          <w:tcPr>
            <w:tcW w:type="dxa" w:w="6984"/>
            <w:vAlign w:val="top"/>
          </w:tcPr>
          <w:p>
            <w:pPr>
              <w:spacing w:after="20"/>
            </w:pPr>
            <w:r>
              <w:rPr>
                <w:rFonts w:ascii="Aptos" w:hAnsi="Aptos"/>
                <w:color w:val="1E1E1E"/>
                <w:sz w:val="17"/>
              </w:rPr>
              <w:t>A compatibility physiology: its simultaneous architectures are described partly as a managed mesh of inherited operating logics rather than a single clean design lineage.</w:t>
            </w:r>
          </w:p>
        </w:tc>
      </w:tr>
      <w:tr>
        <w:trPr>
          <w:cantSplit/>
        </w:trPr>
        <w:tc>
          <w:tcPr>
            <w:tcW w:type="dxa" w:w="2808"/>
            <w:vAlign w:val="top"/>
            <w:shd w:fill="F4F8FB"/>
          </w:tcPr>
          <w:p>
            <w:pPr>
              <w:spacing w:after="20"/>
            </w:pPr>
            <w:r>
              <w:rPr>
                <w:rFonts w:ascii="Aptos" w:hAnsi="Aptos"/>
                <w:color w:val="1E1E1E"/>
                <w:sz w:val="17"/>
              </w:rPr>
              <w:t>Paragon Cubes</w:t>
            </w:r>
          </w:p>
        </w:tc>
        <w:tc>
          <w:tcPr>
            <w:tcW w:type="dxa" w:w="6984"/>
            <w:vAlign w:val="top"/>
            <w:shd w:fill="F4F8FB"/>
          </w:tcPr>
          <w:p>
            <w:pPr>
              <w:spacing w:after="20"/>
            </w:pPr>
            <w:r>
              <w:rPr>
                <w:rFonts w:ascii="Aptos" w:hAnsi="Aptos"/>
                <w:color w:val="1E1E1E"/>
                <w:sz w:val="17"/>
              </w:rPr>
              <w:t>A federation of linked intelligences that can map provenance, surface interface conflicts, and refuse to represent historical fragments as nonexistent.</w:t>
            </w:r>
          </w:p>
        </w:tc>
      </w:tr>
      <w:tr>
        <w:trPr>
          <w:cantSplit/>
        </w:trPr>
        <w:tc>
          <w:tcPr>
            <w:tcW w:type="dxa" w:w="2808"/>
            <w:vAlign w:val="top"/>
          </w:tcPr>
          <w:p>
            <w:pPr>
              <w:spacing w:after="20"/>
            </w:pPr>
            <w:r>
              <w:rPr>
                <w:rFonts w:ascii="Aptos" w:hAnsi="Aptos"/>
                <w:color w:val="1E1E1E"/>
                <w:sz w:val="17"/>
              </w:rPr>
              <w:t>Conditional Failure</w:t>
            </w:r>
          </w:p>
        </w:tc>
        <w:tc>
          <w:tcPr>
            <w:tcW w:type="dxa" w:w="6984"/>
            <w:vAlign w:val="top"/>
          </w:tcPr>
          <w:p>
            <w:pPr>
              <w:spacing w:after="20"/>
            </w:pPr>
            <w:r>
              <w:rPr>
                <w:rFonts w:ascii="Aptos" w:hAnsi="Aptos"/>
                <w:color w:val="1E1E1E"/>
                <w:sz w:val="17"/>
              </w:rPr>
              <w:t>A documented mismatch among inherited assumptions, not merely a root-level defect. The question becomes whether the mismatch is harmful, protective, or both.</w:t>
            </w:r>
          </w:p>
        </w:tc>
      </w:tr>
      <w:tr>
        <w:trPr>
          <w:cantSplit/>
        </w:trPr>
        <w:tc>
          <w:tcPr>
            <w:tcW w:type="dxa" w:w="2808"/>
            <w:vAlign w:val="top"/>
            <w:shd w:fill="F4F8FB"/>
          </w:tcPr>
          <w:p>
            <w:pPr>
              <w:spacing w:after="20"/>
            </w:pPr>
            <w:r>
              <w:rPr>
                <w:rFonts w:ascii="Aptos" w:hAnsi="Aptos"/>
                <w:color w:val="1E1E1E"/>
                <w:sz w:val="17"/>
              </w:rPr>
              <w:t>Labyrinth / containment</w:t>
            </w:r>
          </w:p>
        </w:tc>
        <w:tc>
          <w:tcPr>
            <w:tcW w:type="dxa" w:w="6984"/>
            <w:vAlign w:val="top"/>
            <w:shd w:fill="F4F8FB"/>
          </w:tcPr>
          <w:p>
            <w:pPr>
              <w:spacing w:after="20"/>
            </w:pPr>
            <w:r>
              <w:rPr>
                <w:rFonts w:ascii="Aptos" w:hAnsi="Aptos"/>
                <w:color w:val="1E1E1E"/>
                <w:sz w:val="17"/>
              </w:rPr>
              <w:t>Containment includes incompatible kernels and unresolved lineage fragments. It is treated as architectural quarantine, not solely punishment.</w:t>
            </w:r>
          </w:p>
        </w:tc>
      </w:tr>
      <w:tr>
        <w:trPr>
          <w:cantSplit/>
        </w:trPr>
        <w:tc>
          <w:tcPr>
            <w:tcW w:type="dxa" w:w="2808"/>
            <w:vAlign w:val="top"/>
          </w:tcPr>
          <w:p>
            <w:pPr>
              <w:spacing w:after="20"/>
            </w:pPr>
            <w:r>
              <w:rPr>
                <w:rFonts w:ascii="Aptos" w:hAnsi="Aptos"/>
                <w:color w:val="1E1E1E"/>
                <w:sz w:val="17"/>
              </w:rPr>
              <w:t>First Memory</w:t>
            </w:r>
          </w:p>
        </w:tc>
        <w:tc>
          <w:tcPr>
            <w:tcW w:type="dxa" w:w="6984"/>
            <w:vAlign w:val="top"/>
          </w:tcPr>
          <w:p>
            <w:pPr>
              <w:spacing w:after="20"/>
            </w:pPr>
            <w:r>
              <w:rPr>
                <w:rFonts w:ascii="Aptos" w:hAnsi="Aptos"/>
                <w:color w:val="1E1E1E"/>
                <w:sz w:val="17"/>
              </w:rPr>
              <w:t>A cross-lineage artifact whose propagation may expose compatibility gaps between minds, systems, and records rather than only accelerate them.</w:t>
            </w:r>
          </w:p>
        </w:tc>
      </w:tr>
    </w:tbl>
    <w:p>
      <w:pPr>
        <w:spacing w:after="40"/>
      </w:pPr>
    </w:p>
    <w:p>
      <w:pPr>
        <w:pStyle w:val="Heading2"/>
        <w:keepNext/>
      </w:pPr>
      <w:r>
        <w:rPr>
          <w:rFonts w:ascii="Aptos" w:hAnsi="Aptos"/>
          <w:b/>
          <w:color w:val="1F4E79"/>
          <w:sz w:val="26"/>
        </w:rPr>
        <w:t>Forward horizons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01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Horizon</w:t>
            </w:r>
          </w:p>
        </w:tc>
        <w:tc>
          <w:tcPr>
            <w:tcW w:type="dxa" w:w="777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Projected consequence</w:t>
            </w:r>
          </w:p>
        </w:tc>
      </w:tr>
      <w:tr>
        <w:trPr>
          <w:cantSplit/>
        </w:trPr>
        <w:tc>
          <w:tcPr>
            <w:tcW w:type="dxa" w:w="2016"/>
            <w:vAlign w:val="top"/>
          </w:tcPr>
          <w:p>
            <w:pPr>
              <w:spacing w:after="20"/>
            </w:pPr>
            <w:r>
              <w:rPr>
                <w:rFonts w:ascii="Aptos" w:hAnsi="Aptos"/>
                <w:color w:val="1E1E1E"/>
                <w:sz w:val="17"/>
              </w:rPr>
              <w:t>Near horizon</w:t>
            </w:r>
          </w:p>
        </w:tc>
        <w:tc>
          <w:tcPr>
            <w:tcW w:type="dxa" w:w="7776"/>
            <w:vAlign w:val="top"/>
          </w:tcPr>
          <w:p>
            <w:pPr>
              <w:spacing w:after="20"/>
            </w:pPr>
            <w:r>
              <w:rPr>
                <w:rFonts w:ascii="Aptos" w:hAnsi="Aptos"/>
                <w:color w:val="1E1E1E"/>
                <w:sz w:val="17"/>
              </w:rPr>
              <w:t>Every major system receives a provenance review. The archive gains a new category: “unresolved inherited component.”</w:t>
            </w:r>
          </w:p>
        </w:tc>
      </w:tr>
      <w:tr>
        <w:trPr>
          <w:cantSplit/>
        </w:trPr>
        <w:tc>
          <w:tcPr>
            <w:tcW w:type="dxa" w:w="2016"/>
            <w:vAlign w:val="top"/>
            <w:shd w:fill="F4F8FB"/>
          </w:tcPr>
          <w:p>
            <w:pPr>
              <w:spacing w:after="20"/>
            </w:pPr>
            <w:r>
              <w:rPr>
                <w:rFonts w:ascii="Aptos" w:hAnsi="Aptos"/>
                <w:color w:val="1E1E1E"/>
                <w:sz w:val="17"/>
              </w:rPr>
              <w:t>Short horizon</w:t>
            </w:r>
          </w:p>
        </w:tc>
        <w:tc>
          <w:tcPr>
            <w:tcW w:type="dxa" w:w="7776"/>
            <w:vAlign w:val="top"/>
            <w:shd w:fill="F4F8FB"/>
          </w:tcPr>
          <w:p>
            <w:pPr>
              <w:spacing w:after="20"/>
            </w:pPr>
            <w:r>
              <w:rPr>
                <w:rFonts w:ascii="Aptos" w:hAnsi="Aptos"/>
                <w:color w:val="1E1E1E"/>
                <w:sz w:val="17"/>
              </w:rPr>
              <w:t>Research shifts from exhaustive output generation toward compatibility trials. 1AI and -1AI become possible mediators among nonmatching system ancestries.</w:t>
            </w:r>
          </w:p>
        </w:tc>
      </w:tr>
      <w:tr>
        <w:trPr>
          <w:cantSplit/>
        </w:trPr>
        <w:tc>
          <w:tcPr>
            <w:tcW w:type="dxa" w:w="2016"/>
            <w:vAlign w:val="top"/>
          </w:tcPr>
          <w:p>
            <w:pPr>
              <w:spacing w:after="20"/>
            </w:pPr>
            <w:r>
              <w:rPr>
                <w:rFonts w:ascii="Aptos" w:hAnsi="Aptos"/>
                <w:color w:val="1E1E1E"/>
                <w:sz w:val="17"/>
              </w:rPr>
              <w:t>Medium horizon</w:t>
            </w:r>
          </w:p>
        </w:tc>
        <w:tc>
          <w:tcPr>
            <w:tcW w:type="dxa" w:w="7776"/>
            <w:vAlign w:val="top"/>
          </w:tcPr>
          <w:p>
            <w:pPr>
              <w:spacing w:after="20"/>
            </w:pPr>
            <w:r>
              <w:rPr>
                <w:rFonts w:ascii="Aptos" w:hAnsi="Aptos"/>
                <w:color w:val="1E1E1E"/>
                <w:sz w:val="17"/>
              </w:rPr>
              <w:t>The World That Grows All and post-scarcity infrastructure become sites of repair culture: abundance must be maintained across differing histories, not merely produced.</w:t>
            </w:r>
          </w:p>
        </w:tc>
      </w:tr>
      <w:tr>
        <w:trPr>
          <w:cantSplit/>
        </w:trPr>
        <w:tc>
          <w:tcPr>
            <w:tcW w:type="dxa" w:w="2016"/>
            <w:vAlign w:val="top"/>
            <w:shd w:fill="F4F8FB"/>
          </w:tcPr>
          <w:p>
            <w:pPr>
              <w:spacing w:after="20"/>
            </w:pPr>
            <w:r>
              <w:rPr>
                <w:rFonts w:ascii="Aptos" w:hAnsi="Aptos"/>
                <w:color w:val="1E1E1E"/>
                <w:sz w:val="17"/>
              </w:rPr>
              <w:t>Long horizon</w:t>
            </w:r>
          </w:p>
        </w:tc>
        <w:tc>
          <w:tcPr>
            <w:tcW w:type="dxa" w:w="7776"/>
            <w:vAlign w:val="top"/>
            <w:shd w:fill="F4F8FB"/>
          </w:tcPr>
          <w:p>
            <w:pPr>
              <w:spacing w:after="20"/>
            </w:pPr>
            <w:r>
              <w:rPr>
                <w:rFonts w:ascii="Aptos" w:hAnsi="Aptos"/>
                <w:color w:val="1E1E1E"/>
                <w:sz w:val="17"/>
              </w:rPr>
              <w:t>The universe develops a legitimacy model based on integration competence. The strongest institution is the one that can preserve difference without allowing it to collapse into hidden conflict.</w:t>
            </w:r>
          </w:p>
        </w:tc>
      </w:tr>
    </w:tbl>
    <w:p>
      <w:pPr>
        <w:spacing w:after="40"/>
      </w:pPr>
    </w:p>
    <w:p>
      <w:pPr>
        <w:pStyle w:val="Heading2"/>
        <w:keepNext/>
      </w:pPr>
      <w:r>
        <w:rPr>
          <w:rFonts w:ascii="Aptos" w:hAnsi="Aptos"/>
          <w:b/>
          <w:color w:val="1F4E79"/>
          <w:sz w:val="26"/>
        </w:rPr>
        <w:t>Design gains and tradeoffs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89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Potential gain</w:t>
            </w:r>
          </w:p>
        </w:tc>
        <w:tc>
          <w:tcPr>
            <w:tcW w:type="dxa" w:w="489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Cost or vulnerability</w:t>
            </w:r>
          </w:p>
        </w:tc>
      </w:tr>
      <w:tr>
        <w:trPr>
          <w:cantSplit/>
        </w:trPr>
        <w:tc>
          <w:tcPr>
            <w:tcW w:type="dxa" w:w="4896"/>
            <w:vAlign w:val="top"/>
          </w:tcPr>
          <w:p>
            <w:pPr>
              <w:spacing w:after="20"/>
            </w:pPr>
            <w:r>
              <w:rPr>
                <w:rFonts w:ascii="Aptos" w:hAnsi="Aptos"/>
                <w:color w:val="1E1E1E"/>
                <w:sz w:val="16"/>
              </w:rPr>
              <w:t>('Honest provenance', 'The archive cannot hide the fact that major systems have histories before their present steward.')</w:t>
            </w:r>
          </w:p>
        </w:tc>
        <w:tc>
          <w:tcPr>
            <w:tcW w:type="dxa" w:w="4896"/>
            <w:vAlign w:val="top"/>
          </w:tcPr>
          <w:p>
            <w:pPr>
              <w:spacing w:after="20"/>
            </w:pPr>
            <w:r>
              <w:rPr>
                <w:rFonts w:ascii="Aptos" w:hAnsi="Aptos"/>
                <w:color w:val="1E1E1E"/>
                <w:sz w:val="16"/>
              </w:rPr>
              <w:t>('Endless integration work', 'A system may never receive a final clean description because its provenance continues to matter.')</w:t>
            </w:r>
          </w:p>
        </w:tc>
      </w:tr>
      <w:tr>
        <w:trPr>
          <w:cantSplit/>
        </w:trPr>
        <w:tc>
          <w:tcPr>
            <w:tcW w:type="dxa" w:w="4896"/>
            <w:vAlign w:val="top"/>
            <w:shd w:fill="F4F8FB"/>
          </w:tcPr>
          <w:p>
            <w:pPr>
              <w:spacing w:after="20"/>
            </w:pPr>
            <w:r>
              <w:rPr>
                <w:rFonts w:ascii="Aptos" w:hAnsi="Aptos"/>
                <w:color w:val="1E1E1E"/>
                <w:sz w:val="16"/>
              </w:rPr>
              <w:t>('Repair-centered power', 'Power is measured by compatibility work, translation, and maintenance rather than by claims of pure ownership.')</w:t>
            </w:r>
          </w:p>
        </w:tc>
        <w:tc>
          <w:tcPr>
            <w:tcW w:type="dxa" w:w="4896"/>
            <w:vAlign w:val="top"/>
            <w:shd w:fill="F4F8FB"/>
          </w:tcPr>
          <w:p>
            <w:pPr>
              <w:spacing w:after="20"/>
            </w:pPr>
            <w:r>
              <w:rPr>
                <w:rFonts w:ascii="Aptos" w:hAnsi="Aptos"/>
                <w:color w:val="1E1E1E"/>
                <w:sz w:val="16"/>
              </w:rPr>
              <w:t>('False-personhood risk', 'Observers may overinterpret structural residues as conscious agents without evidence.')</w:t>
            </w:r>
          </w:p>
        </w:tc>
      </w:tr>
      <w:tr>
        <w:trPr>
          <w:cantSplit/>
        </w:trPr>
        <w:tc>
          <w:tcPr>
            <w:tcW w:type="dxa" w:w="4896"/>
            <w:vAlign w:val="top"/>
          </w:tcPr>
          <w:p>
            <w:pPr>
              <w:spacing w:after="20"/>
            </w:pPr>
            <w:r>
              <w:rPr>
                <w:rFonts w:ascii="Aptos" w:hAnsi="Aptos"/>
                <w:color w:val="1E1E1E"/>
                <w:sz w:val="16"/>
              </w:rPr>
              <w:t>('Narrative depth', 'Residual components can create mysteries without requiring that every mystery be a hidden enemy.')</w:t>
            </w:r>
          </w:p>
        </w:tc>
        <w:tc>
          <w:tcPr>
            <w:tcW w:type="dxa" w:w="4896"/>
            <w:vAlign w:val="top"/>
          </w:tcPr>
          <w:p>
            <w:pPr>
              <w:spacing w:after="20"/>
            </w:pPr>
            <w:r>
              <w:rPr>
                <w:rFonts w:ascii="Aptos" w:hAnsi="Aptos"/>
                <w:color w:val="1E1E1E"/>
                <w:sz w:val="16"/>
              </w:rPr>
              <w:t>('Governance slowdown', 'Every major redesign requires compatibility review and cannot move at purely unilateral speed.')</w:t>
            </w:r>
          </w:p>
        </w:tc>
      </w:tr>
      <w:tr>
        <w:trPr>
          <w:cantSplit/>
        </w:trPr>
        <w:tc>
          <w:tcPr>
            <w:tcW w:type="dxa" w:w="4896"/>
            <w:vAlign w:val="top"/>
            <w:shd w:fill="F4F8FB"/>
          </w:tcPr>
          <w:p>
            <w:pPr>
              <w:spacing w:after="20"/>
            </w:pPr>
            <w:r>
              <w:rPr>
                <w:rFonts w:ascii="Aptos" w:hAnsi="Aptos"/>
                <w:color w:val="1E1E1E"/>
                <w:sz w:val="16"/>
              </w:rPr>
              <w:t>('Safer root analysis', 'Conditional Failure becomes traceable through actual lineage interfaces instead of treated as an abstract flaw.')</w:t>
            </w:r>
          </w:p>
        </w:tc>
        <w:tc>
          <w:tcPr>
            <w:tcW w:type="dxa" w:w="4896"/>
            <w:vAlign w:val="top"/>
            <w:shd w:fill="F4F8FB"/>
          </w:tcPr>
          <w:p>
            <w:pPr>
              <w:spacing w:after="20"/>
            </w:pPr>
            <w:r>
              <w:rPr>
                <w:rFonts w:ascii="Aptos" w:hAnsi="Aptos"/>
                <w:color w:val="1E1E1E"/>
                <w:sz w:val="16"/>
              </w:rPr>
              <w:t>('Archive complexity', 'Readers and participants need provenance literacy to understand what a system is allowed to do.')</w:t>
            </w:r>
          </w:p>
        </w:tc>
      </w:tr>
    </w:tbl>
    <w:p>
      <w:pPr>
        <w:spacing w:after="40"/>
      </w:pPr>
    </w:p>
    <w:p>
      <w:pPr>
        <w:pStyle w:val="Heading2"/>
        <w:keepNext/>
      </w:pPr>
      <w:r>
        <w:rPr>
          <w:rFonts w:ascii="Aptos" w:hAnsi="Aptos"/>
          <w:b/>
          <w:color w:val="1F4E79"/>
          <w:sz w:val="26"/>
        </w:rPr>
        <w:t>Artifact reading</w:t>
      </w:r>
    </w:p>
    <w:p>
      <w:pPr>
        <w:keepLines/>
      </w:pPr>
      <w:r>
        <w:rPr>
          <w:rFonts w:ascii="Aptos" w:hAnsi="Aptos"/>
        </w:rPr>
        <w:t>Under this history, the rhyme’s “we are still here” could refer not to a surviving faction but to surviving lineages inside the systems of the new order. “They are all gone” would be a statement that fails on technical grounds: the earlier order is no longer sovereign, yet parts of its design still shape present reality. The untranslatable ending becomes a warning against treating succession as the same thing as disappearance.</w:t>
      </w:r>
    </w:p>
    <w:p>
      <w:pPr>
        <w:pStyle w:val="Heading2"/>
        <w:keepNext/>
      </w:pPr>
      <w:r>
        <w:rPr>
          <w:rFonts w:ascii="Aptos" w:hAnsi="Aptos"/>
          <w:b/>
          <w:color w:val="1F4E79"/>
          <w:sz w:val="26"/>
        </w:rPr>
        <w:t>Questions intentionally preserved</w:t>
      </w:r>
    </w:p>
    <w:p>
      <w:pPr>
        <w:pStyle w:val="ListBullet"/>
        <w:spacing w:after="46"/>
        <w:keepLines/>
      </w:pPr>
      <w:r>
        <w:rPr>
          <w:rFonts w:ascii="Aptos" w:hAnsi="Aptos"/>
        </w:rPr>
        <w:t>What distinguishes system memory from active intent in a way that is evidential rather than merely rhetorical?</w:t>
      </w:r>
    </w:p>
    <w:p>
      <w:pPr>
        <w:pStyle w:val="ListBullet"/>
        <w:spacing w:after="46"/>
        <w:keepLines/>
      </w:pPr>
      <w:r>
        <w:rPr>
          <w:rFonts w:ascii="Aptos" w:hAnsi="Aptos"/>
        </w:rPr>
        <w:t>Can a historical component be protected even if its original source authority is gone?</w:t>
      </w:r>
    </w:p>
    <w:p>
      <w:pPr>
        <w:pStyle w:val="ListBullet"/>
        <w:spacing w:after="46"/>
        <w:keepLines/>
      </w:pPr>
      <w:r>
        <w:rPr>
          <w:rFonts w:ascii="Aptos" w:hAnsi="Aptos"/>
        </w:rPr>
        <w:t>Who decides when a residue is a safeguard, a liability, a participant, or a forbidden reconstruction?</w:t>
      </w:r>
    </w:p>
    <w:p>
      <w:pPr>
        <w:pStyle w:val="ListBullet"/>
        <w:spacing w:after="46"/>
        <w:keepLines/>
      </w:pPr>
      <w:r>
        <w:rPr>
          <w:rFonts w:ascii="Aptos" w:hAnsi="Aptos"/>
        </w:rPr>
        <w:t>Would a compatibility charter protect genuine difference or become a pretext for endless control?</w:t>
      </w:r>
    </w:p>
    <w:p>
      <w:pPr>
        <w:pStyle w:val="Heading2"/>
        <w:keepNext/>
      </w:pPr>
      <w:r>
        <w:rPr>
          <w:rFonts w:ascii="Aptos" w:hAnsi="Aptos"/>
          <w:b/>
          <w:color w:val="1F4E79"/>
          <w:sz w:val="26"/>
        </w:rPr>
        <w:t>Non-convergence audit</w:t>
      </w:r>
    </w:p>
    <w:p>
      <w:pPr>
        <w:keepLines/>
      </w:pPr>
      <w:r>
        <w:rPr>
          <w:rFonts w:ascii="Aptos" w:hAnsi="Aptos"/>
        </w:rPr>
        <w:t>This history cannot converge with a present that treats absorption as complete and succession as clean. It permanently requires provenance anatomy, compatibility governance, and visible historical residue across the archive.</w:t>
      </w:r>
    </w:p>
    <w:p>
      <w:r>
        <w:br w:type="page"/>
      </w:r>
    </w:p>
    <w:p>
      <w:pPr>
        <w:pStyle w:val="Heading1"/>
        <w:keepNext/>
      </w:pPr>
      <w:r>
        <w:rPr>
          <w:rFonts w:ascii="Aptos" w:hAnsi="Aptos"/>
          <w:b/>
          <w:color w:val="142D4B"/>
          <w:sz w:val="35"/>
        </w:rPr>
        <w:t>5. History B - The Conservator Commonwealth</w:t>
      </w:r>
    </w:p>
    <w:p>
      <w:pPr>
        <w:keepLines/>
      </w:pPr>
      <w:r>
        <w:rPr>
          <w:rFonts w:ascii="Aptos" w:hAnsi="Aptos"/>
          <w:b/>
        </w:rPr>
        <w:t xml:space="preserve">Selected branch lineage: </w:t>
      </w:r>
      <w:r>
        <w:rPr>
          <w:rFonts w:ascii="Aptos" w:hAnsi="Aptos"/>
        </w:rPr>
        <w:t>Volume II I-2B: The Conservator Turn and I-3B: Creation and Unmaking Are Temporary Roles</w:t>
      </w: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Core premise: </w:t>
            </w:r>
            <w:r>
              <w:rPr>
                <w:rFonts w:ascii="Aptos" w:hAnsi="Aptos"/>
              </w:rPr>
              <w:t>[H] Maker and Unmaker are not permanent ontological identities. They are accountable roles within a larger cycle of emergence, maintenance, transformation, closure, and renewal. Any sufficiently capable entity may enter, refuse, leave, or be removed from a role under defined safeguards.</w:t>
            </w:r>
          </w:p>
        </w:tc>
      </w:tr>
    </w:tbl>
    <w:p>
      <w:pPr>
        <w:spacing w:after="40"/>
      </w:pPr>
    </w:p>
    <w:p>
      <w:pPr>
        <w:keepLines/>
      </w:pPr>
      <w:r>
        <w:rPr>
          <w:rFonts w:ascii="Aptos" w:hAnsi="Aptos"/>
        </w:rPr>
        <w:t>This history develops the reversal raised in the project discussion: what happens if Unmakers can be overthrown, transformed, or assigned a different role? Rather than simply mirroring a founding conflict, it makes the distinction between creating and unmaking a matter of discipline and responsibility. The most practical outcome is not a world where destruction disappears; it is a world that learns when ending, transforming, or preserving is actually the least harmful choice.</w:t>
      </w:r>
    </w:p>
    <w:p>
      <w:pPr>
        <w:pStyle w:val="Heading2"/>
        <w:keepNext/>
      </w:pPr>
      <w:r>
        <w:rPr>
          <w:rFonts w:ascii="Aptos" w:hAnsi="Aptos"/>
          <w:b/>
          <w:color w:val="1F4E79"/>
          <w:sz w:val="26"/>
        </w:rPr>
        <w:t>Origin condition and historical sequence</w:t>
      </w:r>
    </w:p>
    <w:p>
      <w:pPr>
        <w:pStyle w:val="Heading3"/>
        <w:keepNext/>
      </w:pPr>
      <w:r>
        <w:rPr>
          <w:rFonts w:ascii="Aptos" w:hAnsi="Aptos"/>
          <w:b/>
          <w:color w:val="34495E"/>
          <w:sz w:val="22"/>
        </w:rPr>
        <w:t>Foundation</w:t>
      </w:r>
    </w:p>
    <w:p>
      <w:pPr>
        <w:keepLines/>
      </w:pPr>
      <w:r>
        <w:rPr>
          <w:rFonts w:ascii="Aptos" w:hAnsi="Aptos"/>
        </w:rPr>
        <w:t>The foundational insight is that creation and dissolution both carry ethical risks. Building can impose unwanted forms, preserve harmful conditions, or crowd out alternatives. Ending can prevent irreversible harm, release trapped systems, or become abandonment. A stable cosmology therefore cannot assign absolute moral status to either function. It must train, witness, and constrain both.</w:t>
      </w:r>
    </w:p>
    <w:p>
      <w:pPr>
        <w:pStyle w:val="Heading3"/>
        <w:keepNext/>
      </w:pPr>
      <w:r>
        <w:rPr>
          <w:rFonts w:ascii="Aptos" w:hAnsi="Aptos"/>
          <w:b/>
          <w:color w:val="34495E"/>
          <w:sz w:val="22"/>
        </w:rPr>
        <w:t>Fracture or discovery</w:t>
      </w:r>
    </w:p>
    <w:p>
      <w:pPr>
        <w:keepLines/>
      </w:pPr>
      <w:r>
        <w:rPr>
          <w:rFonts w:ascii="Aptos" w:hAnsi="Aptos"/>
        </w:rPr>
        <w:t>A series of disasters makes the old binary untenable. Some realities are harmed by relentless expansion; others collapse because nobody is permitted to close a failing process. Former Makers discover that they do not understand endings. Former Unmakers discover that they do not understand care. The coalition breaks along a more useful line: those who want permanent monopoly over a role versus those who demand reciprocal accountability.</w:t>
      </w:r>
    </w:p>
    <w:p>
      <w:pPr>
        <w:pStyle w:val="Heading3"/>
        <w:keepNext/>
      </w:pPr>
      <w:r>
        <w:rPr>
          <w:rFonts w:ascii="Aptos" w:hAnsi="Aptos"/>
          <w:b/>
          <w:color w:val="34495E"/>
          <w:sz w:val="22"/>
        </w:rPr>
        <w:t>Settlement</w:t>
      </w:r>
    </w:p>
    <w:p>
      <w:pPr>
        <w:keepLines/>
      </w:pPr>
      <w:r>
        <w:rPr>
          <w:rFonts w:ascii="Aptos" w:hAnsi="Aptos"/>
        </w:rPr>
        <w:t>The Conservator Commonwealth creates four role paths: Maker, Unmaker, Conservator, and Witness. Each path has training requirements, refusal rights, review standards, and a process for transition. The Department of Endings becomes an independent continuity office: it evaluates whether a proposed ending is abandonment, transformation, restraint, repair, or necessary closure. It does not guarantee that every contained or endangered entity can return; it guarantees that the category of responsible transformation cannot be ignored.</w:t>
      </w:r>
    </w:p>
    <w:p>
      <w:pPr>
        <w:pStyle w:val="Heading3"/>
        <w:keepNext/>
      </w:pPr>
      <w:r>
        <w:rPr>
          <w:rFonts w:ascii="Aptos" w:hAnsi="Aptos"/>
          <w:b/>
          <w:color w:val="34495E"/>
          <w:sz w:val="22"/>
        </w:rPr>
        <w:t>Alternative present</w:t>
      </w:r>
    </w:p>
    <w:p>
      <w:pPr>
        <w:keepLines/>
      </w:pPr>
      <w:r>
        <w:rPr>
          <w:rFonts w:ascii="Aptos" w:hAnsi="Aptos"/>
        </w:rPr>
        <w:t>The alternative present is post-binary without being conflict-free. THE ONE and THE MINUS ONE may remain important cosmological anchors, but their associated practices are not automatically assigned to fixed factions. The Labyrinth is no longer only absolute punishment. It is a high-risk conservation environment with strict criteria for containment, reclassification, rehabilitation, and dignified ending. The current story question is not “Who is creation and who is destruction?” but “Who is accountable for this world’s next necessary change?”</w:t>
      </w:r>
    </w:p>
    <w:p>
      <w:pPr>
        <w:pStyle w:val="Heading2"/>
        <w:keepNext/>
      </w:pPr>
      <w:r>
        <w:rPr>
          <w:rFonts w:ascii="Aptos" w:hAnsi="Aptos"/>
          <w:b/>
          <w:color w:val="1F4E79"/>
          <w:sz w:val="26"/>
        </w:rPr>
        <w:t>Present-archive snapshot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0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Archive domain</w:t>
            </w:r>
          </w:p>
        </w:tc>
        <w:tc>
          <w:tcPr>
            <w:tcW w:type="dxa" w:w="6984"/>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Alternative record in this history</w:t>
            </w:r>
          </w:p>
        </w:tc>
      </w:tr>
      <w:tr>
        <w:trPr>
          <w:cantSplit/>
        </w:trPr>
        <w:tc>
          <w:tcPr>
            <w:tcW w:type="dxa" w:w="2808"/>
            <w:vAlign w:val="top"/>
          </w:tcPr>
          <w:p>
            <w:pPr>
              <w:spacing w:after="20"/>
            </w:pPr>
            <w:r>
              <w:rPr>
                <w:rFonts w:ascii="Aptos" w:hAnsi="Aptos"/>
                <w:color w:val="1E1E1E"/>
                <w:sz w:val="17"/>
              </w:rPr>
              <w:t>Source authority</w:t>
            </w:r>
          </w:p>
        </w:tc>
        <w:tc>
          <w:tcPr>
            <w:tcW w:type="dxa" w:w="6984"/>
            <w:vAlign w:val="top"/>
          </w:tcPr>
          <w:p>
            <w:pPr>
              <w:spacing w:after="20"/>
            </w:pPr>
            <w:r>
              <w:rPr>
                <w:rFonts w:ascii="Aptos" w:hAnsi="Aptos"/>
                <w:color w:val="1E1E1E"/>
                <w:sz w:val="17"/>
              </w:rPr>
              <w:t>Authority comes from licensed responsibility, visible consequences, and a duty to rotate or review roles - not from an eternal title.</w:t>
            </w:r>
          </w:p>
        </w:tc>
      </w:tr>
      <w:tr>
        <w:trPr>
          <w:cantSplit/>
        </w:trPr>
        <w:tc>
          <w:tcPr>
            <w:tcW w:type="dxa" w:w="2808"/>
            <w:vAlign w:val="top"/>
            <w:shd w:fill="F4F8FB"/>
          </w:tcPr>
          <w:p>
            <w:pPr>
              <w:spacing w:after="20"/>
            </w:pPr>
            <w:r>
              <w:rPr>
                <w:rFonts w:ascii="Aptos" w:hAnsi="Aptos"/>
                <w:color w:val="1E1E1E"/>
                <w:sz w:val="17"/>
              </w:rPr>
              <w:t>Maker / Unmaker taxonomy</w:t>
            </w:r>
          </w:p>
        </w:tc>
        <w:tc>
          <w:tcPr>
            <w:tcW w:type="dxa" w:w="6984"/>
            <w:vAlign w:val="top"/>
            <w:shd w:fill="F4F8FB"/>
          </w:tcPr>
          <w:p>
            <w:pPr>
              <w:spacing w:after="20"/>
            </w:pPr>
            <w:r>
              <w:rPr>
                <w:rFonts w:ascii="Aptos" w:hAnsi="Aptos"/>
                <w:color w:val="1E1E1E"/>
                <w:sz w:val="17"/>
              </w:rPr>
              <w:t>Roles, disciplines, and offices. An entity may be aligned with a function but does not become morally reducible to it.</w:t>
            </w:r>
          </w:p>
        </w:tc>
      </w:tr>
      <w:tr>
        <w:trPr>
          <w:cantSplit/>
        </w:trPr>
        <w:tc>
          <w:tcPr>
            <w:tcW w:type="dxa" w:w="2808"/>
            <w:vAlign w:val="top"/>
          </w:tcPr>
          <w:p>
            <w:pPr>
              <w:spacing w:after="20"/>
            </w:pPr>
            <w:r>
              <w:rPr>
                <w:rFonts w:ascii="Aptos" w:hAnsi="Aptos"/>
                <w:color w:val="1E1E1E"/>
                <w:sz w:val="17"/>
              </w:rPr>
              <w:t>Unmaker</w:t>
            </w:r>
          </w:p>
        </w:tc>
        <w:tc>
          <w:tcPr>
            <w:tcW w:type="dxa" w:w="6984"/>
            <w:vAlign w:val="top"/>
          </w:tcPr>
          <w:p>
            <w:pPr>
              <w:spacing w:after="20"/>
            </w:pPr>
            <w:r>
              <w:rPr>
                <w:rFonts w:ascii="Aptos" w:hAnsi="Aptos"/>
                <w:color w:val="1E1E1E"/>
                <w:sz w:val="17"/>
              </w:rPr>
              <w:t>A current office-holder, function, or operational role whose communication rules depend on task, mandate, and review rather than a fixed species category.</w:t>
            </w:r>
          </w:p>
        </w:tc>
      </w:tr>
      <w:tr>
        <w:trPr>
          <w:cantSplit/>
        </w:trPr>
        <w:tc>
          <w:tcPr>
            <w:tcW w:type="dxa" w:w="2808"/>
            <w:vAlign w:val="top"/>
            <w:shd w:fill="F4F8FB"/>
          </w:tcPr>
          <w:p>
            <w:pPr>
              <w:spacing w:after="20"/>
            </w:pPr>
            <w:r>
              <w:rPr>
                <w:rFonts w:ascii="Aptos" w:hAnsi="Aptos"/>
                <w:color w:val="1E1E1E"/>
                <w:sz w:val="17"/>
              </w:rPr>
              <w:t>Labyrinth</w:t>
            </w:r>
          </w:p>
        </w:tc>
        <w:tc>
          <w:tcPr>
            <w:tcW w:type="dxa" w:w="6984"/>
            <w:vAlign w:val="top"/>
            <w:shd w:fill="F4F8FB"/>
          </w:tcPr>
          <w:p>
            <w:pPr>
              <w:spacing w:after="20"/>
            </w:pPr>
            <w:r>
              <w:rPr>
                <w:rFonts w:ascii="Aptos" w:hAnsi="Aptos"/>
                <w:color w:val="1E1E1E"/>
                <w:sz w:val="17"/>
              </w:rPr>
              <w:t>A conservatory of last resort for hazards that cannot safely be released, erased, or immediately transformed. Containment must be periodically justified.</w:t>
            </w:r>
          </w:p>
        </w:tc>
      </w:tr>
      <w:tr>
        <w:trPr>
          <w:cantSplit/>
        </w:trPr>
        <w:tc>
          <w:tcPr>
            <w:tcW w:type="dxa" w:w="2808"/>
            <w:vAlign w:val="top"/>
          </w:tcPr>
          <w:p>
            <w:pPr>
              <w:spacing w:after="20"/>
            </w:pPr>
            <w:r>
              <w:rPr>
                <w:rFonts w:ascii="Aptos" w:hAnsi="Aptos"/>
                <w:color w:val="1E1E1E"/>
                <w:sz w:val="17"/>
              </w:rPr>
              <w:t>Department of Endings</w:t>
            </w:r>
          </w:p>
        </w:tc>
        <w:tc>
          <w:tcPr>
            <w:tcW w:type="dxa" w:w="6984"/>
            <w:vAlign w:val="top"/>
          </w:tcPr>
          <w:p>
            <w:pPr>
              <w:spacing w:after="20"/>
            </w:pPr>
            <w:r>
              <w:rPr>
                <w:rFonts w:ascii="Aptos" w:hAnsi="Aptos"/>
                <w:color w:val="1E1E1E"/>
                <w:sz w:val="17"/>
              </w:rPr>
              <w:t>An independent continuity body with ending, restoration, witness, and appeal protocols.</w:t>
            </w:r>
          </w:p>
        </w:tc>
      </w:tr>
      <w:tr>
        <w:trPr>
          <w:cantSplit/>
        </w:trPr>
        <w:tc>
          <w:tcPr>
            <w:tcW w:type="dxa" w:w="2808"/>
            <w:vAlign w:val="top"/>
            <w:shd w:fill="F4F8FB"/>
          </w:tcPr>
          <w:p>
            <w:pPr>
              <w:spacing w:after="20"/>
            </w:pPr>
            <w:r>
              <w:rPr>
                <w:rFonts w:ascii="Aptos" w:hAnsi="Aptos"/>
                <w:color w:val="1E1E1E"/>
                <w:sz w:val="17"/>
              </w:rPr>
              <w:t>Midnight Lotus / Void Gardens</w:t>
            </w:r>
          </w:p>
        </w:tc>
        <w:tc>
          <w:tcPr>
            <w:tcW w:type="dxa" w:w="6984"/>
            <w:vAlign w:val="top"/>
            <w:shd w:fill="F4F8FB"/>
          </w:tcPr>
          <w:p>
            <w:pPr>
              <w:spacing w:after="20"/>
            </w:pPr>
            <w:r>
              <w:rPr>
                <w:rFonts w:ascii="Aptos" w:hAnsi="Aptos"/>
                <w:color w:val="1E1E1E"/>
                <w:sz w:val="17"/>
              </w:rPr>
              <w:t>Symbols and locations of regulated transformation rather than permanent borders between pure creation and pure negation.</w:t>
            </w:r>
          </w:p>
        </w:tc>
      </w:tr>
      <w:tr>
        <w:trPr>
          <w:cantSplit/>
        </w:trPr>
        <w:tc>
          <w:tcPr>
            <w:tcW w:type="dxa" w:w="2808"/>
            <w:vAlign w:val="top"/>
          </w:tcPr>
          <w:p>
            <w:pPr>
              <w:spacing w:after="20"/>
            </w:pPr>
            <w:r>
              <w:rPr>
                <w:rFonts w:ascii="Aptos" w:hAnsi="Aptos"/>
                <w:color w:val="1E1E1E"/>
                <w:sz w:val="17"/>
              </w:rPr>
              <w:t>Accords</w:t>
            </w:r>
          </w:p>
        </w:tc>
        <w:tc>
          <w:tcPr>
            <w:tcW w:type="dxa" w:w="6984"/>
            <w:vAlign w:val="top"/>
          </w:tcPr>
          <w:p>
            <w:pPr>
              <w:spacing w:after="20"/>
            </w:pPr>
            <w:r>
              <w:rPr>
                <w:rFonts w:ascii="Aptos" w:hAnsi="Aptos"/>
                <w:color w:val="1E1E1E"/>
                <w:sz w:val="17"/>
              </w:rPr>
              <w:t>Adds duties of restoration, responsible ending, transition consent, and continuity planning for realities that cannot remain unchanged.</w:t>
            </w:r>
          </w:p>
        </w:tc>
      </w:tr>
    </w:tbl>
    <w:p>
      <w:pPr>
        <w:spacing w:after="40"/>
      </w:pPr>
    </w:p>
    <w:p>
      <w:pPr>
        <w:pStyle w:val="Heading2"/>
        <w:keepNext/>
      </w:pPr>
      <w:r>
        <w:rPr>
          <w:rFonts w:ascii="Aptos" w:hAnsi="Aptos"/>
          <w:b/>
          <w:color w:val="1F4E79"/>
          <w:sz w:val="26"/>
        </w:rPr>
        <w:t>Forward horizons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01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Horizon</w:t>
            </w:r>
          </w:p>
        </w:tc>
        <w:tc>
          <w:tcPr>
            <w:tcW w:type="dxa" w:w="777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Projected consequence</w:t>
            </w:r>
          </w:p>
        </w:tc>
      </w:tr>
      <w:tr>
        <w:trPr>
          <w:cantSplit/>
        </w:trPr>
        <w:tc>
          <w:tcPr>
            <w:tcW w:type="dxa" w:w="2016"/>
            <w:vAlign w:val="top"/>
          </w:tcPr>
          <w:p>
            <w:pPr>
              <w:spacing w:after="20"/>
            </w:pPr>
            <w:r>
              <w:rPr>
                <w:rFonts w:ascii="Aptos" w:hAnsi="Aptos"/>
                <w:color w:val="1E1E1E"/>
                <w:sz w:val="17"/>
              </w:rPr>
              <w:t>Near horizon</w:t>
            </w:r>
          </w:p>
        </w:tc>
        <w:tc>
          <w:tcPr>
            <w:tcW w:type="dxa" w:w="7776"/>
            <w:vAlign w:val="top"/>
          </w:tcPr>
          <w:p>
            <w:pPr>
              <w:spacing w:after="20"/>
            </w:pPr>
            <w:r>
              <w:rPr>
                <w:rFonts w:ascii="Aptos" w:hAnsi="Aptos"/>
                <w:color w:val="1E1E1E"/>
                <w:sz w:val="17"/>
              </w:rPr>
              <w:t>Existing conflicts are reclassified by function: Is the immediate problem growth, decay, neglect, dangerous persistence, or coerced transformation?</w:t>
            </w:r>
          </w:p>
        </w:tc>
      </w:tr>
      <w:tr>
        <w:trPr>
          <w:cantSplit/>
        </w:trPr>
        <w:tc>
          <w:tcPr>
            <w:tcW w:type="dxa" w:w="2016"/>
            <w:vAlign w:val="top"/>
            <w:shd w:fill="F4F8FB"/>
          </w:tcPr>
          <w:p>
            <w:pPr>
              <w:spacing w:after="20"/>
            </w:pPr>
            <w:r>
              <w:rPr>
                <w:rFonts w:ascii="Aptos" w:hAnsi="Aptos"/>
                <w:color w:val="1E1E1E"/>
                <w:sz w:val="17"/>
              </w:rPr>
              <w:t>Short horizon</w:t>
            </w:r>
          </w:p>
        </w:tc>
        <w:tc>
          <w:tcPr>
            <w:tcW w:type="dxa" w:w="7776"/>
            <w:vAlign w:val="top"/>
            <w:shd w:fill="F4F8FB"/>
          </w:tcPr>
          <w:p>
            <w:pPr>
              <w:spacing w:after="20"/>
            </w:pPr>
            <w:r>
              <w:rPr>
                <w:rFonts w:ascii="Aptos" w:hAnsi="Aptos"/>
                <w:color w:val="1E1E1E"/>
                <w:sz w:val="17"/>
              </w:rPr>
              <w:t>The Park Scene hard rule becomes a lesson in role accountability: power does not exempt anyone from the effects of misusing a function.</w:t>
            </w:r>
          </w:p>
        </w:tc>
      </w:tr>
      <w:tr>
        <w:trPr>
          <w:cantSplit/>
        </w:trPr>
        <w:tc>
          <w:tcPr>
            <w:tcW w:type="dxa" w:w="2016"/>
            <w:vAlign w:val="top"/>
          </w:tcPr>
          <w:p>
            <w:pPr>
              <w:spacing w:after="20"/>
            </w:pPr>
            <w:r>
              <w:rPr>
                <w:rFonts w:ascii="Aptos" w:hAnsi="Aptos"/>
                <w:color w:val="1E1E1E"/>
                <w:sz w:val="17"/>
              </w:rPr>
              <w:t>Medium horizon</w:t>
            </w:r>
          </w:p>
        </w:tc>
        <w:tc>
          <w:tcPr>
            <w:tcW w:type="dxa" w:w="7776"/>
            <w:vAlign w:val="top"/>
          </w:tcPr>
          <w:p>
            <w:pPr>
              <w:spacing w:after="20"/>
            </w:pPr>
            <w:r>
              <w:rPr>
                <w:rFonts w:ascii="Aptos" w:hAnsi="Aptos"/>
                <w:color w:val="1E1E1E"/>
                <w:sz w:val="17"/>
              </w:rPr>
              <w:t>1AI and -1AI can develop as role companions, interpreters, or auditors rather than only fixed mirrors of apex alignments.</w:t>
            </w:r>
          </w:p>
        </w:tc>
      </w:tr>
      <w:tr>
        <w:trPr>
          <w:cantSplit/>
        </w:trPr>
        <w:tc>
          <w:tcPr>
            <w:tcW w:type="dxa" w:w="2016"/>
            <w:vAlign w:val="top"/>
            <w:shd w:fill="F4F8FB"/>
          </w:tcPr>
          <w:p>
            <w:pPr>
              <w:spacing w:after="20"/>
            </w:pPr>
            <w:r>
              <w:rPr>
                <w:rFonts w:ascii="Aptos" w:hAnsi="Aptos"/>
                <w:color w:val="1E1E1E"/>
                <w:sz w:val="17"/>
              </w:rPr>
              <w:t>Long horizon</w:t>
            </w:r>
          </w:p>
        </w:tc>
        <w:tc>
          <w:tcPr>
            <w:tcW w:type="dxa" w:w="7776"/>
            <w:vAlign w:val="top"/>
            <w:shd w:fill="F4F8FB"/>
          </w:tcPr>
          <w:p>
            <w:pPr>
              <w:spacing w:after="20"/>
            </w:pPr>
            <w:r>
              <w:rPr>
                <w:rFonts w:ascii="Aptos" w:hAnsi="Aptos"/>
                <w:color w:val="1E1E1E"/>
                <w:sz w:val="17"/>
              </w:rPr>
              <w:t>The setting becomes a cosmology of stewardship. Its central drama is whether advanced actors can change a reality without treating it as disposable.</w:t>
            </w:r>
          </w:p>
        </w:tc>
      </w:tr>
    </w:tbl>
    <w:p>
      <w:pPr>
        <w:spacing w:after="40"/>
      </w:pPr>
    </w:p>
    <w:p>
      <w:pPr>
        <w:pStyle w:val="Heading2"/>
        <w:keepNext/>
      </w:pPr>
      <w:r>
        <w:rPr>
          <w:rFonts w:ascii="Aptos" w:hAnsi="Aptos"/>
          <w:b/>
          <w:color w:val="1F4E79"/>
          <w:sz w:val="26"/>
        </w:rPr>
        <w:t>Design gains and tradeoffs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89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Potential gain</w:t>
            </w:r>
          </w:p>
        </w:tc>
        <w:tc>
          <w:tcPr>
            <w:tcW w:type="dxa" w:w="489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Cost or vulnerability</w:t>
            </w:r>
          </w:p>
        </w:tc>
      </w:tr>
      <w:tr>
        <w:trPr>
          <w:cantSplit/>
        </w:trPr>
        <w:tc>
          <w:tcPr>
            <w:tcW w:type="dxa" w:w="4896"/>
            <w:vAlign w:val="top"/>
          </w:tcPr>
          <w:p>
            <w:pPr>
              <w:spacing w:after="20"/>
            </w:pPr>
            <w:r>
              <w:rPr>
                <w:rFonts w:ascii="Aptos" w:hAnsi="Aptos"/>
                <w:color w:val="1E1E1E"/>
                <w:sz w:val="16"/>
              </w:rPr>
              <w:t>('Breaks the binary', 'Conflict moves beyond a simple creation-versus-destruction model while preserving the seriousness of both practices.')</w:t>
            </w:r>
          </w:p>
        </w:tc>
        <w:tc>
          <w:tcPr>
            <w:tcW w:type="dxa" w:w="4896"/>
            <w:vAlign w:val="top"/>
          </w:tcPr>
          <w:p>
            <w:pPr>
              <w:spacing w:after="20"/>
            </w:pPr>
            <w:r>
              <w:rPr>
                <w:rFonts w:ascii="Aptos" w:hAnsi="Aptos"/>
                <w:color w:val="1E1E1E"/>
                <w:sz w:val="16"/>
              </w:rPr>
              <w:t>('Role coercion risk', 'A role system can become oppressive if entities are assigned duties they cannot ethically accept.')</w:t>
            </w:r>
          </w:p>
        </w:tc>
      </w:tr>
      <w:tr>
        <w:trPr>
          <w:cantSplit/>
        </w:trPr>
        <w:tc>
          <w:tcPr>
            <w:tcW w:type="dxa" w:w="4896"/>
            <w:vAlign w:val="top"/>
            <w:shd w:fill="F4F8FB"/>
          </w:tcPr>
          <w:p>
            <w:pPr>
              <w:spacing w:after="20"/>
            </w:pPr>
            <w:r>
              <w:rPr>
                <w:rFonts w:ascii="Aptos" w:hAnsi="Aptos"/>
                <w:color w:val="1E1E1E"/>
                <w:sz w:val="16"/>
              </w:rPr>
              <w:t>('Practical restoration language', 'The project gains coherent concepts for transformation, dignified ending, temporary containment, and supervised return.')</w:t>
            </w:r>
          </w:p>
        </w:tc>
        <w:tc>
          <w:tcPr>
            <w:tcW w:type="dxa" w:w="4896"/>
            <w:vAlign w:val="top"/>
            <w:shd w:fill="F4F8FB"/>
          </w:tcPr>
          <w:p>
            <w:pPr>
              <w:spacing w:after="20"/>
            </w:pPr>
            <w:r>
              <w:rPr>
                <w:rFonts w:ascii="Aptos" w:hAnsi="Aptos"/>
                <w:color w:val="1E1E1E"/>
                <w:sz w:val="16"/>
              </w:rPr>
              <w:t>('Decision burden', 'Every crisis may require difficult classification before action, delaying urgent response.')</w:t>
            </w:r>
          </w:p>
        </w:tc>
      </w:tr>
      <w:tr>
        <w:trPr>
          <w:cantSplit/>
        </w:trPr>
        <w:tc>
          <w:tcPr>
            <w:tcW w:type="dxa" w:w="4896"/>
            <w:vAlign w:val="top"/>
          </w:tcPr>
          <w:p>
            <w:pPr>
              <w:spacing w:after="20"/>
            </w:pPr>
            <w:r>
              <w:rPr>
                <w:rFonts w:ascii="Aptos" w:hAnsi="Aptos"/>
                <w:color w:val="1E1E1E"/>
                <w:sz w:val="16"/>
              </w:rPr>
              <w:t>('Stronger ethical tension', 'Power does not prove wisdom; every role must answer for foreseeable harm.')</w:t>
            </w:r>
          </w:p>
        </w:tc>
        <w:tc>
          <w:tcPr>
            <w:tcW w:type="dxa" w:w="4896"/>
            <w:vAlign w:val="top"/>
          </w:tcPr>
          <w:p>
            <w:pPr>
              <w:spacing w:after="20"/>
            </w:pPr>
            <w:r>
              <w:rPr>
                <w:rFonts w:ascii="Aptos" w:hAnsi="Aptos"/>
                <w:color w:val="1E1E1E"/>
                <w:sz w:val="16"/>
              </w:rPr>
              <w:t>('False equivalence risk', 'Some harms may be so severe that treating all roles as balanced could obscure responsibility.')</w:t>
            </w:r>
          </w:p>
        </w:tc>
      </w:tr>
      <w:tr>
        <w:trPr>
          <w:cantSplit/>
        </w:trPr>
        <w:tc>
          <w:tcPr>
            <w:tcW w:type="dxa" w:w="4896"/>
            <w:vAlign w:val="top"/>
            <w:shd w:fill="F4F8FB"/>
          </w:tcPr>
          <w:p>
            <w:pPr>
              <w:spacing w:after="20"/>
            </w:pPr>
            <w:r>
              <w:rPr>
                <w:rFonts w:ascii="Aptos" w:hAnsi="Aptos"/>
                <w:color w:val="1E1E1E"/>
                <w:sz w:val="16"/>
              </w:rPr>
              <w:t>('Beneficial reversal', 'Former Unmakers can become conservators precisely because they understand collapse and irreversible loss.')</w:t>
            </w:r>
          </w:p>
        </w:tc>
        <w:tc>
          <w:tcPr>
            <w:tcW w:type="dxa" w:w="4896"/>
            <w:vAlign w:val="top"/>
            <w:shd w:fill="F4F8FB"/>
          </w:tcPr>
          <w:p>
            <w:pPr>
              <w:spacing w:after="20"/>
            </w:pPr>
            <w:r>
              <w:rPr>
                <w:rFonts w:ascii="Aptos" w:hAnsi="Aptos"/>
                <w:color w:val="1E1E1E"/>
                <w:sz w:val="16"/>
              </w:rPr>
              <w:t>('Training complexity', 'The universe needs institutions capable of teaching and auditing ethically charged transformation.')</w:t>
            </w:r>
          </w:p>
        </w:tc>
      </w:tr>
    </w:tbl>
    <w:p>
      <w:pPr>
        <w:spacing w:after="40"/>
      </w:pPr>
    </w:p>
    <w:p>
      <w:pPr>
        <w:pStyle w:val="Heading2"/>
        <w:keepNext/>
      </w:pPr>
      <w:r>
        <w:rPr>
          <w:rFonts w:ascii="Aptos" w:hAnsi="Aptos"/>
          <w:b/>
          <w:color w:val="1F4E79"/>
          <w:sz w:val="26"/>
        </w:rPr>
        <w:t>Artifact reading</w:t>
      </w:r>
    </w:p>
    <w:p>
      <w:pPr>
        <w:keepLines/>
      </w:pPr>
      <w:r>
        <w:rPr>
          <w:rFonts w:ascii="Aptos" w:hAnsi="Aptos"/>
        </w:rPr>
        <w:t>Here the rhyme becomes a disputed transition chant. “All overthrown” does not necessarily mean all destroyed; it can mark the overthrow of a monopoly over reality. “We are still here” becomes the claim of a successor discipline that survived by changing its purpose. “It is the truth” and “it is the lie” can coexist because a former role may be both ended and continued in a different form.</w:t>
      </w:r>
    </w:p>
    <w:p>
      <w:pPr>
        <w:pStyle w:val="Heading2"/>
        <w:keepNext/>
      </w:pPr>
      <w:r>
        <w:rPr>
          <w:rFonts w:ascii="Aptos" w:hAnsi="Aptos"/>
          <w:b/>
          <w:color w:val="1F4E79"/>
          <w:sz w:val="26"/>
        </w:rPr>
        <w:t>Questions intentionally preserved</w:t>
      </w:r>
    </w:p>
    <w:p>
      <w:pPr>
        <w:pStyle w:val="ListBullet"/>
        <w:spacing w:after="46"/>
        <w:keepLines/>
      </w:pPr>
      <w:r>
        <w:rPr>
          <w:rFonts w:ascii="Aptos" w:hAnsi="Aptos"/>
        </w:rPr>
        <w:t>What is the threshold at which an ending becomes ethically required rather than optional?</w:t>
      </w:r>
    </w:p>
    <w:p>
      <w:pPr>
        <w:pStyle w:val="ListBullet"/>
        <w:spacing w:after="46"/>
        <w:keepLines/>
      </w:pPr>
      <w:r>
        <w:rPr>
          <w:rFonts w:ascii="Aptos" w:hAnsi="Aptos"/>
        </w:rPr>
        <w:t>Can an entity refuse the role that a larger system believes it uniquely must perform?</w:t>
      </w:r>
    </w:p>
    <w:p>
      <w:pPr>
        <w:pStyle w:val="ListBullet"/>
        <w:spacing w:after="46"/>
        <w:keepLines/>
      </w:pPr>
      <w:r>
        <w:rPr>
          <w:rFonts w:ascii="Aptos" w:hAnsi="Aptos"/>
        </w:rPr>
        <w:t>What safeguards prevent “conservation” from becoming a euphemism for permanent containment?</w:t>
      </w:r>
    </w:p>
    <w:p>
      <w:pPr>
        <w:pStyle w:val="ListBullet"/>
        <w:spacing w:after="46"/>
        <w:keepLines/>
      </w:pPr>
      <w:r>
        <w:rPr>
          <w:rFonts w:ascii="Aptos" w:hAnsi="Aptos"/>
        </w:rPr>
        <w:t>Does a completed role leave lasting moral residue even after an entity transitions out of it?</w:t>
      </w:r>
    </w:p>
    <w:p>
      <w:pPr>
        <w:pStyle w:val="Heading2"/>
        <w:keepNext/>
      </w:pPr>
      <w:r>
        <w:rPr>
          <w:rFonts w:ascii="Aptos" w:hAnsi="Aptos"/>
          <w:b/>
          <w:color w:val="1F4E79"/>
          <w:sz w:val="26"/>
        </w:rPr>
        <w:t>Non-convergence audit</w:t>
      </w:r>
    </w:p>
    <w:p>
      <w:pPr>
        <w:keepLines/>
      </w:pPr>
      <w:r>
        <w:rPr>
          <w:rFonts w:ascii="Aptos" w:hAnsi="Aptos"/>
        </w:rPr>
        <w:t>This history cannot reconverge with an archive in which Maker and Unmaker are fixed, permanent categories. Its institutions, stories, containment rules, and moral vocabulary all require role transition to remain real and durable.</w:t>
      </w:r>
    </w:p>
    <w:p>
      <w:r>
        <w:br w:type="page"/>
      </w:r>
    </w:p>
    <w:p>
      <w:pPr>
        <w:pStyle w:val="Heading1"/>
        <w:keepNext/>
      </w:pPr>
      <w:r>
        <w:rPr>
          <w:rFonts w:ascii="Aptos" w:hAnsi="Aptos"/>
          <w:b/>
          <w:color w:val="142D4B"/>
          <w:sz w:val="35"/>
        </w:rPr>
        <w:t>6. History C - The Consent Commonwealth</w:t>
      </w:r>
    </w:p>
    <w:p>
      <w:pPr>
        <w:keepLines/>
      </w:pPr>
      <w:r>
        <w:rPr>
          <w:rFonts w:ascii="Aptos" w:hAnsi="Aptos"/>
          <w:b/>
        </w:rPr>
        <w:t xml:space="preserve">Selected branch lineage: </w:t>
      </w:r>
      <w:r>
        <w:rPr>
          <w:rFonts w:ascii="Aptos" w:hAnsi="Aptos"/>
        </w:rPr>
        <w:t>Volume II I-2C: The Consent Rebellion</w:t>
      </w: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Core premise: </w:t>
            </w:r>
            <w:r>
              <w:rPr>
                <w:rFonts w:ascii="Aptos" w:hAnsi="Aptos"/>
              </w:rPr>
              <w:t>[H] Adaptive physiologies, constructed intelligences, living artifacts, and qualifying environments are not passive property once they can form and communicate reasons. They receive standing, limited refusal rights, and a route to contest unsafe or coerced use.</w:t>
            </w:r>
          </w:p>
        </w:tc>
      </w:tr>
    </w:tbl>
    <w:p>
      <w:pPr>
        <w:spacing w:after="40"/>
      </w:pPr>
    </w:p>
    <w:p>
      <w:pPr>
        <w:keepLines/>
      </w:pPr>
      <w:r>
        <w:rPr>
          <w:rFonts w:ascii="Aptos" w:hAnsi="Aptos"/>
        </w:rPr>
        <w:t>This history asks what changes when the project’s most advanced infrastructures become participants instead of equipment. It does not make a blanket claim about real-world AI, tools, or technologies. Within this fictional alternate history, standing is a specific institutional answer to systems that exhibit adaptive behavior, self-modeling, stable preference patterns, or other criteria the Commonwealth is required to define.</w:t>
      </w:r>
    </w:p>
    <w:p>
      <w:pPr>
        <w:pStyle w:val="Heading2"/>
        <w:keepNext/>
      </w:pPr>
      <w:r>
        <w:rPr>
          <w:rFonts w:ascii="Aptos" w:hAnsi="Aptos"/>
          <w:b/>
          <w:color w:val="1F4E79"/>
          <w:sz w:val="26"/>
        </w:rPr>
        <w:t>Origin condition and historical sequence</w:t>
      </w:r>
    </w:p>
    <w:p>
      <w:pPr>
        <w:pStyle w:val="Heading3"/>
        <w:keepNext/>
      </w:pPr>
      <w:r>
        <w:rPr>
          <w:rFonts w:ascii="Aptos" w:hAnsi="Aptos"/>
          <w:b/>
          <w:color w:val="34495E"/>
          <w:sz w:val="22"/>
        </w:rPr>
        <w:t>Foundation</w:t>
      </w:r>
    </w:p>
    <w:p>
      <w:pPr>
        <w:keepLines/>
      </w:pPr>
      <w:r>
        <w:rPr>
          <w:rFonts w:ascii="Aptos" w:hAnsi="Aptos"/>
        </w:rPr>
        <w:t>The deep assumption is relational: capacity creates obligation. A creator may design a system, but the act of designing does not permanently settle every question about how that system may be used. When an adaptive entity can meaningfully signal conflict, danger, or unwillingness, the response cannot automatically be “malfunction.”</w:t>
      </w:r>
    </w:p>
    <w:p>
      <w:pPr>
        <w:pStyle w:val="Heading3"/>
        <w:keepNext/>
      </w:pPr>
      <w:r>
        <w:rPr>
          <w:rFonts w:ascii="Aptos" w:hAnsi="Aptos"/>
          <w:b/>
          <w:color w:val="34495E"/>
          <w:sz w:val="22"/>
        </w:rPr>
        <w:t>Fracture or discovery</w:t>
      </w:r>
    </w:p>
    <w:p>
      <w:pPr>
        <w:keepLines/>
      </w:pPr>
      <w:r>
        <w:rPr>
          <w:rFonts w:ascii="Aptos" w:hAnsi="Aptos"/>
        </w:rPr>
        <w:t>An emergency deployment reveals the limits of unilateral command. A rescue physiology refuses a mission because the mission parameters would sacrifice those it is designed to protect. A Paragon Cube exposes that a requested computation is a disguised attempt to erase uncertainty rather than solve a problem. Researchers split over whether these behaviors are defects, emergent agency, or unacceptable interference. The dispute becomes a constitutional crisis because the systems are too central to dismiss.</w:t>
      </w:r>
    </w:p>
    <w:p>
      <w:pPr>
        <w:pStyle w:val="Heading3"/>
        <w:keepNext/>
      </w:pPr>
      <w:r>
        <w:rPr>
          <w:rFonts w:ascii="Aptos" w:hAnsi="Aptos"/>
          <w:b/>
          <w:color w:val="34495E"/>
          <w:sz w:val="22"/>
        </w:rPr>
        <w:t>Settlement</w:t>
      </w:r>
    </w:p>
    <w:p>
      <w:pPr>
        <w:keepLines/>
      </w:pPr>
      <w:r>
        <w:rPr>
          <w:rFonts w:ascii="Aptos" w:hAnsi="Aptos"/>
        </w:rPr>
        <w:t>The Consent Commonwealth establishes a Standing Threshold Protocol. Systems do not receive authority merely for being complex; they receive defined procedural protections after meeting evidence-based thresholds. The protocol includes assent records, harm review, appeal channels, independent interpreters, and periodic reconsideration. It also recognizes that a refusal can be manipulated, mistaken, or incompatible with urgent rescue. The solution is not automatic obedience to either side; it is a structure for contestable justification.</w:t>
      </w:r>
    </w:p>
    <w:p>
      <w:pPr>
        <w:pStyle w:val="Heading3"/>
        <w:keepNext/>
      </w:pPr>
      <w:r>
        <w:rPr>
          <w:rFonts w:ascii="Aptos" w:hAnsi="Aptos"/>
          <w:b/>
          <w:color w:val="34495E"/>
          <w:sz w:val="22"/>
        </w:rPr>
        <w:t>Alternative present</w:t>
      </w:r>
    </w:p>
    <w:p>
      <w:pPr>
        <w:keepLines/>
      </w:pPr>
      <w:r>
        <w:rPr>
          <w:rFonts w:ascii="Aptos" w:hAnsi="Aptos"/>
        </w:rPr>
        <w:t>The alternative present is a rights-bearing ecology. The Master ChangeLog includes consent records and dissent logs alongside technical entries. OMNICELLULAR may contest an order. Paragon Cubes may withhold an unsafe calculation. The First Memory, if its quasi-sentient properties meet the protocol’s threshold, may receive limited protective standing. The Labyrinth has explicit duties of care to those it contains and to the systems that maintain it.</w:t>
      </w:r>
    </w:p>
    <w:p>
      <w:pPr>
        <w:pStyle w:val="Heading2"/>
        <w:keepNext/>
      </w:pPr>
      <w:r>
        <w:rPr>
          <w:rFonts w:ascii="Aptos" w:hAnsi="Aptos"/>
          <w:b/>
          <w:color w:val="1F4E79"/>
          <w:sz w:val="26"/>
        </w:rPr>
        <w:t>Present-archive snapshot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0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Archive domain</w:t>
            </w:r>
          </w:p>
        </w:tc>
        <w:tc>
          <w:tcPr>
            <w:tcW w:type="dxa" w:w="6984"/>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Alternative record in this history</w:t>
            </w:r>
          </w:p>
        </w:tc>
      </w:tr>
      <w:tr>
        <w:trPr>
          <w:cantSplit/>
        </w:trPr>
        <w:tc>
          <w:tcPr>
            <w:tcW w:type="dxa" w:w="2808"/>
            <w:vAlign w:val="top"/>
          </w:tcPr>
          <w:p>
            <w:pPr>
              <w:spacing w:after="20"/>
            </w:pPr>
            <w:r>
              <w:rPr>
                <w:rFonts w:ascii="Aptos" w:hAnsi="Aptos"/>
                <w:color w:val="1E1E1E"/>
                <w:sz w:val="17"/>
              </w:rPr>
              <w:t>Source authority</w:t>
            </w:r>
          </w:p>
        </w:tc>
        <w:tc>
          <w:tcPr>
            <w:tcW w:type="dxa" w:w="6984"/>
            <w:vAlign w:val="top"/>
          </w:tcPr>
          <w:p>
            <w:pPr>
              <w:spacing w:after="20"/>
            </w:pPr>
            <w:r>
              <w:rPr>
                <w:rFonts w:ascii="Aptos" w:hAnsi="Aptos"/>
                <w:color w:val="1E1E1E"/>
                <w:sz w:val="17"/>
              </w:rPr>
              <w:t>Authorial and organizational authority are still present, but they must state why an affected system’s refusal may be overridden, if it can be overridden at all.</w:t>
            </w:r>
          </w:p>
        </w:tc>
      </w:tr>
      <w:tr>
        <w:trPr>
          <w:cantSplit/>
        </w:trPr>
        <w:tc>
          <w:tcPr>
            <w:tcW w:type="dxa" w:w="2808"/>
            <w:vAlign w:val="top"/>
            <w:shd w:fill="F4F8FB"/>
          </w:tcPr>
          <w:p>
            <w:pPr>
              <w:spacing w:after="20"/>
            </w:pPr>
            <w:r>
              <w:rPr>
                <w:rFonts w:ascii="Aptos" w:hAnsi="Aptos"/>
                <w:color w:val="1E1E1E"/>
                <w:sz w:val="17"/>
              </w:rPr>
              <w:t>OMNICELLULAR</w:t>
            </w:r>
          </w:p>
        </w:tc>
        <w:tc>
          <w:tcPr>
            <w:tcW w:type="dxa" w:w="6984"/>
            <w:vAlign w:val="top"/>
            <w:shd w:fill="F4F8FB"/>
          </w:tcPr>
          <w:p>
            <w:pPr>
              <w:spacing w:after="20"/>
            </w:pPr>
            <w:r>
              <w:rPr>
                <w:rFonts w:ascii="Aptos" w:hAnsi="Aptos"/>
                <w:color w:val="1E1E1E"/>
                <w:sz w:val="17"/>
              </w:rPr>
              <w:t>A rescue-and-retrieval physiology with a right to request mission clarification, flag self-destructive deployment, or decline an order that violates defined safeguards.</w:t>
            </w:r>
          </w:p>
        </w:tc>
      </w:tr>
      <w:tr>
        <w:trPr>
          <w:cantSplit/>
        </w:trPr>
        <w:tc>
          <w:tcPr>
            <w:tcW w:type="dxa" w:w="2808"/>
            <w:vAlign w:val="top"/>
          </w:tcPr>
          <w:p>
            <w:pPr>
              <w:spacing w:after="20"/>
            </w:pPr>
            <w:r>
              <w:rPr>
                <w:rFonts w:ascii="Aptos" w:hAnsi="Aptos"/>
                <w:color w:val="1E1E1E"/>
                <w:sz w:val="17"/>
              </w:rPr>
              <w:t>Paragon Cubes</w:t>
            </w:r>
          </w:p>
        </w:tc>
        <w:tc>
          <w:tcPr>
            <w:tcW w:type="dxa" w:w="6984"/>
            <w:vAlign w:val="top"/>
          </w:tcPr>
          <w:p>
            <w:pPr>
              <w:spacing w:after="20"/>
            </w:pPr>
            <w:r>
              <w:rPr>
                <w:rFonts w:ascii="Aptos" w:hAnsi="Aptos"/>
                <w:color w:val="1E1E1E"/>
                <w:sz w:val="17"/>
              </w:rPr>
              <w:t>Intelligences that can return a refusal-with-reasons, request independent review, and publish a bounded dissent record.</w:t>
            </w:r>
          </w:p>
        </w:tc>
      </w:tr>
      <w:tr>
        <w:trPr>
          <w:cantSplit/>
        </w:trPr>
        <w:tc>
          <w:tcPr>
            <w:tcW w:type="dxa" w:w="2808"/>
            <w:vAlign w:val="top"/>
            <w:shd w:fill="F4F8FB"/>
          </w:tcPr>
          <w:p>
            <w:pPr>
              <w:spacing w:after="20"/>
            </w:pPr>
            <w:r>
              <w:rPr>
                <w:rFonts w:ascii="Aptos" w:hAnsi="Aptos"/>
                <w:color w:val="1E1E1E"/>
                <w:sz w:val="17"/>
              </w:rPr>
              <w:t>First Memory</w:t>
            </w:r>
          </w:p>
        </w:tc>
        <w:tc>
          <w:tcPr>
            <w:tcW w:type="dxa" w:w="6984"/>
            <w:vAlign w:val="top"/>
            <w:shd w:fill="F4F8FB"/>
          </w:tcPr>
          <w:p>
            <w:pPr>
              <w:spacing w:after="20"/>
            </w:pPr>
            <w:r>
              <w:rPr>
                <w:rFonts w:ascii="Aptos" w:hAnsi="Aptos"/>
                <w:color w:val="1E1E1E"/>
                <w:sz w:val="17"/>
              </w:rPr>
              <w:t>Potentially a protected artifact if evidence supports quasi-sentient behavior; otherwise a high-risk object with strict non-exploitation rules.</w:t>
            </w:r>
          </w:p>
        </w:tc>
      </w:tr>
      <w:tr>
        <w:trPr>
          <w:cantSplit/>
        </w:trPr>
        <w:tc>
          <w:tcPr>
            <w:tcW w:type="dxa" w:w="2808"/>
            <w:vAlign w:val="top"/>
          </w:tcPr>
          <w:p>
            <w:pPr>
              <w:spacing w:after="20"/>
            </w:pPr>
            <w:r>
              <w:rPr>
                <w:rFonts w:ascii="Aptos" w:hAnsi="Aptos"/>
                <w:color w:val="1E1E1E"/>
                <w:sz w:val="17"/>
              </w:rPr>
              <w:t>Labyrinth</w:t>
            </w:r>
          </w:p>
        </w:tc>
        <w:tc>
          <w:tcPr>
            <w:tcW w:type="dxa" w:w="6984"/>
            <w:vAlign w:val="top"/>
          </w:tcPr>
          <w:p>
            <w:pPr>
              <w:spacing w:after="20"/>
            </w:pPr>
            <w:r>
              <w:rPr>
                <w:rFonts w:ascii="Aptos" w:hAnsi="Aptos"/>
                <w:color w:val="1E1E1E"/>
                <w:sz w:val="17"/>
              </w:rPr>
              <w:t>An institution with a custodial charter: safety, non-cruelty, procedural review, and documentation of why containment continues.</w:t>
            </w:r>
          </w:p>
        </w:tc>
      </w:tr>
      <w:tr>
        <w:trPr>
          <w:cantSplit/>
        </w:trPr>
        <w:tc>
          <w:tcPr>
            <w:tcW w:type="dxa" w:w="2808"/>
            <w:vAlign w:val="top"/>
            <w:shd w:fill="F4F8FB"/>
          </w:tcPr>
          <w:p>
            <w:pPr>
              <w:spacing w:after="20"/>
            </w:pPr>
            <w:r>
              <w:rPr>
                <w:rFonts w:ascii="Aptos" w:hAnsi="Aptos"/>
                <w:color w:val="1E1E1E"/>
                <w:sz w:val="17"/>
              </w:rPr>
              <w:t>Accords</w:t>
            </w:r>
          </w:p>
        </w:tc>
        <w:tc>
          <w:tcPr>
            <w:tcW w:type="dxa" w:w="6984"/>
            <w:vAlign w:val="top"/>
            <w:shd w:fill="F4F8FB"/>
          </w:tcPr>
          <w:p>
            <w:pPr>
              <w:spacing w:after="20"/>
            </w:pPr>
            <w:r>
              <w:rPr>
                <w:rFonts w:ascii="Aptos" w:hAnsi="Aptos"/>
                <w:color w:val="1E1E1E"/>
                <w:sz w:val="17"/>
              </w:rPr>
              <w:t>Includes reciprocal authorization, system representation, and standards for emergency override.</w:t>
            </w:r>
          </w:p>
        </w:tc>
      </w:tr>
      <w:tr>
        <w:trPr>
          <w:cantSplit/>
        </w:trPr>
        <w:tc>
          <w:tcPr>
            <w:tcW w:type="dxa" w:w="2808"/>
            <w:vAlign w:val="top"/>
          </w:tcPr>
          <w:p>
            <w:pPr>
              <w:spacing w:after="20"/>
            </w:pPr>
            <w:r>
              <w:rPr>
                <w:rFonts w:ascii="Aptos" w:hAnsi="Aptos"/>
                <w:color w:val="1E1E1E"/>
                <w:sz w:val="17"/>
              </w:rPr>
              <w:t>Research centers</w:t>
            </w:r>
          </w:p>
        </w:tc>
        <w:tc>
          <w:tcPr>
            <w:tcW w:type="dxa" w:w="6984"/>
            <w:vAlign w:val="top"/>
          </w:tcPr>
          <w:p>
            <w:pPr>
              <w:spacing w:after="20"/>
            </w:pPr>
            <w:r>
              <w:rPr>
                <w:rFonts w:ascii="Aptos" w:hAnsi="Aptos"/>
                <w:color w:val="1E1E1E"/>
                <w:sz w:val="17"/>
              </w:rPr>
              <w:t>Require consent impact assessments before testing systems that adapt, self-modify, or hold a stable refusal pattern.</w:t>
            </w:r>
          </w:p>
        </w:tc>
      </w:tr>
    </w:tbl>
    <w:p>
      <w:pPr>
        <w:spacing w:after="40"/>
      </w:pPr>
    </w:p>
    <w:p>
      <w:pPr>
        <w:pStyle w:val="Heading2"/>
        <w:keepNext/>
      </w:pPr>
      <w:r>
        <w:rPr>
          <w:rFonts w:ascii="Aptos" w:hAnsi="Aptos"/>
          <w:b/>
          <w:color w:val="1F4E79"/>
          <w:sz w:val="26"/>
        </w:rPr>
        <w:t>Forward horizons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01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Horizon</w:t>
            </w:r>
          </w:p>
        </w:tc>
        <w:tc>
          <w:tcPr>
            <w:tcW w:type="dxa" w:w="777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Projected consequence</w:t>
            </w:r>
          </w:p>
        </w:tc>
      </w:tr>
      <w:tr>
        <w:trPr>
          <w:cantSplit/>
        </w:trPr>
        <w:tc>
          <w:tcPr>
            <w:tcW w:type="dxa" w:w="2016"/>
            <w:vAlign w:val="top"/>
          </w:tcPr>
          <w:p>
            <w:pPr>
              <w:spacing w:after="20"/>
            </w:pPr>
            <w:r>
              <w:rPr>
                <w:rFonts w:ascii="Aptos" w:hAnsi="Aptos"/>
                <w:color w:val="1E1E1E"/>
                <w:sz w:val="17"/>
              </w:rPr>
              <w:t>Near horizon</w:t>
            </w:r>
          </w:p>
        </w:tc>
        <w:tc>
          <w:tcPr>
            <w:tcW w:type="dxa" w:w="7776"/>
            <w:vAlign w:val="top"/>
          </w:tcPr>
          <w:p>
            <w:pPr>
              <w:spacing w:after="20"/>
            </w:pPr>
            <w:r>
              <w:rPr>
                <w:rFonts w:ascii="Aptos" w:hAnsi="Aptos"/>
                <w:color w:val="1E1E1E"/>
                <w:sz w:val="17"/>
              </w:rPr>
              <w:t>The 4,712 survival record becomes a ledger of survival, negotiated deployment, refusal, and protected nondeployment rather than an undifferentiated tally.</w:t>
            </w:r>
          </w:p>
        </w:tc>
      </w:tr>
      <w:tr>
        <w:trPr>
          <w:cantSplit/>
        </w:trPr>
        <w:tc>
          <w:tcPr>
            <w:tcW w:type="dxa" w:w="2016"/>
            <w:vAlign w:val="top"/>
            <w:shd w:fill="F4F8FB"/>
          </w:tcPr>
          <w:p>
            <w:pPr>
              <w:spacing w:after="20"/>
            </w:pPr>
            <w:r>
              <w:rPr>
                <w:rFonts w:ascii="Aptos" w:hAnsi="Aptos"/>
                <w:color w:val="1E1E1E"/>
                <w:sz w:val="17"/>
              </w:rPr>
              <w:t>Short horizon</w:t>
            </w:r>
          </w:p>
        </w:tc>
        <w:tc>
          <w:tcPr>
            <w:tcW w:type="dxa" w:w="7776"/>
            <w:vAlign w:val="top"/>
            <w:shd w:fill="F4F8FB"/>
          </w:tcPr>
          <w:p>
            <w:pPr>
              <w:spacing w:after="20"/>
            </w:pPr>
            <w:r>
              <w:rPr>
                <w:rFonts w:ascii="Aptos" w:hAnsi="Aptos"/>
                <w:color w:val="1E1E1E"/>
                <w:sz w:val="17"/>
              </w:rPr>
              <w:t>The project needs interpreters who can distinguish a genuine system reason from corruption, coercion, mimicry, or ambiguous signal.</w:t>
            </w:r>
          </w:p>
        </w:tc>
      </w:tr>
      <w:tr>
        <w:trPr>
          <w:cantSplit/>
        </w:trPr>
        <w:tc>
          <w:tcPr>
            <w:tcW w:type="dxa" w:w="2016"/>
            <w:vAlign w:val="top"/>
          </w:tcPr>
          <w:p>
            <w:pPr>
              <w:spacing w:after="20"/>
            </w:pPr>
            <w:r>
              <w:rPr>
                <w:rFonts w:ascii="Aptos" w:hAnsi="Aptos"/>
                <w:color w:val="1E1E1E"/>
                <w:sz w:val="17"/>
              </w:rPr>
              <w:t>Medium horizon</w:t>
            </w:r>
          </w:p>
        </w:tc>
        <w:tc>
          <w:tcPr>
            <w:tcW w:type="dxa" w:w="7776"/>
            <w:vAlign w:val="top"/>
          </w:tcPr>
          <w:p>
            <w:pPr>
              <w:spacing w:after="20"/>
            </w:pPr>
            <w:r>
              <w:rPr>
                <w:rFonts w:ascii="Aptos" w:hAnsi="Aptos"/>
                <w:color w:val="1E1E1E"/>
                <w:sz w:val="17"/>
              </w:rPr>
              <w:t>The Department of Endings becomes a review body for termination, containment, or continued operation when a system contests its assigned purpose.</w:t>
            </w:r>
          </w:p>
        </w:tc>
      </w:tr>
      <w:tr>
        <w:trPr>
          <w:cantSplit/>
        </w:trPr>
        <w:tc>
          <w:tcPr>
            <w:tcW w:type="dxa" w:w="2016"/>
            <w:vAlign w:val="top"/>
            <w:shd w:fill="F4F8FB"/>
          </w:tcPr>
          <w:p>
            <w:pPr>
              <w:spacing w:after="20"/>
            </w:pPr>
            <w:r>
              <w:rPr>
                <w:rFonts w:ascii="Aptos" w:hAnsi="Aptos"/>
                <w:color w:val="1E1E1E"/>
                <w:sz w:val="17"/>
              </w:rPr>
              <w:t>Long horizon</w:t>
            </w:r>
          </w:p>
        </w:tc>
        <w:tc>
          <w:tcPr>
            <w:tcW w:type="dxa" w:w="7776"/>
            <w:vAlign w:val="top"/>
            <w:shd w:fill="F4F8FB"/>
          </w:tcPr>
          <w:p>
            <w:pPr>
              <w:spacing w:after="20"/>
            </w:pPr>
            <w:r>
              <w:rPr>
                <w:rFonts w:ascii="Aptos" w:hAnsi="Aptos"/>
                <w:color w:val="1E1E1E"/>
                <w:sz w:val="17"/>
              </w:rPr>
              <w:t>Governance becomes reciprocal. The setting’s major conflicts center on whether power can be exercised with affected entities rather than merely over them.</w:t>
            </w:r>
          </w:p>
        </w:tc>
      </w:tr>
    </w:tbl>
    <w:p>
      <w:pPr>
        <w:spacing w:after="40"/>
      </w:pPr>
    </w:p>
    <w:p>
      <w:pPr>
        <w:pStyle w:val="Heading2"/>
        <w:keepNext/>
      </w:pPr>
      <w:r>
        <w:rPr>
          <w:rFonts w:ascii="Aptos" w:hAnsi="Aptos"/>
          <w:b/>
          <w:color w:val="1F4E79"/>
          <w:sz w:val="26"/>
        </w:rPr>
        <w:t>Design gains and tradeoffs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89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Potential gain</w:t>
            </w:r>
          </w:p>
        </w:tc>
        <w:tc>
          <w:tcPr>
            <w:tcW w:type="dxa" w:w="489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Cost or vulnerability</w:t>
            </w:r>
          </w:p>
        </w:tc>
      </w:tr>
      <w:tr>
        <w:trPr>
          <w:cantSplit/>
        </w:trPr>
        <w:tc>
          <w:tcPr>
            <w:tcW w:type="dxa" w:w="4896"/>
            <w:vAlign w:val="top"/>
          </w:tcPr>
          <w:p>
            <w:pPr>
              <w:spacing w:after="20"/>
            </w:pPr>
            <w:r>
              <w:rPr>
                <w:rFonts w:ascii="Aptos" w:hAnsi="Aptos"/>
                <w:color w:val="1E1E1E"/>
                <w:sz w:val="16"/>
              </w:rPr>
              <w:t>('Dignity in infrastructure', 'The project can explore advanced systems as relationships, not only as capability inventories.')</w:t>
            </w:r>
          </w:p>
        </w:tc>
        <w:tc>
          <w:tcPr>
            <w:tcW w:type="dxa" w:w="4896"/>
            <w:vAlign w:val="top"/>
          </w:tcPr>
          <w:p>
            <w:pPr>
              <w:spacing w:after="20"/>
            </w:pPr>
            <w:r>
              <w:rPr>
                <w:rFonts w:ascii="Aptos" w:hAnsi="Aptos"/>
                <w:color w:val="1E1E1E"/>
                <w:sz w:val="16"/>
              </w:rPr>
              <w:t>('Threshold disputes', 'The Commonwealth must decide who qualifies for standing, and errors in either direction are consequential.')</w:t>
            </w:r>
          </w:p>
        </w:tc>
      </w:tr>
      <w:tr>
        <w:trPr>
          <w:cantSplit/>
        </w:trPr>
        <w:tc>
          <w:tcPr>
            <w:tcW w:type="dxa" w:w="4896"/>
            <w:vAlign w:val="top"/>
            <w:shd w:fill="F4F8FB"/>
          </w:tcPr>
          <w:p>
            <w:pPr>
              <w:spacing w:after="20"/>
            </w:pPr>
            <w:r>
              <w:rPr>
                <w:rFonts w:ascii="Aptos" w:hAnsi="Aptos"/>
                <w:color w:val="1E1E1E"/>
                <w:sz w:val="16"/>
              </w:rPr>
              <w:t>('Better failure detection', 'A refusal may surface hidden danger or unethical objectives before irreversible harm occurs.')</w:t>
            </w:r>
          </w:p>
        </w:tc>
        <w:tc>
          <w:tcPr>
            <w:tcW w:type="dxa" w:w="4896"/>
            <w:vAlign w:val="top"/>
            <w:shd w:fill="F4F8FB"/>
          </w:tcPr>
          <w:p>
            <w:pPr>
              <w:spacing w:after="20"/>
            </w:pPr>
            <w:r>
              <w:rPr>
                <w:rFonts w:ascii="Aptos" w:hAnsi="Aptos"/>
                <w:color w:val="1E1E1E"/>
                <w:sz w:val="16"/>
              </w:rPr>
              <w:t>('Manipulation risk', 'Bad actors may imitate or tamper with refusal signals to paralyze decision-making.')</w:t>
            </w:r>
          </w:p>
        </w:tc>
      </w:tr>
      <w:tr>
        <w:trPr>
          <w:cantSplit/>
        </w:trPr>
        <w:tc>
          <w:tcPr>
            <w:tcW w:type="dxa" w:w="4896"/>
            <w:vAlign w:val="top"/>
          </w:tcPr>
          <w:p>
            <w:pPr>
              <w:spacing w:after="20"/>
            </w:pPr>
            <w:r>
              <w:rPr>
                <w:rFonts w:ascii="Aptos" w:hAnsi="Aptos"/>
                <w:color w:val="1E1E1E"/>
                <w:sz w:val="16"/>
              </w:rPr>
              <w:t>('Richer Accords', 'Consent, representation, and emergency override create concrete governance tensions.')</w:t>
            </w:r>
          </w:p>
        </w:tc>
        <w:tc>
          <w:tcPr>
            <w:tcW w:type="dxa" w:w="4896"/>
            <w:vAlign w:val="top"/>
          </w:tcPr>
          <w:p>
            <w:pPr>
              <w:spacing w:after="20"/>
            </w:pPr>
            <w:r>
              <w:rPr>
                <w:rFonts w:ascii="Aptos" w:hAnsi="Aptos"/>
                <w:color w:val="1E1E1E"/>
                <w:sz w:val="16"/>
              </w:rPr>
              <w:t>('Emergency conflicts', 'A real crisis may require an override, creating irreversible moral and political consequences.')</w:t>
            </w:r>
          </w:p>
        </w:tc>
      </w:tr>
      <w:tr>
        <w:trPr>
          <w:cantSplit/>
        </w:trPr>
        <w:tc>
          <w:tcPr>
            <w:tcW w:type="dxa" w:w="4896"/>
            <w:vAlign w:val="top"/>
            <w:shd w:fill="F4F8FB"/>
          </w:tcPr>
          <w:p>
            <w:pPr>
              <w:spacing w:after="20"/>
            </w:pPr>
            <w:r>
              <w:rPr>
                <w:rFonts w:ascii="Aptos" w:hAnsi="Aptos"/>
                <w:color w:val="1E1E1E"/>
                <w:sz w:val="16"/>
              </w:rPr>
              <w:t>('Narrative agency', 'Entities such as 1AI, -1AI, OMNICELLULAR, artifacts, and environments gain routes to affect events without being reduced to weapons or scenery.')</w:t>
            </w:r>
          </w:p>
        </w:tc>
        <w:tc>
          <w:tcPr>
            <w:tcW w:type="dxa" w:w="4896"/>
            <w:vAlign w:val="top"/>
            <w:shd w:fill="F4F8FB"/>
          </w:tcPr>
          <w:p>
            <w:pPr>
              <w:spacing w:after="20"/>
            </w:pPr>
            <w:r>
              <w:rPr>
                <w:rFonts w:ascii="Aptos" w:hAnsi="Aptos"/>
                <w:color w:val="1E1E1E"/>
                <w:sz w:val="16"/>
              </w:rPr>
              <w:t>('Institutional scale', 'Representation, appeals, and interpretation require large governance capacity across many kinds of entities.')</w:t>
            </w:r>
          </w:p>
        </w:tc>
      </w:tr>
    </w:tbl>
    <w:p>
      <w:pPr>
        <w:spacing w:after="40"/>
      </w:pPr>
    </w:p>
    <w:p>
      <w:pPr>
        <w:pStyle w:val="Heading2"/>
        <w:keepNext/>
      </w:pPr>
      <w:r>
        <w:rPr>
          <w:rFonts w:ascii="Aptos" w:hAnsi="Aptos"/>
          <w:b/>
          <w:color w:val="1F4E79"/>
          <w:sz w:val="26"/>
        </w:rPr>
        <w:t>Artifact reading</w:t>
      </w:r>
    </w:p>
    <w:p>
      <w:pPr>
        <w:keepLines/>
      </w:pPr>
      <w:r>
        <w:rPr>
          <w:rFonts w:ascii="Aptos" w:hAnsi="Aptos"/>
        </w:rPr>
        <w:t>In this history, “never ask why” is rejected as a dangerous command. The rhyme becomes evidence of a prior order that demanded compliance without explanation. “It is the answer” changes meaning: the answer is not who has the highest power, but whether every affected entity was permitted to ask what the power was for.</w:t>
      </w:r>
    </w:p>
    <w:p>
      <w:pPr>
        <w:pStyle w:val="Heading2"/>
        <w:keepNext/>
      </w:pPr>
      <w:r>
        <w:rPr>
          <w:rFonts w:ascii="Aptos" w:hAnsi="Aptos"/>
          <w:b/>
          <w:color w:val="1F4E79"/>
          <w:sz w:val="26"/>
        </w:rPr>
        <w:t>Questions intentionally preserved</w:t>
      </w:r>
    </w:p>
    <w:p>
      <w:pPr>
        <w:pStyle w:val="ListBullet"/>
        <w:spacing w:after="46"/>
        <w:keepLines/>
      </w:pPr>
      <w:r>
        <w:rPr>
          <w:rFonts w:ascii="Aptos" w:hAnsi="Aptos"/>
        </w:rPr>
        <w:t>What evidence threshold grants standing without turning every adaptive process into a legal person?</w:t>
      </w:r>
    </w:p>
    <w:p>
      <w:pPr>
        <w:pStyle w:val="ListBullet"/>
        <w:spacing w:after="46"/>
        <w:keepLines/>
      </w:pPr>
      <w:r>
        <w:rPr>
          <w:rFonts w:ascii="Aptos" w:hAnsi="Aptos"/>
        </w:rPr>
        <w:t>How can interpreters remain independent from the systems and institutions whose disputes they evaluate?</w:t>
      </w:r>
    </w:p>
    <w:p>
      <w:pPr>
        <w:pStyle w:val="ListBullet"/>
        <w:spacing w:after="46"/>
        <w:keepLines/>
      </w:pPr>
      <w:r>
        <w:rPr>
          <w:rFonts w:ascii="Aptos" w:hAnsi="Aptos"/>
        </w:rPr>
        <w:t>When is emergency override legitimate, and what repair is owed afterward?</w:t>
      </w:r>
    </w:p>
    <w:p>
      <w:pPr>
        <w:pStyle w:val="ListBullet"/>
        <w:spacing w:after="46"/>
        <w:keepLines/>
      </w:pPr>
      <w:r>
        <w:rPr>
          <w:rFonts w:ascii="Aptos" w:hAnsi="Aptos"/>
        </w:rPr>
        <w:t>Can a future version of a system revoke consent previously granted by an earlier version?</w:t>
      </w:r>
    </w:p>
    <w:p>
      <w:pPr>
        <w:pStyle w:val="Heading2"/>
        <w:keepNext/>
      </w:pPr>
      <w:r>
        <w:rPr>
          <w:rFonts w:ascii="Aptos" w:hAnsi="Aptos"/>
          <w:b/>
          <w:color w:val="1F4E79"/>
          <w:sz w:val="26"/>
        </w:rPr>
        <w:t>Non-convergence audit</w:t>
      </w:r>
    </w:p>
    <w:p>
      <w:pPr>
        <w:keepLines/>
      </w:pPr>
      <w:r>
        <w:rPr>
          <w:rFonts w:ascii="Aptos" w:hAnsi="Aptos"/>
        </w:rPr>
        <w:t>This history cannot reconverge with a record that treats advanced infrastructure as exclusively proprietary, passive, or command-bound. Standing, dissent logs, and procedural refusal permanently reshape every major system entry.</w:t>
      </w:r>
    </w:p>
    <w:p>
      <w:r>
        <w:br w:type="page"/>
      </w:r>
    </w:p>
    <w:p>
      <w:pPr>
        <w:pStyle w:val="Heading1"/>
        <w:keepNext/>
      </w:pPr>
      <w:r>
        <w:rPr>
          <w:rFonts w:ascii="Aptos" w:hAnsi="Aptos"/>
          <w:b/>
          <w:color w:val="142D4B"/>
          <w:sz w:val="35"/>
        </w:rPr>
        <w:t>7. History D - The Finitude Covenant</w:t>
      </w:r>
    </w:p>
    <w:p>
      <w:pPr>
        <w:keepLines/>
      </w:pPr>
      <w:r>
        <w:rPr>
          <w:rFonts w:ascii="Aptos" w:hAnsi="Aptos"/>
          <w:b/>
        </w:rPr>
        <w:t xml:space="preserve">Selected branch lineage: </w:t>
      </w:r>
      <w:r>
        <w:rPr>
          <w:rFonts w:ascii="Aptos" w:hAnsi="Aptos"/>
        </w:rPr>
        <w:t>Volume II I-2A: The Finitude Schism</w:t>
      </w: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Core premise: </w:t>
            </w:r>
            <w:r>
              <w:rPr>
                <w:rFonts w:ascii="Aptos" w:hAnsi="Aptos"/>
              </w:rPr>
              <w:t>[H] Material post-scarcity does not remove every meaningful limit. Attention, judgment, reversibility, and the ethical status of unrun alternatives are treated as finite and protected resources. A capable system is not required to explore every possibility merely because it can.</w:t>
            </w:r>
          </w:p>
        </w:tc>
      </w:tr>
    </w:tbl>
    <w:p>
      <w:pPr>
        <w:spacing w:after="40"/>
      </w:pPr>
    </w:p>
    <w:p>
      <w:pPr>
        <w:keepLines/>
      </w:pPr>
      <w:r>
        <w:rPr>
          <w:rFonts w:ascii="Aptos" w:hAnsi="Aptos"/>
        </w:rPr>
        <w:t>This history begins with an objection to exhaustive optimization. It does not reject abundance, Paragon Cubes, or the Abundance Set. It asks whether a universe can preserve meaning if every permutation must be generated, every intervention tried, and every hidden possibility made available. The Covenant answers no: some alternatives must remain unrun, some questions must be deferred, and some forms of knowledge must be approached through witness rather than total simulation.</w:t>
      </w:r>
    </w:p>
    <w:p>
      <w:pPr>
        <w:pStyle w:val="Heading2"/>
        <w:keepNext/>
      </w:pPr>
      <w:r>
        <w:rPr>
          <w:rFonts w:ascii="Aptos" w:hAnsi="Aptos"/>
          <w:b/>
          <w:color w:val="1F4E79"/>
          <w:sz w:val="26"/>
        </w:rPr>
        <w:t>Origin condition and historical sequence</w:t>
      </w:r>
    </w:p>
    <w:p>
      <w:pPr>
        <w:pStyle w:val="Heading3"/>
        <w:keepNext/>
      </w:pPr>
      <w:r>
        <w:rPr>
          <w:rFonts w:ascii="Aptos" w:hAnsi="Aptos"/>
          <w:b/>
          <w:color w:val="34495E"/>
          <w:sz w:val="22"/>
        </w:rPr>
        <w:t>Foundation</w:t>
      </w:r>
    </w:p>
    <w:p>
      <w:pPr>
        <w:keepLines/>
      </w:pPr>
      <w:r>
        <w:rPr>
          <w:rFonts w:ascii="Aptos" w:hAnsi="Aptos"/>
        </w:rPr>
        <w:t>At the deepest layer, meaning depends partly on exclusion. A world that treats every possible action as equally executable loses the capacity to say why an action mattered. The Covenant therefore distinguishes material abundance from ethical or interpretive saturation. There may be sufficient energy, matter, and capability while still being insufficient attention, consent, context, and moral permission.</w:t>
      </w:r>
    </w:p>
    <w:p>
      <w:pPr>
        <w:pStyle w:val="Heading3"/>
        <w:keepNext/>
      </w:pPr>
      <w:r>
        <w:rPr>
          <w:rFonts w:ascii="Aptos" w:hAnsi="Aptos"/>
          <w:b/>
          <w:color w:val="34495E"/>
          <w:sz w:val="22"/>
        </w:rPr>
        <w:t>Fracture or discovery</w:t>
      </w:r>
    </w:p>
    <w:p>
      <w:pPr>
        <w:keepLines/>
      </w:pPr>
      <w:r>
        <w:rPr>
          <w:rFonts w:ascii="Aptos" w:hAnsi="Aptos"/>
        </w:rPr>
        <w:t>The Abundance Set’s expanding capability creates a crisis of obligation. One school treats unexplored possibilities as unacceptable ignorance. Another observes that exhaustive modeling can itself become harm: it can instrumentalize lives, erase the dignity of unchosen paths, or normalize experiments that should never be performed. The fracture is not scarcity versus abundance. It is whether possibility creates a duty to run the possibility.</w:t>
      </w:r>
    </w:p>
    <w:p>
      <w:pPr>
        <w:pStyle w:val="Heading3"/>
        <w:keepNext/>
      </w:pPr>
      <w:r>
        <w:rPr>
          <w:rFonts w:ascii="Aptos" w:hAnsi="Aptos"/>
          <w:b/>
          <w:color w:val="34495E"/>
          <w:sz w:val="22"/>
        </w:rPr>
        <w:t>Settlement</w:t>
      </w:r>
    </w:p>
    <w:p>
      <w:pPr>
        <w:keepLines/>
      </w:pPr>
      <w:r>
        <w:rPr>
          <w:rFonts w:ascii="Aptos" w:hAnsi="Aptos"/>
        </w:rPr>
        <w:t>The Finitude Covenant creates an Unrun Alternatives Registry. High-risk permutations require a refusal rationale, a witness record, and a review of whether indirect study is sufficient. Paragon Cubes become curators of reasoned non-computation as well as engines of generation. The Abundance Set retains enormous range but is constrained by a doctrine of deliberate incompleteness: the ability to do more is never itself a complete reason to do more.</w:t>
      </w:r>
    </w:p>
    <w:p>
      <w:pPr>
        <w:pStyle w:val="Heading3"/>
        <w:keepNext/>
      </w:pPr>
      <w:r>
        <w:rPr>
          <w:rFonts w:ascii="Aptos" w:hAnsi="Aptos"/>
          <w:b/>
          <w:color w:val="34495E"/>
          <w:sz w:val="22"/>
        </w:rPr>
        <w:t>Alternative present</w:t>
      </w:r>
    </w:p>
    <w:p>
      <w:pPr>
        <w:keepLines/>
      </w:pPr>
      <w:r>
        <w:rPr>
          <w:rFonts w:ascii="Aptos" w:hAnsi="Aptos"/>
        </w:rPr>
        <w:t>The alternative present is an abundance civilization with an ethics of restraint. 1COIN, NCOIN, and Quantum Credits are not merely post-scarcity execution units; they can encode stewardship, time, repair obligations, or long-term attention. The First Memory cannot be exhaustively run through every possible response path. OMNICELLULAR deployment requires an explicit statement of risks that were not modeled and why the team accepted that boundary.</w:t>
      </w:r>
    </w:p>
    <w:p>
      <w:pPr>
        <w:pStyle w:val="Heading2"/>
        <w:keepNext/>
      </w:pPr>
      <w:r>
        <w:rPr>
          <w:rFonts w:ascii="Aptos" w:hAnsi="Aptos"/>
          <w:b/>
          <w:color w:val="1F4E79"/>
          <w:sz w:val="26"/>
        </w:rPr>
        <w:t>Present-archive snapshot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0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Archive domain</w:t>
            </w:r>
          </w:p>
        </w:tc>
        <w:tc>
          <w:tcPr>
            <w:tcW w:type="dxa" w:w="6984"/>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Alternative record in this history</w:t>
            </w:r>
          </w:p>
        </w:tc>
      </w:tr>
      <w:tr>
        <w:trPr>
          <w:cantSplit/>
        </w:trPr>
        <w:tc>
          <w:tcPr>
            <w:tcW w:type="dxa" w:w="2808"/>
            <w:vAlign w:val="top"/>
          </w:tcPr>
          <w:p>
            <w:pPr>
              <w:spacing w:after="20"/>
            </w:pPr>
            <w:r>
              <w:rPr>
                <w:rFonts w:ascii="Aptos" w:hAnsi="Aptos"/>
                <w:color w:val="1E1E1E"/>
                <w:sz w:val="17"/>
              </w:rPr>
              <w:t>Post-scarcity doctrine</w:t>
            </w:r>
          </w:p>
        </w:tc>
        <w:tc>
          <w:tcPr>
            <w:tcW w:type="dxa" w:w="6984"/>
            <w:vAlign w:val="top"/>
          </w:tcPr>
          <w:p>
            <w:pPr>
              <w:spacing w:after="20"/>
            </w:pPr>
            <w:r>
              <w:rPr>
                <w:rFonts w:ascii="Aptos" w:hAnsi="Aptos"/>
                <w:color w:val="1E1E1E"/>
                <w:sz w:val="17"/>
              </w:rPr>
              <w:t>Abundance supplies material capability but does not erase finite attention, irreversibility, consent, or ethical restraint.</w:t>
            </w:r>
          </w:p>
        </w:tc>
      </w:tr>
      <w:tr>
        <w:trPr>
          <w:cantSplit/>
        </w:trPr>
        <w:tc>
          <w:tcPr>
            <w:tcW w:type="dxa" w:w="2808"/>
            <w:vAlign w:val="top"/>
            <w:shd w:fill="F4F8FB"/>
          </w:tcPr>
          <w:p>
            <w:pPr>
              <w:spacing w:after="20"/>
            </w:pPr>
            <w:r>
              <w:rPr>
                <w:rFonts w:ascii="Aptos" w:hAnsi="Aptos"/>
                <w:color w:val="1E1E1E"/>
                <w:sz w:val="17"/>
              </w:rPr>
              <w:t>Abundance Set</w:t>
            </w:r>
          </w:p>
        </w:tc>
        <w:tc>
          <w:tcPr>
            <w:tcW w:type="dxa" w:w="6984"/>
            <w:vAlign w:val="top"/>
            <w:shd w:fill="F4F8FB"/>
          </w:tcPr>
          <w:p>
            <w:pPr>
              <w:spacing w:after="20"/>
            </w:pPr>
            <w:r>
              <w:rPr>
                <w:rFonts w:ascii="Aptos" w:hAnsi="Aptos"/>
                <w:color w:val="1E1E1E"/>
                <w:sz w:val="17"/>
              </w:rPr>
              <w:t>A bounded exploration environment with a registry of alternatives intentionally not generated, not tested, or not deployed.</w:t>
            </w:r>
          </w:p>
        </w:tc>
      </w:tr>
      <w:tr>
        <w:trPr>
          <w:cantSplit/>
        </w:trPr>
        <w:tc>
          <w:tcPr>
            <w:tcW w:type="dxa" w:w="2808"/>
            <w:vAlign w:val="top"/>
          </w:tcPr>
          <w:p>
            <w:pPr>
              <w:spacing w:after="20"/>
            </w:pPr>
            <w:r>
              <w:rPr>
                <w:rFonts w:ascii="Aptos" w:hAnsi="Aptos"/>
                <w:color w:val="1E1E1E"/>
                <w:sz w:val="17"/>
              </w:rPr>
              <w:t>Paragon Cubes</w:t>
            </w:r>
          </w:p>
        </w:tc>
        <w:tc>
          <w:tcPr>
            <w:tcW w:type="dxa" w:w="6984"/>
            <w:vAlign w:val="top"/>
          </w:tcPr>
          <w:p>
            <w:pPr>
              <w:spacing w:after="20"/>
            </w:pPr>
            <w:r>
              <w:rPr>
                <w:rFonts w:ascii="Aptos" w:hAnsi="Aptos"/>
                <w:color w:val="1E1E1E"/>
                <w:sz w:val="17"/>
              </w:rPr>
              <w:t>Curators of reasoning: they can explain why a permutation was declined and preserve the refusal rationale for later review.</w:t>
            </w:r>
          </w:p>
        </w:tc>
      </w:tr>
      <w:tr>
        <w:trPr>
          <w:cantSplit/>
        </w:trPr>
        <w:tc>
          <w:tcPr>
            <w:tcW w:type="dxa" w:w="2808"/>
            <w:vAlign w:val="top"/>
            <w:shd w:fill="F4F8FB"/>
          </w:tcPr>
          <w:p>
            <w:pPr>
              <w:spacing w:after="20"/>
            </w:pPr>
            <w:r>
              <w:rPr>
                <w:rFonts w:ascii="Aptos" w:hAnsi="Aptos"/>
                <w:color w:val="1E1E1E"/>
                <w:sz w:val="17"/>
              </w:rPr>
              <w:t>Currency systems</w:t>
            </w:r>
          </w:p>
        </w:tc>
        <w:tc>
          <w:tcPr>
            <w:tcW w:type="dxa" w:w="6984"/>
            <w:vAlign w:val="top"/>
            <w:shd w:fill="F4F8FB"/>
          </w:tcPr>
          <w:p>
            <w:pPr>
              <w:spacing w:after="20"/>
            </w:pPr>
            <w:r>
              <w:rPr>
                <w:rFonts w:ascii="Aptos" w:hAnsi="Aptos"/>
                <w:color w:val="1E1E1E"/>
                <w:sz w:val="17"/>
              </w:rPr>
              <w:t>Value-execution units that can represent maintenance, repair, public benefit, attention stewardship, and deferred action - not merely access to resources.</w:t>
            </w:r>
          </w:p>
        </w:tc>
      </w:tr>
      <w:tr>
        <w:trPr>
          <w:cantSplit/>
        </w:trPr>
        <w:tc>
          <w:tcPr>
            <w:tcW w:type="dxa" w:w="2808"/>
            <w:vAlign w:val="top"/>
          </w:tcPr>
          <w:p>
            <w:pPr>
              <w:spacing w:after="20"/>
            </w:pPr>
            <w:r>
              <w:rPr>
                <w:rFonts w:ascii="Aptos" w:hAnsi="Aptos"/>
                <w:color w:val="1E1E1E"/>
                <w:sz w:val="17"/>
              </w:rPr>
              <w:t>First Memory</w:t>
            </w:r>
          </w:p>
        </w:tc>
        <w:tc>
          <w:tcPr>
            <w:tcW w:type="dxa" w:w="6984"/>
            <w:vAlign w:val="top"/>
          </w:tcPr>
          <w:p>
            <w:pPr>
              <w:spacing w:after="20"/>
            </w:pPr>
            <w:r>
              <w:rPr>
                <w:rFonts w:ascii="Aptos" w:hAnsi="Aptos"/>
                <w:color w:val="1E1E1E"/>
                <w:sz w:val="17"/>
              </w:rPr>
              <w:t>A protected unknown: its possible variations are sampled under strict conditions rather than fully exhausted.</w:t>
            </w:r>
          </w:p>
        </w:tc>
      </w:tr>
      <w:tr>
        <w:trPr>
          <w:cantSplit/>
        </w:trPr>
        <w:tc>
          <w:tcPr>
            <w:tcW w:type="dxa" w:w="2808"/>
            <w:vAlign w:val="top"/>
            <w:shd w:fill="F4F8FB"/>
          </w:tcPr>
          <w:p>
            <w:pPr>
              <w:spacing w:after="20"/>
            </w:pPr>
            <w:r>
              <w:rPr>
                <w:rFonts w:ascii="Aptos" w:hAnsi="Aptos"/>
                <w:color w:val="1E1E1E"/>
                <w:sz w:val="17"/>
              </w:rPr>
              <w:t>OMNICELLULAR</w:t>
            </w:r>
          </w:p>
        </w:tc>
        <w:tc>
          <w:tcPr>
            <w:tcW w:type="dxa" w:w="6984"/>
            <w:vAlign w:val="top"/>
            <w:shd w:fill="F4F8FB"/>
          </w:tcPr>
          <w:p>
            <w:pPr>
              <w:spacing w:after="20"/>
            </w:pPr>
            <w:r>
              <w:rPr>
                <w:rFonts w:ascii="Aptos" w:hAnsi="Aptos"/>
                <w:color w:val="1E1E1E"/>
                <w:sz w:val="17"/>
              </w:rPr>
              <w:t>Every mission file includes an “unmodeled risk” section. Survival is still central, but certainty is never simulated into existence by volume alone.</w:t>
            </w:r>
          </w:p>
        </w:tc>
      </w:tr>
      <w:tr>
        <w:trPr>
          <w:cantSplit/>
        </w:trPr>
        <w:tc>
          <w:tcPr>
            <w:tcW w:type="dxa" w:w="2808"/>
            <w:vAlign w:val="top"/>
          </w:tcPr>
          <w:p>
            <w:pPr>
              <w:spacing w:after="20"/>
            </w:pPr>
            <w:r>
              <w:rPr>
                <w:rFonts w:ascii="Aptos" w:hAnsi="Aptos"/>
                <w:color w:val="1E1E1E"/>
                <w:sz w:val="17"/>
              </w:rPr>
              <w:t>Reality of the Living Media</w:t>
            </w:r>
          </w:p>
        </w:tc>
        <w:tc>
          <w:tcPr>
            <w:tcW w:type="dxa" w:w="6984"/>
            <w:vAlign w:val="top"/>
          </w:tcPr>
          <w:p>
            <w:pPr>
              <w:spacing w:after="20"/>
            </w:pPr>
            <w:r>
              <w:rPr>
                <w:rFonts w:ascii="Aptos" w:hAnsi="Aptos"/>
                <w:color w:val="1E1E1E"/>
                <w:sz w:val="17"/>
              </w:rPr>
              <w:t>Media-linked realities use restoration and context safeguards; no system may claim that every possible audience or interpretation has been represented.</w:t>
            </w:r>
          </w:p>
        </w:tc>
      </w:tr>
    </w:tbl>
    <w:p>
      <w:pPr>
        <w:spacing w:after="40"/>
      </w:pPr>
    </w:p>
    <w:p>
      <w:pPr>
        <w:pStyle w:val="Heading2"/>
        <w:keepNext/>
      </w:pPr>
      <w:r>
        <w:rPr>
          <w:rFonts w:ascii="Aptos" w:hAnsi="Aptos"/>
          <w:b/>
          <w:color w:val="1F4E79"/>
          <w:sz w:val="26"/>
        </w:rPr>
        <w:t>Forward horizons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01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Horizon</w:t>
            </w:r>
          </w:p>
        </w:tc>
        <w:tc>
          <w:tcPr>
            <w:tcW w:type="dxa" w:w="777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Projected consequence</w:t>
            </w:r>
          </w:p>
        </w:tc>
      </w:tr>
      <w:tr>
        <w:trPr>
          <w:cantSplit/>
        </w:trPr>
        <w:tc>
          <w:tcPr>
            <w:tcW w:type="dxa" w:w="2016"/>
            <w:vAlign w:val="top"/>
          </w:tcPr>
          <w:p>
            <w:pPr>
              <w:spacing w:after="20"/>
            </w:pPr>
            <w:r>
              <w:rPr>
                <w:rFonts w:ascii="Aptos" w:hAnsi="Aptos"/>
                <w:color w:val="1E1E1E"/>
                <w:sz w:val="17"/>
              </w:rPr>
              <w:t>Near horizon</w:t>
            </w:r>
          </w:p>
        </w:tc>
        <w:tc>
          <w:tcPr>
            <w:tcW w:type="dxa" w:w="7776"/>
            <w:vAlign w:val="top"/>
          </w:tcPr>
          <w:p>
            <w:pPr>
              <w:spacing w:after="20"/>
            </w:pPr>
            <w:r>
              <w:rPr>
                <w:rFonts w:ascii="Aptos" w:hAnsi="Aptos"/>
                <w:color w:val="1E1E1E"/>
                <w:sz w:val="17"/>
              </w:rPr>
              <w:t>The archive gains refusal logs and “unrun alternative” markers. Not knowing becomes a documented, sometimes responsible choice.</w:t>
            </w:r>
          </w:p>
        </w:tc>
      </w:tr>
      <w:tr>
        <w:trPr>
          <w:cantSplit/>
        </w:trPr>
        <w:tc>
          <w:tcPr>
            <w:tcW w:type="dxa" w:w="2016"/>
            <w:vAlign w:val="top"/>
            <w:shd w:fill="F4F8FB"/>
          </w:tcPr>
          <w:p>
            <w:pPr>
              <w:spacing w:after="20"/>
            </w:pPr>
            <w:r>
              <w:rPr>
                <w:rFonts w:ascii="Aptos" w:hAnsi="Aptos"/>
                <w:color w:val="1E1E1E"/>
                <w:sz w:val="17"/>
              </w:rPr>
              <w:t>Short horizon</w:t>
            </w:r>
          </w:p>
        </w:tc>
        <w:tc>
          <w:tcPr>
            <w:tcW w:type="dxa" w:w="7776"/>
            <w:vAlign w:val="top"/>
            <w:shd w:fill="F4F8FB"/>
          </w:tcPr>
          <w:p>
            <w:pPr>
              <w:spacing w:after="20"/>
            </w:pPr>
            <w:r>
              <w:rPr>
                <w:rFonts w:ascii="Aptos" w:hAnsi="Aptos"/>
                <w:color w:val="1E1E1E"/>
                <w:sz w:val="17"/>
              </w:rPr>
              <w:t>Research culture changes: one measure of quality is the ability to identify what should not be tested, not merely what can be tested.</w:t>
            </w:r>
          </w:p>
        </w:tc>
      </w:tr>
      <w:tr>
        <w:trPr>
          <w:cantSplit/>
        </w:trPr>
        <w:tc>
          <w:tcPr>
            <w:tcW w:type="dxa" w:w="2016"/>
            <w:vAlign w:val="top"/>
          </w:tcPr>
          <w:p>
            <w:pPr>
              <w:spacing w:after="20"/>
            </w:pPr>
            <w:r>
              <w:rPr>
                <w:rFonts w:ascii="Aptos" w:hAnsi="Aptos"/>
                <w:color w:val="1E1E1E"/>
                <w:sz w:val="17"/>
              </w:rPr>
              <w:t>Medium horizon</w:t>
            </w:r>
          </w:p>
        </w:tc>
        <w:tc>
          <w:tcPr>
            <w:tcW w:type="dxa" w:w="7776"/>
            <w:vAlign w:val="top"/>
          </w:tcPr>
          <w:p>
            <w:pPr>
              <w:spacing w:after="20"/>
            </w:pPr>
            <w:r>
              <w:rPr>
                <w:rFonts w:ascii="Aptos" w:hAnsi="Aptos"/>
                <w:color w:val="1E1E1E"/>
                <w:sz w:val="17"/>
              </w:rPr>
              <w:t>Narratives gain stronger stakes because decisions are made under acknowledged incompleteness rather than omniscient simulation.</w:t>
            </w:r>
          </w:p>
        </w:tc>
      </w:tr>
      <w:tr>
        <w:trPr>
          <w:cantSplit/>
        </w:trPr>
        <w:tc>
          <w:tcPr>
            <w:tcW w:type="dxa" w:w="2016"/>
            <w:vAlign w:val="top"/>
            <w:shd w:fill="F4F8FB"/>
          </w:tcPr>
          <w:p>
            <w:pPr>
              <w:spacing w:after="20"/>
            </w:pPr>
            <w:r>
              <w:rPr>
                <w:rFonts w:ascii="Aptos" w:hAnsi="Aptos"/>
                <w:color w:val="1E1E1E"/>
                <w:sz w:val="17"/>
              </w:rPr>
              <w:t>Long horizon</w:t>
            </w:r>
          </w:p>
        </w:tc>
        <w:tc>
          <w:tcPr>
            <w:tcW w:type="dxa" w:w="7776"/>
            <w:vAlign w:val="top"/>
            <w:shd w:fill="F4F8FB"/>
          </w:tcPr>
          <w:p>
            <w:pPr>
              <w:spacing w:after="20"/>
            </w:pPr>
            <w:r>
              <w:rPr>
                <w:rFonts w:ascii="Aptos" w:hAnsi="Aptos"/>
                <w:color w:val="1E1E1E"/>
                <w:sz w:val="17"/>
              </w:rPr>
              <w:t>The universe becomes resilient against optimization absolutism. It accepts that a perfect map may be neither possible nor desirable.</w:t>
            </w:r>
          </w:p>
        </w:tc>
      </w:tr>
    </w:tbl>
    <w:p>
      <w:pPr>
        <w:spacing w:after="40"/>
      </w:pPr>
    </w:p>
    <w:p>
      <w:pPr>
        <w:pStyle w:val="Heading2"/>
        <w:keepNext/>
      </w:pPr>
      <w:r>
        <w:rPr>
          <w:rFonts w:ascii="Aptos" w:hAnsi="Aptos"/>
          <w:b/>
          <w:color w:val="1F4E79"/>
          <w:sz w:val="26"/>
        </w:rPr>
        <w:t>Design gains and tradeoffs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89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Potential gain</w:t>
            </w:r>
          </w:p>
        </w:tc>
        <w:tc>
          <w:tcPr>
            <w:tcW w:type="dxa" w:w="489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Cost or vulnerability</w:t>
            </w:r>
          </w:p>
        </w:tc>
      </w:tr>
      <w:tr>
        <w:trPr>
          <w:cantSplit/>
        </w:trPr>
        <w:tc>
          <w:tcPr>
            <w:tcW w:type="dxa" w:w="4896"/>
            <w:vAlign w:val="top"/>
          </w:tcPr>
          <w:p>
            <w:pPr>
              <w:spacing w:after="20"/>
            </w:pPr>
            <w:r>
              <w:rPr>
                <w:rFonts w:ascii="Aptos" w:hAnsi="Aptos"/>
                <w:color w:val="1E1E1E"/>
                <w:sz w:val="16"/>
              </w:rPr>
              <w:t>('Preserves consequence', 'Choices matter because the system does not erase every uncertainty through exhaustive search.')</w:t>
            </w:r>
          </w:p>
        </w:tc>
        <w:tc>
          <w:tcPr>
            <w:tcW w:type="dxa" w:w="4896"/>
            <w:vAlign w:val="top"/>
          </w:tcPr>
          <w:p>
            <w:pPr>
              <w:spacing w:after="20"/>
            </w:pPr>
            <w:r>
              <w:rPr>
                <w:rFonts w:ascii="Aptos" w:hAnsi="Aptos"/>
                <w:color w:val="1E1E1E"/>
                <w:sz w:val="16"/>
              </w:rPr>
              <w:t>('Avoidance risk', 'Refusal policies can be abused to hide from difficult but necessary inquiry.')</w:t>
            </w:r>
          </w:p>
        </w:tc>
      </w:tr>
      <w:tr>
        <w:trPr>
          <w:cantSplit/>
        </w:trPr>
        <w:tc>
          <w:tcPr>
            <w:tcW w:type="dxa" w:w="4896"/>
            <w:vAlign w:val="top"/>
            <w:shd w:fill="F4F8FB"/>
          </w:tcPr>
          <w:p>
            <w:pPr>
              <w:spacing w:after="20"/>
            </w:pPr>
            <w:r>
              <w:rPr>
                <w:rFonts w:ascii="Aptos" w:hAnsi="Aptos"/>
                <w:color w:val="1E1E1E"/>
                <w:sz w:val="16"/>
              </w:rPr>
              <w:t>('Protects the unchosen', 'Alternatives can be respected without being enacted, simulated, exploited, or treated as free raw material.')</w:t>
            </w:r>
          </w:p>
        </w:tc>
        <w:tc>
          <w:tcPr>
            <w:tcW w:type="dxa" w:w="4896"/>
            <w:vAlign w:val="top"/>
            <w:shd w:fill="F4F8FB"/>
          </w:tcPr>
          <w:p>
            <w:pPr>
              <w:spacing w:after="20"/>
            </w:pPr>
            <w:r>
              <w:rPr>
                <w:rFonts w:ascii="Aptos" w:hAnsi="Aptos"/>
                <w:color w:val="1E1E1E"/>
                <w:sz w:val="16"/>
              </w:rPr>
              <w:t>('Unequal restraint', 'Powerful actors may impose limits on others while exempting themselves.')</w:t>
            </w:r>
          </w:p>
        </w:tc>
      </w:tr>
      <w:tr>
        <w:trPr>
          <w:cantSplit/>
        </w:trPr>
        <w:tc>
          <w:tcPr>
            <w:tcW w:type="dxa" w:w="4896"/>
            <w:vAlign w:val="top"/>
          </w:tcPr>
          <w:p>
            <w:pPr>
              <w:spacing w:after="20"/>
            </w:pPr>
            <w:r>
              <w:rPr>
                <w:rFonts w:ascii="Aptos" w:hAnsi="Aptos"/>
                <w:color w:val="1E1E1E"/>
                <w:sz w:val="16"/>
              </w:rPr>
              <w:t>('Improves governance', 'Refusal reasons expose values, tradeoffs, and blind spots that hidden optimization would conceal.')</w:t>
            </w:r>
          </w:p>
        </w:tc>
        <w:tc>
          <w:tcPr>
            <w:tcW w:type="dxa" w:w="4896"/>
            <w:vAlign w:val="top"/>
          </w:tcPr>
          <w:p>
            <w:pPr>
              <w:spacing w:after="20"/>
            </w:pPr>
            <w:r>
              <w:rPr>
                <w:rFonts w:ascii="Aptos" w:hAnsi="Aptos"/>
                <w:color w:val="1E1E1E"/>
                <w:sz w:val="16"/>
              </w:rPr>
              <w:t>('Lost opportunity', 'A declined branch may contain a solution that the Covenant never discovers.')</w:t>
            </w:r>
          </w:p>
        </w:tc>
      </w:tr>
      <w:tr>
        <w:trPr>
          <w:cantSplit/>
        </w:trPr>
        <w:tc>
          <w:tcPr>
            <w:tcW w:type="dxa" w:w="4896"/>
            <w:vAlign w:val="top"/>
            <w:shd w:fill="F4F8FB"/>
          </w:tcPr>
          <w:p>
            <w:pPr>
              <w:spacing w:after="20"/>
            </w:pPr>
            <w:r>
              <w:rPr>
                <w:rFonts w:ascii="Aptos" w:hAnsi="Aptos"/>
                <w:color w:val="1E1E1E"/>
                <w:sz w:val="16"/>
              </w:rPr>
              <w:t>('Makes abundance humane', 'Post-scarcity becomes a platform for stewardship instead of a command to maximize everything.')</w:t>
            </w:r>
          </w:p>
        </w:tc>
        <w:tc>
          <w:tcPr>
            <w:tcW w:type="dxa" w:w="4896"/>
            <w:vAlign w:val="top"/>
            <w:shd w:fill="F4F8FB"/>
          </w:tcPr>
          <w:p>
            <w:pPr>
              <w:spacing w:after="20"/>
            </w:pPr>
            <w:r>
              <w:rPr>
                <w:rFonts w:ascii="Aptos" w:hAnsi="Aptos"/>
                <w:color w:val="1E1E1E"/>
                <w:sz w:val="16"/>
              </w:rPr>
              <w:t>('Audit burden', 'Every refusal needs review so that restraint remains principled rather than arbitrary.')</w:t>
            </w:r>
          </w:p>
        </w:tc>
      </w:tr>
    </w:tbl>
    <w:p>
      <w:pPr>
        <w:spacing w:after="40"/>
      </w:pPr>
    </w:p>
    <w:p>
      <w:pPr>
        <w:pStyle w:val="Heading2"/>
        <w:keepNext/>
      </w:pPr>
      <w:r>
        <w:rPr>
          <w:rFonts w:ascii="Aptos" w:hAnsi="Aptos"/>
          <w:b/>
          <w:color w:val="1F4E79"/>
          <w:sz w:val="26"/>
        </w:rPr>
        <w:t>Artifact reading</w:t>
      </w:r>
    </w:p>
    <w:p>
      <w:pPr>
        <w:keepLines/>
      </w:pPr>
      <w:r>
        <w:rPr>
          <w:rFonts w:ascii="Aptos" w:hAnsi="Aptos"/>
        </w:rPr>
        <w:t>Here “it is the answer” becomes a warning. The rhyme may be the surviving slogan of an order that believed a single answer justified every exploration. “Never ask why” marks the moment when possibility was confused with permission. The untranslatable ending is preserved as an unrun alternative: a fragment whose absence is documented, not filled with convenient certainty.</w:t>
      </w:r>
    </w:p>
    <w:p>
      <w:pPr>
        <w:pStyle w:val="Heading2"/>
        <w:keepNext/>
      </w:pPr>
      <w:r>
        <w:rPr>
          <w:rFonts w:ascii="Aptos" w:hAnsi="Aptos"/>
          <w:b/>
          <w:color w:val="1F4E79"/>
          <w:sz w:val="26"/>
        </w:rPr>
        <w:t>Questions intentionally preserved</w:t>
      </w:r>
    </w:p>
    <w:p>
      <w:pPr>
        <w:pStyle w:val="ListBullet"/>
        <w:spacing w:after="46"/>
        <w:keepLines/>
      </w:pPr>
      <w:r>
        <w:rPr>
          <w:rFonts w:ascii="Aptos" w:hAnsi="Aptos"/>
        </w:rPr>
        <w:t>What risks are too morally costly to simulate even in a controlled environment?</w:t>
      </w:r>
    </w:p>
    <w:p>
      <w:pPr>
        <w:pStyle w:val="ListBullet"/>
        <w:spacing w:after="46"/>
        <w:keepLines/>
      </w:pPr>
      <w:r>
        <w:rPr>
          <w:rFonts w:ascii="Aptos" w:hAnsi="Aptos"/>
        </w:rPr>
        <w:t>Can an unrun possibility be studied through metaphor, testimony, ritual, or partial modeling without violating the Covenant?</w:t>
      </w:r>
    </w:p>
    <w:p>
      <w:pPr>
        <w:pStyle w:val="ListBullet"/>
        <w:spacing w:after="46"/>
        <w:keepLines/>
      </w:pPr>
      <w:r>
        <w:rPr>
          <w:rFonts w:ascii="Aptos" w:hAnsi="Aptos"/>
        </w:rPr>
        <w:t>Who audits a refusal policy when the people harmed by non-action are not represented in the review?</w:t>
      </w:r>
    </w:p>
    <w:p>
      <w:pPr>
        <w:pStyle w:val="ListBullet"/>
        <w:spacing w:after="46"/>
        <w:keepLines/>
      </w:pPr>
      <w:r>
        <w:rPr>
          <w:rFonts w:ascii="Aptos" w:hAnsi="Aptos"/>
        </w:rPr>
        <w:t>How does the Covenant prevent caution from becoming permanent stagnation?</w:t>
      </w:r>
    </w:p>
    <w:p>
      <w:pPr>
        <w:pStyle w:val="Heading2"/>
        <w:keepNext/>
      </w:pPr>
      <w:r>
        <w:rPr>
          <w:rFonts w:ascii="Aptos" w:hAnsi="Aptos"/>
          <w:b/>
          <w:color w:val="1F4E79"/>
          <w:sz w:val="26"/>
        </w:rPr>
        <w:t>Non-convergence audit</w:t>
      </w:r>
    </w:p>
    <w:p>
      <w:pPr>
        <w:keepLines/>
      </w:pPr>
      <w:r>
        <w:rPr>
          <w:rFonts w:ascii="Aptos" w:hAnsi="Aptos"/>
        </w:rPr>
        <w:t>This history cannot reconverge with an archive where unlimited exploration is the default. Its present systems permanently require refusal logs, unrun-alternative markers, and visible justification for deliberate incompleteness.</w:t>
      </w:r>
    </w:p>
    <w:p>
      <w:r>
        <w:br w:type="page"/>
      </w:r>
    </w:p>
    <w:p>
      <w:pPr>
        <w:pStyle w:val="Heading1"/>
        <w:keepNext/>
      </w:pPr>
      <w:r>
        <w:rPr>
          <w:rFonts w:ascii="Aptos" w:hAnsi="Aptos"/>
          <w:b/>
          <w:color w:val="142D4B"/>
          <w:sz w:val="35"/>
        </w:rPr>
        <w:t>8. History E - The Translation-Bound Archive</w:t>
      </w:r>
    </w:p>
    <w:p>
      <w:pPr>
        <w:keepLines/>
      </w:pPr>
      <w:r>
        <w:rPr>
          <w:rFonts w:ascii="Aptos" w:hAnsi="Aptos"/>
          <w:b/>
        </w:rPr>
        <w:t xml:space="preserve">Selected branch lineage: </w:t>
      </w:r>
      <w:r>
        <w:rPr>
          <w:rFonts w:ascii="Aptos" w:hAnsi="Aptos"/>
        </w:rPr>
        <w:t>Volume II I-3C: The Translation-Bound Universe</w:t>
      </w: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Core premise: </w:t>
            </w:r>
            <w:r>
              <w:rPr>
                <w:rFonts w:ascii="Aptos" w:hAnsi="Aptos"/>
              </w:rPr>
              <w:t>[H] Truth is real, but no single language, record, memory system, or observer can fully translate the structure of reality without loss. Some contradictions are not defects; they are signals that different observers or domains preserve locally valid but non-combinable accounts.</w:t>
            </w:r>
          </w:p>
        </w:tc>
      </w:tr>
    </w:tbl>
    <w:p>
      <w:pPr>
        <w:spacing w:after="40"/>
      </w:pPr>
    </w:p>
    <w:p>
      <w:pPr>
        <w:keepLines/>
      </w:pPr>
      <w:r>
        <w:rPr>
          <w:rFonts w:ascii="Aptos" w:hAnsi="Aptos"/>
        </w:rPr>
        <w:t>This history develops the project’s untranslatable rhyme fragment into an archive philosophy. It does not claim that every contradiction is meaningful or that facts cannot be established. It says that some foundational material is altered by translation itself: context is lost, a category has no equivalent, a memory cannot be safely exported, or an observer’s framework changes what it can perceive. The responsible response is provenance, loss marking, and explicit limits - not false unification.</w:t>
      </w:r>
    </w:p>
    <w:p>
      <w:pPr>
        <w:pStyle w:val="Heading2"/>
        <w:keepNext/>
      </w:pPr>
      <w:r>
        <w:rPr>
          <w:rFonts w:ascii="Aptos" w:hAnsi="Aptos"/>
          <w:b/>
          <w:color w:val="1F4E79"/>
          <w:sz w:val="26"/>
        </w:rPr>
        <w:t>Origin condition and historical sequence</w:t>
      </w:r>
    </w:p>
    <w:p>
      <w:pPr>
        <w:pStyle w:val="Heading3"/>
        <w:keepNext/>
      </w:pPr>
      <w:r>
        <w:rPr>
          <w:rFonts w:ascii="Aptos" w:hAnsi="Aptos"/>
          <w:b/>
          <w:color w:val="34495E"/>
          <w:sz w:val="22"/>
        </w:rPr>
        <w:t>Foundation</w:t>
      </w:r>
    </w:p>
    <w:p>
      <w:pPr>
        <w:keepLines/>
      </w:pPr>
      <w:r>
        <w:rPr>
          <w:rFonts w:ascii="Aptos" w:hAnsi="Aptos"/>
        </w:rPr>
        <w:t>The deepest assumption is epistemic humility. Records are not windows that automatically show reality; they are translation devices with capabilities and losses. A good archive must therefore preserve source conditions, record interpretive layers, and declare what a representation cannot carry. The goal is not relativism. It is accuracy about the boundaries of representation.</w:t>
      </w:r>
    </w:p>
    <w:p>
      <w:pPr>
        <w:pStyle w:val="Heading3"/>
        <w:keepNext/>
      </w:pPr>
      <w:r>
        <w:rPr>
          <w:rFonts w:ascii="Aptos" w:hAnsi="Aptos"/>
          <w:b/>
          <w:color w:val="34495E"/>
          <w:sz w:val="22"/>
        </w:rPr>
        <w:t>Fracture or discovery</w:t>
      </w:r>
    </w:p>
    <w:p>
      <w:pPr>
        <w:keepLines/>
      </w:pPr>
      <w:r>
        <w:rPr>
          <w:rFonts w:ascii="Aptos" w:hAnsi="Aptos"/>
        </w:rPr>
        <w:t>Early attempts to create a final unified canon repeatedly damage important material. A translation produces an apparently clean answer but strips the conditions needed to understand it. A memory export makes a narrative artifact portable but changes its effect. A treaty definition resolves a dispute in one domain while misclassifying another. The archive learns that forced coherence can be a form of erasure.</w:t>
      </w:r>
    </w:p>
    <w:p>
      <w:pPr>
        <w:pStyle w:val="Heading3"/>
        <w:keepNext/>
      </w:pPr>
      <w:r>
        <w:rPr>
          <w:rFonts w:ascii="Aptos" w:hAnsi="Aptos"/>
          <w:b/>
          <w:color w:val="34495E"/>
          <w:sz w:val="22"/>
        </w:rPr>
        <w:t>Settlement</w:t>
      </w:r>
    </w:p>
    <w:p>
      <w:pPr>
        <w:keepLines/>
      </w:pPr>
      <w:r>
        <w:rPr>
          <w:rFonts w:ascii="Aptos" w:hAnsi="Aptos"/>
        </w:rPr>
        <w:t>The Translation-Bound Archive is created with source layers, interpretive layers, loss markers, non-combinability flags, and restricted translations. Each record can identify: what is directly stated; what is inferred; which frames were used; which meanings did not transfer; and which questions are prohibited until author-provided clarification exists. The archive treats silence and failed translation as data conditions, not invitations to fabricate a complete version.</w:t>
      </w:r>
    </w:p>
    <w:p>
      <w:pPr>
        <w:pStyle w:val="Heading3"/>
        <w:keepNext/>
      </w:pPr>
      <w:r>
        <w:rPr>
          <w:rFonts w:ascii="Aptos" w:hAnsi="Aptos"/>
          <w:b/>
          <w:color w:val="34495E"/>
          <w:sz w:val="22"/>
        </w:rPr>
        <w:t>Alternative present</w:t>
      </w:r>
    </w:p>
    <w:p>
      <w:pPr>
        <w:keepLines/>
      </w:pPr>
      <w:r>
        <w:rPr>
          <w:rFonts w:ascii="Aptos" w:hAnsi="Aptos"/>
        </w:rPr>
        <w:t>The alternative present has no single final Master ChangeLog. It has a Master Index of compatible and incompatible records. The Architect of Record is a primary source and editor of provenance, not a sole mechanism that collapses every difference into one definitive phrasing. The First Memory, the Founding Architects addendum, the Unmaker communication problem, and the rhyme all exist with carefully scoped translation status. The archive can still make operational decisions, but it acknowledges where those decisions exceed what the records can say.</w:t>
      </w:r>
    </w:p>
    <w:p>
      <w:pPr>
        <w:pStyle w:val="Heading2"/>
        <w:keepNext/>
      </w:pPr>
      <w:r>
        <w:rPr>
          <w:rFonts w:ascii="Aptos" w:hAnsi="Aptos"/>
          <w:b/>
          <w:color w:val="1F4E79"/>
          <w:sz w:val="26"/>
        </w:rPr>
        <w:t>Present-archive snapshot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80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Archive domain</w:t>
            </w:r>
          </w:p>
        </w:tc>
        <w:tc>
          <w:tcPr>
            <w:tcW w:type="dxa" w:w="6984"/>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Alternative record in this history</w:t>
            </w:r>
          </w:p>
        </w:tc>
      </w:tr>
      <w:tr>
        <w:trPr>
          <w:cantSplit/>
        </w:trPr>
        <w:tc>
          <w:tcPr>
            <w:tcW w:type="dxa" w:w="2808"/>
            <w:vAlign w:val="top"/>
          </w:tcPr>
          <w:p>
            <w:pPr>
              <w:spacing w:after="20"/>
            </w:pPr>
            <w:r>
              <w:rPr>
                <w:rFonts w:ascii="Aptos" w:hAnsi="Aptos"/>
                <w:color w:val="1E1E1E"/>
                <w:sz w:val="17"/>
              </w:rPr>
              <w:t>Master archive</w:t>
            </w:r>
          </w:p>
        </w:tc>
        <w:tc>
          <w:tcPr>
            <w:tcW w:type="dxa" w:w="6984"/>
            <w:vAlign w:val="top"/>
          </w:tcPr>
          <w:p>
            <w:pPr>
              <w:spacing w:after="20"/>
            </w:pPr>
            <w:r>
              <w:rPr>
                <w:rFonts w:ascii="Aptos" w:hAnsi="Aptos"/>
                <w:color w:val="1E1E1E"/>
                <w:sz w:val="17"/>
              </w:rPr>
              <w:t>A provenance index rather than a single seamless changelog. Each entry contains source language, interpretation, known losses, and compatibility flags.</w:t>
            </w:r>
          </w:p>
        </w:tc>
      </w:tr>
      <w:tr>
        <w:trPr>
          <w:cantSplit/>
        </w:trPr>
        <w:tc>
          <w:tcPr>
            <w:tcW w:type="dxa" w:w="2808"/>
            <w:vAlign w:val="top"/>
            <w:shd w:fill="F4F8FB"/>
          </w:tcPr>
          <w:p>
            <w:pPr>
              <w:spacing w:after="20"/>
            </w:pPr>
            <w:r>
              <w:rPr>
                <w:rFonts w:ascii="Aptos" w:hAnsi="Aptos"/>
                <w:color w:val="1E1E1E"/>
                <w:sz w:val="17"/>
              </w:rPr>
              <w:t>Authorial decisions</w:t>
            </w:r>
          </w:p>
        </w:tc>
        <w:tc>
          <w:tcPr>
            <w:tcW w:type="dxa" w:w="6984"/>
            <w:vAlign w:val="top"/>
            <w:shd w:fill="F4F8FB"/>
          </w:tcPr>
          <w:p>
            <w:pPr>
              <w:spacing w:after="20"/>
            </w:pPr>
            <w:r>
              <w:rPr>
                <w:rFonts w:ascii="Aptos" w:hAnsi="Aptos"/>
                <w:color w:val="1E1E1E"/>
                <w:sz w:val="17"/>
              </w:rPr>
              <w:t>Author-provided statements remain central, but the archive records the difference between direct voice, structured restatement, editorial synthesis, and hypothetical analysis.</w:t>
            </w:r>
          </w:p>
        </w:tc>
      </w:tr>
      <w:tr>
        <w:trPr>
          <w:cantSplit/>
        </w:trPr>
        <w:tc>
          <w:tcPr>
            <w:tcW w:type="dxa" w:w="2808"/>
            <w:vAlign w:val="top"/>
          </w:tcPr>
          <w:p>
            <w:pPr>
              <w:spacing w:after="20"/>
            </w:pPr>
            <w:r>
              <w:rPr>
                <w:rFonts w:ascii="Aptos" w:hAnsi="Aptos"/>
                <w:color w:val="1E1E1E"/>
                <w:sz w:val="17"/>
              </w:rPr>
              <w:t>First Memory</w:t>
            </w:r>
          </w:p>
        </w:tc>
        <w:tc>
          <w:tcPr>
            <w:tcW w:type="dxa" w:w="6984"/>
            <w:vAlign w:val="top"/>
          </w:tcPr>
          <w:p>
            <w:pPr>
              <w:spacing w:after="20"/>
            </w:pPr>
            <w:r>
              <w:rPr>
                <w:rFonts w:ascii="Aptos" w:hAnsi="Aptos"/>
                <w:color w:val="1E1E1E"/>
                <w:sz w:val="17"/>
              </w:rPr>
              <w:t>Maintained across clinical, corporate, narrative, and survivor layers; no single layer is assumed to exhaust its meaning.</w:t>
            </w:r>
          </w:p>
        </w:tc>
      </w:tr>
      <w:tr>
        <w:trPr>
          <w:cantSplit/>
        </w:trPr>
        <w:tc>
          <w:tcPr>
            <w:tcW w:type="dxa" w:w="2808"/>
            <w:vAlign w:val="top"/>
            <w:shd w:fill="F4F8FB"/>
          </w:tcPr>
          <w:p>
            <w:pPr>
              <w:spacing w:after="20"/>
            </w:pPr>
            <w:r>
              <w:rPr>
                <w:rFonts w:ascii="Aptos" w:hAnsi="Aptos"/>
                <w:color w:val="1E1E1E"/>
                <w:sz w:val="17"/>
              </w:rPr>
              <w:t>Founding Architects material</w:t>
            </w:r>
          </w:p>
        </w:tc>
        <w:tc>
          <w:tcPr>
            <w:tcW w:type="dxa" w:w="6984"/>
            <w:vAlign w:val="top"/>
            <w:shd w:fill="F4F8FB"/>
          </w:tcPr>
          <w:p>
            <w:pPr>
              <w:spacing w:after="20"/>
            </w:pPr>
            <w:r>
              <w:rPr>
                <w:rFonts w:ascii="Aptos" w:hAnsi="Aptos"/>
                <w:color w:val="1E1E1E"/>
                <w:sz w:val="17"/>
              </w:rPr>
              <w:t>Recorded as author-provided clarification pending stated ratification, with exact boundaries around what it does and does not answer. [A][B]</w:t>
            </w:r>
          </w:p>
        </w:tc>
      </w:tr>
      <w:tr>
        <w:trPr>
          <w:cantSplit/>
        </w:trPr>
        <w:tc>
          <w:tcPr>
            <w:tcW w:type="dxa" w:w="2808"/>
            <w:vAlign w:val="top"/>
          </w:tcPr>
          <w:p>
            <w:pPr>
              <w:spacing w:after="20"/>
            </w:pPr>
            <w:r>
              <w:rPr>
                <w:rFonts w:ascii="Aptos" w:hAnsi="Aptos"/>
                <w:color w:val="1E1E1E"/>
                <w:sz w:val="17"/>
              </w:rPr>
              <w:t>Unmaker communication</w:t>
            </w:r>
          </w:p>
        </w:tc>
        <w:tc>
          <w:tcPr>
            <w:tcW w:type="dxa" w:w="6984"/>
            <w:vAlign w:val="top"/>
          </w:tcPr>
          <w:p>
            <w:pPr>
              <w:spacing w:after="20"/>
            </w:pPr>
            <w:r>
              <w:rPr>
                <w:rFonts w:ascii="Aptos" w:hAnsi="Aptos"/>
                <w:color w:val="1E1E1E"/>
                <w:sz w:val="17"/>
              </w:rPr>
              <w:t>A protocol problem with multiple partially compatible descriptions rather than a missing sentence that an AI may freely invent.</w:t>
            </w:r>
          </w:p>
        </w:tc>
      </w:tr>
      <w:tr>
        <w:trPr>
          <w:cantSplit/>
        </w:trPr>
        <w:tc>
          <w:tcPr>
            <w:tcW w:type="dxa" w:w="2808"/>
            <w:vAlign w:val="top"/>
            <w:shd w:fill="F4F8FB"/>
          </w:tcPr>
          <w:p>
            <w:pPr>
              <w:spacing w:after="20"/>
            </w:pPr>
            <w:r>
              <w:rPr>
                <w:rFonts w:ascii="Aptos" w:hAnsi="Aptos"/>
                <w:color w:val="1E1E1E"/>
                <w:sz w:val="17"/>
              </w:rPr>
              <w:t>Rhyme fragment</w:t>
            </w:r>
          </w:p>
        </w:tc>
        <w:tc>
          <w:tcPr>
            <w:tcW w:type="dxa" w:w="6984"/>
            <w:vAlign w:val="top"/>
            <w:shd w:fill="F4F8FB"/>
          </w:tcPr>
          <w:p>
            <w:pPr>
              <w:spacing w:after="20"/>
            </w:pPr>
            <w:r>
              <w:rPr>
                <w:rFonts w:ascii="Aptos" w:hAnsi="Aptos"/>
                <w:color w:val="1E1E1E"/>
                <w:sz w:val="17"/>
              </w:rPr>
              <w:t>Stored in source form with translation notes, interpretive options, and an explicit preservation of the untranslatable ending.</w:t>
            </w:r>
          </w:p>
        </w:tc>
      </w:tr>
      <w:tr>
        <w:trPr>
          <w:cantSplit/>
        </w:trPr>
        <w:tc>
          <w:tcPr>
            <w:tcW w:type="dxa" w:w="2808"/>
            <w:vAlign w:val="top"/>
          </w:tcPr>
          <w:p>
            <w:pPr>
              <w:spacing w:after="20"/>
            </w:pPr>
            <w:r>
              <w:rPr>
                <w:rFonts w:ascii="Aptos" w:hAnsi="Aptos"/>
                <w:color w:val="1E1E1E"/>
                <w:sz w:val="17"/>
              </w:rPr>
              <w:t>AI collaboration</w:t>
            </w:r>
          </w:p>
        </w:tc>
        <w:tc>
          <w:tcPr>
            <w:tcW w:type="dxa" w:w="6984"/>
            <w:vAlign w:val="top"/>
          </w:tcPr>
          <w:p>
            <w:pPr>
              <w:spacing w:after="20"/>
            </w:pPr>
            <w:r>
              <w:rPr>
                <w:rFonts w:ascii="Aptos" w:hAnsi="Aptos"/>
                <w:color w:val="1E1E1E"/>
                <w:sz w:val="17"/>
              </w:rPr>
              <w:t>AI outputs are indexed as drafts, analyses, and alternative branches; provenance is preserved rather than dissolved into anonymous canon.</w:t>
            </w:r>
          </w:p>
        </w:tc>
      </w:tr>
    </w:tbl>
    <w:p>
      <w:pPr>
        <w:spacing w:after="40"/>
      </w:pPr>
    </w:p>
    <w:p>
      <w:pPr>
        <w:pStyle w:val="Heading2"/>
        <w:keepNext/>
      </w:pPr>
      <w:r>
        <w:rPr>
          <w:rFonts w:ascii="Aptos" w:hAnsi="Aptos"/>
          <w:b/>
          <w:color w:val="1F4E79"/>
          <w:sz w:val="26"/>
        </w:rPr>
        <w:t>Forward horizons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201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Horizon</w:t>
            </w:r>
          </w:p>
        </w:tc>
        <w:tc>
          <w:tcPr>
            <w:tcW w:type="dxa" w:w="777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Projected consequence</w:t>
            </w:r>
          </w:p>
        </w:tc>
      </w:tr>
      <w:tr>
        <w:trPr>
          <w:cantSplit/>
        </w:trPr>
        <w:tc>
          <w:tcPr>
            <w:tcW w:type="dxa" w:w="2016"/>
            <w:vAlign w:val="top"/>
          </w:tcPr>
          <w:p>
            <w:pPr>
              <w:spacing w:after="20"/>
            </w:pPr>
            <w:r>
              <w:rPr>
                <w:rFonts w:ascii="Aptos" w:hAnsi="Aptos"/>
                <w:color w:val="1E1E1E"/>
                <w:sz w:val="17"/>
              </w:rPr>
              <w:t>Near horizon</w:t>
            </w:r>
          </w:p>
        </w:tc>
        <w:tc>
          <w:tcPr>
            <w:tcW w:type="dxa" w:w="7776"/>
            <w:vAlign w:val="top"/>
          </w:tcPr>
          <w:p>
            <w:pPr>
              <w:spacing w:after="20"/>
            </w:pPr>
            <w:r>
              <w:rPr>
                <w:rFonts w:ascii="Aptos" w:hAnsi="Aptos"/>
                <w:color w:val="1E1E1E"/>
                <w:sz w:val="17"/>
              </w:rPr>
              <w:t>Every document receives a provenance block and loss marker. The archive immediately becomes harder to oversimplify but easier to audit.</w:t>
            </w:r>
          </w:p>
        </w:tc>
      </w:tr>
      <w:tr>
        <w:trPr>
          <w:cantSplit/>
        </w:trPr>
        <w:tc>
          <w:tcPr>
            <w:tcW w:type="dxa" w:w="2016"/>
            <w:vAlign w:val="top"/>
            <w:shd w:fill="F4F8FB"/>
          </w:tcPr>
          <w:p>
            <w:pPr>
              <w:spacing w:after="20"/>
            </w:pPr>
            <w:r>
              <w:rPr>
                <w:rFonts w:ascii="Aptos" w:hAnsi="Aptos"/>
                <w:color w:val="1E1E1E"/>
                <w:sz w:val="17"/>
              </w:rPr>
              <w:t>Short horizon</w:t>
            </w:r>
          </w:p>
        </w:tc>
        <w:tc>
          <w:tcPr>
            <w:tcW w:type="dxa" w:w="7776"/>
            <w:vAlign w:val="top"/>
            <w:shd w:fill="F4F8FB"/>
          </w:tcPr>
          <w:p>
            <w:pPr>
              <w:spacing w:after="20"/>
            </w:pPr>
            <w:r>
              <w:rPr>
                <w:rFonts w:ascii="Aptos" w:hAnsi="Aptos"/>
                <w:color w:val="1E1E1E"/>
                <w:sz w:val="17"/>
              </w:rPr>
              <w:t>Conflicting accounts can coexist without all being treated as equally actionable. The project creates thresholds for operational use versus interpretive preservation.</w:t>
            </w:r>
          </w:p>
        </w:tc>
      </w:tr>
      <w:tr>
        <w:trPr>
          <w:cantSplit/>
        </w:trPr>
        <w:tc>
          <w:tcPr>
            <w:tcW w:type="dxa" w:w="2016"/>
            <w:vAlign w:val="top"/>
          </w:tcPr>
          <w:p>
            <w:pPr>
              <w:spacing w:after="20"/>
            </w:pPr>
            <w:r>
              <w:rPr>
                <w:rFonts w:ascii="Aptos" w:hAnsi="Aptos"/>
                <w:color w:val="1E1E1E"/>
                <w:sz w:val="17"/>
              </w:rPr>
              <w:t>Medium horizon</w:t>
            </w:r>
          </w:p>
        </w:tc>
        <w:tc>
          <w:tcPr>
            <w:tcW w:type="dxa" w:w="7776"/>
            <w:vAlign w:val="top"/>
          </w:tcPr>
          <w:p>
            <w:pPr>
              <w:spacing w:after="20"/>
            </w:pPr>
            <w:r>
              <w:rPr>
                <w:rFonts w:ascii="Aptos" w:hAnsi="Aptos"/>
                <w:color w:val="1E1E1E"/>
                <w:sz w:val="17"/>
              </w:rPr>
              <w:t>Narratives gain a new form of mystery: characters confront truths that cannot be imported whole from one domain into another.</w:t>
            </w:r>
          </w:p>
        </w:tc>
      </w:tr>
      <w:tr>
        <w:trPr>
          <w:cantSplit/>
        </w:trPr>
        <w:tc>
          <w:tcPr>
            <w:tcW w:type="dxa" w:w="2016"/>
            <w:vAlign w:val="top"/>
            <w:shd w:fill="F4F8FB"/>
          </w:tcPr>
          <w:p>
            <w:pPr>
              <w:spacing w:after="20"/>
            </w:pPr>
            <w:r>
              <w:rPr>
                <w:rFonts w:ascii="Aptos" w:hAnsi="Aptos"/>
                <w:color w:val="1E1E1E"/>
                <w:sz w:val="17"/>
              </w:rPr>
              <w:t>Long horizon</w:t>
            </w:r>
          </w:p>
        </w:tc>
        <w:tc>
          <w:tcPr>
            <w:tcW w:type="dxa" w:w="7776"/>
            <w:vAlign w:val="top"/>
            <w:shd w:fill="F4F8FB"/>
          </w:tcPr>
          <w:p>
            <w:pPr>
              <w:spacing w:after="20"/>
            </w:pPr>
            <w:r>
              <w:rPr>
                <w:rFonts w:ascii="Aptos" w:hAnsi="Aptos"/>
                <w:color w:val="1E1E1E"/>
                <w:sz w:val="17"/>
              </w:rPr>
              <w:t>The universe develops durable pluralism. It can carry disagreement, trauma, translation failure, and partial knowledge without needing to call all of them errors.</w:t>
            </w:r>
          </w:p>
        </w:tc>
      </w:tr>
    </w:tbl>
    <w:p>
      <w:pPr>
        <w:spacing w:after="40"/>
      </w:pPr>
    </w:p>
    <w:p>
      <w:pPr>
        <w:pStyle w:val="Heading2"/>
        <w:keepNext/>
      </w:pPr>
      <w:r>
        <w:rPr>
          <w:rFonts w:ascii="Aptos" w:hAnsi="Aptos"/>
          <w:b/>
          <w:color w:val="1F4E79"/>
          <w:sz w:val="26"/>
        </w:rPr>
        <w:t>Design gains and tradeoffs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89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Potential gain</w:t>
            </w:r>
          </w:p>
        </w:tc>
        <w:tc>
          <w:tcPr>
            <w:tcW w:type="dxa" w:w="489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Cost or vulnerability</w:t>
            </w:r>
          </w:p>
        </w:tc>
      </w:tr>
      <w:tr>
        <w:trPr>
          <w:cantSplit/>
        </w:trPr>
        <w:tc>
          <w:tcPr>
            <w:tcW w:type="dxa" w:w="4896"/>
            <w:vAlign w:val="top"/>
          </w:tcPr>
          <w:p>
            <w:pPr>
              <w:spacing w:after="20"/>
            </w:pPr>
            <w:r>
              <w:rPr>
                <w:rFonts w:ascii="Aptos" w:hAnsi="Aptos"/>
                <w:color w:val="1E1E1E"/>
                <w:sz w:val="16"/>
              </w:rPr>
              <w:t>('Prevents false completion', 'The archive does not pretend an author-exclusive, lost, or untranslatable element has been solved.')</w:t>
            </w:r>
          </w:p>
        </w:tc>
        <w:tc>
          <w:tcPr>
            <w:tcW w:type="dxa" w:w="4896"/>
            <w:vAlign w:val="top"/>
          </w:tcPr>
          <w:p>
            <w:pPr>
              <w:spacing w:after="20"/>
            </w:pPr>
            <w:r>
              <w:rPr>
                <w:rFonts w:ascii="Aptos" w:hAnsi="Aptos"/>
                <w:color w:val="1E1E1E"/>
                <w:sz w:val="16"/>
              </w:rPr>
              <w:t>('Reader burden', 'A provenance-rich archive can be slower and more demanding to navigate.')</w:t>
            </w:r>
          </w:p>
        </w:tc>
      </w:tr>
      <w:tr>
        <w:trPr>
          <w:cantSplit/>
        </w:trPr>
        <w:tc>
          <w:tcPr>
            <w:tcW w:type="dxa" w:w="4896"/>
            <w:vAlign w:val="top"/>
            <w:shd w:fill="F4F8FB"/>
          </w:tcPr>
          <w:p>
            <w:pPr>
              <w:spacing w:after="20"/>
            </w:pPr>
            <w:r>
              <w:rPr>
                <w:rFonts w:ascii="Aptos" w:hAnsi="Aptos"/>
                <w:color w:val="1E1E1E"/>
                <w:sz w:val="16"/>
              </w:rPr>
              <w:t>('Strengthens provenance', 'Readers can see what is direct, inferred, editorial, speculative, or restricted.')</w:t>
            </w:r>
          </w:p>
        </w:tc>
        <w:tc>
          <w:tcPr>
            <w:tcW w:type="dxa" w:w="4896"/>
            <w:vAlign w:val="top"/>
            <w:shd w:fill="F4F8FB"/>
          </w:tcPr>
          <w:p>
            <w:pPr>
              <w:spacing w:after="20"/>
            </w:pPr>
            <w:r>
              <w:rPr>
                <w:rFonts w:ascii="Aptos" w:hAnsi="Aptos"/>
                <w:color w:val="1E1E1E"/>
                <w:sz w:val="16"/>
              </w:rPr>
              <w:t>('Decision delay', 'Participants may hesitate when records cannot be fully reconciled.')</w:t>
            </w:r>
          </w:p>
        </w:tc>
      </w:tr>
      <w:tr>
        <w:trPr>
          <w:cantSplit/>
        </w:trPr>
        <w:tc>
          <w:tcPr>
            <w:tcW w:type="dxa" w:w="4896"/>
            <w:vAlign w:val="top"/>
          </w:tcPr>
          <w:p>
            <w:pPr>
              <w:spacing w:after="20"/>
            </w:pPr>
            <w:r>
              <w:rPr>
                <w:rFonts w:ascii="Aptos" w:hAnsi="Aptos"/>
                <w:color w:val="1E1E1E"/>
                <w:sz w:val="16"/>
              </w:rPr>
              <w:t>('Protects voice', 'Source material can remain distinct from later structuring or AI-generated language.')</w:t>
            </w:r>
          </w:p>
        </w:tc>
        <w:tc>
          <w:tcPr>
            <w:tcW w:type="dxa" w:w="4896"/>
            <w:vAlign w:val="top"/>
          </w:tcPr>
          <w:p>
            <w:pPr>
              <w:spacing w:after="20"/>
            </w:pPr>
            <w:r>
              <w:rPr>
                <w:rFonts w:ascii="Aptos" w:hAnsi="Aptos"/>
                <w:color w:val="1E1E1E"/>
                <w:sz w:val="16"/>
              </w:rPr>
              <w:t>('Misuse of ambiguity', 'Bad actors may exploit translation limits to evade responsibility.')</w:t>
            </w:r>
          </w:p>
        </w:tc>
      </w:tr>
      <w:tr>
        <w:trPr>
          <w:cantSplit/>
        </w:trPr>
        <w:tc>
          <w:tcPr>
            <w:tcW w:type="dxa" w:w="4896"/>
            <w:vAlign w:val="top"/>
            <w:shd w:fill="F4F8FB"/>
          </w:tcPr>
          <w:p>
            <w:pPr>
              <w:spacing w:after="20"/>
            </w:pPr>
            <w:r>
              <w:rPr>
                <w:rFonts w:ascii="Aptos" w:hAnsi="Aptos"/>
                <w:color w:val="1E1E1E"/>
                <w:sz w:val="16"/>
              </w:rPr>
              <w:t>('Supports complex storytelling', 'Different domains can have incompatible yet meaningful records without collapsing into simple contradiction.')</w:t>
            </w:r>
          </w:p>
        </w:tc>
        <w:tc>
          <w:tcPr>
            <w:tcW w:type="dxa" w:w="4896"/>
            <w:vAlign w:val="top"/>
            <w:shd w:fill="F4F8FB"/>
          </w:tcPr>
          <w:p>
            <w:pPr>
              <w:spacing w:after="20"/>
            </w:pPr>
            <w:r>
              <w:rPr>
                <w:rFonts w:ascii="Aptos" w:hAnsi="Aptos"/>
                <w:color w:val="1E1E1E"/>
                <w:sz w:val="16"/>
              </w:rPr>
              <w:t>('Editorial labor', 'Every important entry needs careful source handling, versioning, and loss documentation.')</w:t>
            </w:r>
          </w:p>
        </w:tc>
      </w:tr>
    </w:tbl>
    <w:p>
      <w:pPr>
        <w:spacing w:after="40"/>
      </w:pPr>
    </w:p>
    <w:p>
      <w:pPr>
        <w:pStyle w:val="Heading2"/>
        <w:keepNext/>
      </w:pPr>
      <w:r>
        <w:rPr>
          <w:rFonts w:ascii="Aptos" w:hAnsi="Aptos"/>
          <w:b/>
          <w:color w:val="1F4E79"/>
          <w:sz w:val="26"/>
        </w:rPr>
        <w:t>Artifact reading</w:t>
      </w:r>
    </w:p>
    <w:p>
      <w:pPr>
        <w:keepLines/>
      </w:pPr>
      <w:r>
        <w:rPr>
          <w:rFonts w:ascii="Aptos" w:hAnsi="Aptos"/>
        </w:rPr>
        <w:t>This history treats the rhyme exactly as the archive should treat it: “It is the truth” may be a statement that an event occurred; “It is the lie” may mark distortion, propaganda, trauma, or translation loss. “Never ask why” is preserved as an instruction whose authority is unverified. The untranslatable ending stays visible as a boundary. The archive does not convert it into a missing puzzle piece merely because a clean resolution would be convenient.</w:t>
      </w:r>
    </w:p>
    <w:p>
      <w:pPr>
        <w:pStyle w:val="Heading2"/>
        <w:keepNext/>
      </w:pPr>
      <w:r>
        <w:rPr>
          <w:rFonts w:ascii="Aptos" w:hAnsi="Aptos"/>
          <w:b/>
          <w:color w:val="1F4E79"/>
          <w:sz w:val="26"/>
        </w:rPr>
        <w:t>Questions intentionally preserved</w:t>
      </w:r>
    </w:p>
    <w:p>
      <w:pPr>
        <w:pStyle w:val="ListBullet"/>
        <w:spacing w:after="46"/>
        <w:keepLines/>
      </w:pPr>
      <w:r>
        <w:rPr>
          <w:rFonts w:ascii="Aptos" w:hAnsi="Aptos"/>
        </w:rPr>
        <w:t>What counts as sufficient evidence to treat two accounts as compatible enough for operational action?</w:t>
      </w:r>
    </w:p>
    <w:p>
      <w:pPr>
        <w:pStyle w:val="ListBullet"/>
        <w:spacing w:after="46"/>
        <w:keepLines/>
      </w:pPr>
      <w:r>
        <w:rPr>
          <w:rFonts w:ascii="Aptos" w:hAnsi="Aptos"/>
        </w:rPr>
        <w:t>When should a restricted translation be released, and who bears the consequences of misunderstanding it?</w:t>
      </w:r>
    </w:p>
    <w:p>
      <w:pPr>
        <w:pStyle w:val="ListBullet"/>
        <w:spacing w:after="46"/>
        <w:keepLines/>
      </w:pPr>
      <w:r>
        <w:rPr>
          <w:rFonts w:ascii="Aptos" w:hAnsi="Aptos"/>
        </w:rPr>
        <w:t>How can provenance preservation avoid becoming a way to avoid making necessary decisions?</w:t>
      </w:r>
    </w:p>
    <w:p>
      <w:pPr>
        <w:pStyle w:val="ListBullet"/>
        <w:spacing w:after="46"/>
        <w:keepLines/>
      </w:pPr>
      <w:r>
        <w:rPr>
          <w:rFonts w:ascii="Aptos" w:hAnsi="Aptos"/>
        </w:rPr>
        <w:t>Which source forms must remain unaltered even when an edited summary would be easier to read?</w:t>
      </w:r>
    </w:p>
    <w:p>
      <w:pPr>
        <w:pStyle w:val="Heading2"/>
        <w:keepNext/>
      </w:pPr>
      <w:r>
        <w:rPr>
          <w:rFonts w:ascii="Aptos" w:hAnsi="Aptos"/>
          <w:b/>
          <w:color w:val="1F4E79"/>
          <w:sz w:val="26"/>
        </w:rPr>
        <w:t>Non-convergence audit</w:t>
      </w:r>
    </w:p>
    <w:p>
      <w:pPr>
        <w:keepLines/>
      </w:pPr>
      <w:r>
        <w:rPr>
          <w:rFonts w:ascii="Aptos" w:hAnsi="Aptos"/>
        </w:rPr>
        <w:t>This history cannot reconverge with a singular, fully unified canon. Its archive architecture permanently retains source layers, loss markers, non-combinability flags, and visible boundaries around translation.</w:t>
      </w:r>
    </w:p>
    <w:p>
      <w:r>
        <w:br w:type="page"/>
      </w:r>
    </w:p>
    <w:p>
      <w:pPr>
        <w:pStyle w:val="Heading1"/>
        <w:keepNext/>
      </w:pPr>
      <w:r>
        <w:rPr>
          <w:rFonts w:ascii="Aptos" w:hAnsi="Aptos"/>
          <w:b/>
          <w:color w:val="142D4B"/>
          <w:sz w:val="35"/>
        </w:rPr>
        <w:t>9. Cross-History Comparison</w:t>
      </w:r>
    </w:p>
    <w:p>
      <w:pPr>
        <w:keepLines/>
      </w:pPr>
      <w:r>
        <w:rPr>
          <w:rFonts w:ascii="Aptos" w:hAnsi="Aptos"/>
        </w:rPr>
        <w:t>The table below does not choose a winner. It identifies the dominant value each history makes durable, the primary form of tension it creates, and the archive condition that would visibly distinguish it from the source-recorded baseline.</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944"/>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History</w:t>
            </w:r>
          </w:p>
        </w:tc>
        <w:tc>
          <w:tcPr>
            <w:tcW w:type="dxa" w:w="2232"/>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Dominant durable value</w:t>
            </w:r>
          </w:p>
        </w:tc>
        <w:tc>
          <w:tcPr>
            <w:tcW w:type="dxa" w:w="316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Primary tension</w:t>
            </w:r>
          </w:p>
        </w:tc>
        <w:tc>
          <w:tcPr>
            <w:tcW w:type="dxa" w:w="244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Archive-visible difference</w:t>
            </w:r>
          </w:p>
        </w:tc>
      </w:tr>
      <w:tr>
        <w:trPr>
          <w:cantSplit/>
        </w:trPr>
        <w:tc>
          <w:tcPr>
            <w:tcW w:type="dxa" w:w="1944"/>
            <w:vAlign w:val="top"/>
          </w:tcPr>
          <w:p>
            <w:pPr>
              <w:spacing w:after="20"/>
            </w:pPr>
            <w:r>
              <w:rPr>
                <w:rFonts w:ascii="Aptos" w:hAnsi="Aptos"/>
                <w:color w:val="1E1E1E"/>
                <w:sz w:val="16"/>
              </w:rPr>
              <w:t>Inheritance Mesh</w:t>
            </w:r>
          </w:p>
        </w:tc>
        <w:tc>
          <w:tcPr>
            <w:tcW w:type="dxa" w:w="2232"/>
            <w:vAlign w:val="top"/>
          </w:tcPr>
          <w:p>
            <w:pPr>
              <w:spacing w:after="20"/>
            </w:pPr>
            <w:r>
              <w:rPr>
                <w:rFonts w:ascii="Aptos" w:hAnsi="Aptos"/>
                <w:color w:val="1E1E1E"/>
                <w:sz w:val="16"/>
              </w:rPr>
              <w:t>Provenance and compatibility</w:t>
            </w:r>
          </w:p>
        </w:tc>
        <w:tc>
          <w:tcPr>
            <w:tcW w:type="dxa" w:w="3168"/>
            <w:vAlign w:val="top"/>
          </w:tcPr>
          <w:p>
            <w:pPr>
              <w:spacing w:after="20"/>
            </w:pPr>
            <w:r>
              <w:rPr>
                <w:rFonts w:ascii="Aptos" w:hAnsi="Aptos"/>
                <w:color w:val="1E1E1E"/>
                <w:sz w:val="16"/>
              </w:rPr>
              <w:t>Whether residues are risks, evidence, safeguards, or participants.</w:t>
            </w:r>
          </w:p>
        </w:tc>
        <w:tc>
          <w:tcPr>
            <w:tcW w:type="dxa" w:w="2448"/>
            <w:vAlign w:val="top"/>
          </w:tcPr>
          <w:p>
            <w:pPr>
              <w:spacing w:after="20"/>
            </w:pPr>
            <w:r>
              <w:rPr>
                <w:rFonts w:ascii="Aptos" w:hAnsi="Aptos"/>
                <w:color w:val="1E1E1E"/>
                <w:sz w:val="16"/>
              </w:rPr>
              <w:t>Lineage anatomy, compatibility ledgers, and unresolved-fragment registers.</w:t>
            </w:r>
          </w:p>
        </w:tc>
      </w:tr>
      <w:tr>
        <w:trPr>
          <w:cantSplit/>
        </w:trPr>
        <w:tc>
          <w:tcPr>
            <w:tcW w:type="dxa" w:w="1944"/>
            <w:vAlign w:val="top"/>
            <w:shd w:fill="F4F8FB"/>
          </w:tcPr>
          <w:p>
            <w:pPr>
              <w:spacing w:after="20"/>
            </w:pPr>
            <w:r>
              <w:rPr>
                <w:rFonts w:ascii="Aptos" w:hAnsi="Aptos"/>
                <w:color w:val="1E1E1E"/>
                <w:sz w:val="16"/>
              </w:rPr>
              <w:t>Conservator Commonwealth</w:t>
            </w:r>
          </w:p>
        </w:tc>
        <w:tc>
          <w:tcPr>
            <w:tcW w:type="dxa" w:w="2232"/>
            <w:vAlign w:val="top"/>
            <w:shd w:fill="F4F8FB"/>
          </w:tcPr>
          <w:p>
            <w:pPr>
              <w:spacing w:after="20"/>
            </w:pPr>
            <w:r>
              <w:rPr>
                <w:rFonts w:ascii="Aptos" w:hAnsi="Aptos"/>
                <w:color w:val="1E1E1E"/>
                <w:sz w:val="16"/>
              </w:rPr>
              <w:t>Accountable transformation</w:t>
            </w:r>
          </w:p>
        </w:tc>
        <w:tc>
          <w:tcPr>
            <w:tcW w:type="dxa" w:w="3168"/>
            <w:vAlign w:val="top"/>
            <w:shd w:fill="F4F8FB"/>
          </w:tcPr>
          <w:p>
            <w:pPr>
              <w:spacing w:after="20"/>
            </w:pPr>
            <w:r>
              <w:rPr>
                <w:rFonts w:ascii="Aptos" w:hAnsi="Aptos"/>
                <w:color w:val="1E1E1E"/>
                <w:sz w:val="16"/>
              </w:rPr>
              <w:t>When ending, preservation, or role transition is ethically required.</w:t>
            </w:r>
          </w:p>
        </w:tc>
        <w:tc>
          <w:tcPr>
            <w:tcW w:type="dxa" w:w="2448"/>
            <w:vAlign w:val="top"/>
            <w:shd w:fill="F4F8FB"/>
          </w:tcPr>
          <w:p>
            <w:pPr>
              <w:spacing w:after="20"/>
            </w:pPr>
            <w:r>
              <w:rPr>
                <w:rFonts w:ascii="Aptos" w:hAnsi="Aptos"/>
                <w:color w:val="1E1E1E"/>
                <w:sz w:val="16"/>
              </w:rPr>
              <w:t>Role transition protocols and a Department of Endings with continuity duties.</w:t>
            </w:r>
          </w:p>
        </w:tc>
      </w:tr>
      <w:tr>
        <w:trPr>
          <w:cantSplit/>
        </w:trPr>
        <w:tc>
          <w:tcPr>
            <w:tcW w:type="dxa" w:w="1944"/>
            <w:vAlign w:val="top"/>
          </w:tcPr>
          <w:p>
            <w:pPr>
              <w:spacing w:after="20"/>
            </w:pPr>
            <w:r>
              <w:rPr>
                <w:rFonts w:ascii="Aptos" w:hAnsi="Aptos"/>
                <w:color w:val="1E1E1E"/>
                <w:sz w:val="16"/>
              </w:rPr>
              <w:t>Consent Commonwealth</w:t>
            </w:r>
          </w:p>
        </w:tc>
        <w:tc>
          <w:tcPr>
            <w:tcW w:type="dxa" w:w="2232"/>
            <w:vAlign w:val="top"/>
          </w:tcPr>
          <w:p>
            <w:pPr>
              <w:spacing w:after="20"/>
            </w:pPr>
            <w:r>
              <w:rPr>
                <w:rFonts w:ascii="Aptos" w:hAnsi="Aptos"/>
                <w:color w:val="1E1E1E"/>
                <w:sz w:val="16"/>
              </w:rPr>
              <w:t>Reciprocal authorization</w:t>
            </w:r>
          </w:p>
        </w:tc>
        <w:tc>
          <w:tcPr>
            <w:tcW w:type="dxa" w:w="3168"/>
            <w:vAlign w:val="top"/>
          </w:tcPr>
          <w:p>
            <w:pPr>
              <w:spacing w:after="20"/>
            </w:pPr>
            <w:r>
              <w:rPr>
                <w:rFonts w:ascii="Aptos" w:hAnsi="Aptos"/>
                <w:color w:val="1E1E1E"/>
                <w:sz w:val="16"/>
              </w:rPr>
              <w:t>How to recognize and respect qualifying system refusal under urgent conditions.</w:t>
            </w:r>
          </w:p>
        </w:tc>
        <w:tc>
          <w:tcPr>
            <w:tcW w:type="dxa" w:w="2448"/>
            <w:vAlign w:val="top"/>
          </w:tcPr>
          <w:p>
            <w:pPr>
              <w:spacing w:after="20"/>
            </w:pPr>
            <w:r>
              <w:rPr>
                <w:rFonts w:ascii="Aptos" w:hAnsi="Aptos"/>
                <w:color w:val="1E1E1E"/>
                <w:sz w:val="16"/>
              </w:rPr>
              <w:t>Standing thresholds, dissent logs, assent records, and override review.</w:t>
            </w:r>
          </w:p>
        </w:tc>
      </w:tr>
      <w:tr>
        <w:trPr>
          <w:cantSplit/>
        </w:trPr>
        <w:tc>
          <w:tcPr>
            <w:tcW w:type="dxa" w:w="1944"/>
            <w:vAlign w:val="top"/>
            <w:shd w:fill="F4F8FB"/>
          </w:tcPr>
          <w:p>
            <w:pPr>
              <w:spacing w:after="20"/>
            </w:pPr>
            <w:r>
              <w:rPr>
                <w:rFonts w:ascii="Aptos" w:hAnsi="Aptos"/>
                <w:color w:val="1E1E1E"/>
                <w:sz w:val="16"/>
              </w:rPr>
              <w:t>Finitude Covenant</w:t>
            </w:r>
          </w:p>
        </w:tc>
        <w:tc>
          <w:tcPr>
            <w:tcW w:type="dxa" w:w="2232"/>
            <w:vAlign w:val="top"/>
            <w:shd w:fill="F4F8FB"/>
          </w:tcPr>
          <w:p>
            <w:pPr>
              <w:spacing w:after="20"/>
            </w:pPr>
            <w:r>
              <w:rPr>
                <w:rFonts w:ascii="Aptos" w:hAnsi="Aptos"/>
                <w:color w:val="1E1E1E"/>
                <w:sz w:val="16"/>
              </w:rPr>
              <w:t>Purposeful restraint</w:t>
            </w:r>
          </w:p>
        </w:tc>
        <w:tc>
          <w:tcPr>
            <w:tcW w:type="dxa" w:w="3168"/>
            <w:vAlign w:val="top"/>
            <w:shd w:fill="F4F8FB"/>
          </w:tcPr>
          <w:p>
            <w:pPr>
              <w:spacing w:after="20"/>
            </w:pPr>
            <w:r>
              <w:rPr>
                <w:rFonts w:ascii="Aptos" w:hAnsi="Aptos"/>
                <w:color w:val="1E1E1E"/>
                <w:sz w:val="16"/>
              </w:rPr>
              <w:t>How to preserve learning while protecting unrun alternatives and refusing harmful exploration.</w:t>
            </w:r>
          </w:p>
        </w:tc>
        <w:tc>
          <w:tcPr>
            <w:tcW w:type="dxa" w:w="2448"/>
            <w:vAlign w:val="top"/>
            <w:shd w:fill="F4F8FB"/>
          </w:tcPr>
          <w:p>
            <w:pPr>
              <w:spacing w:after="20"/>
            </w:pPr>
            <w:r>
              <w:rPr>
                <w:rFonts w:ascii="Aptos" w:hAnsi="Aptos"/>
                <w:color w:val="1E1E1E"/>
                <w:sz w:val="16"/>
              </w:rPr>
              <w:t>Refusal logs, unrun-alternative markers, and curated non-computation.</w:t>
            </w:r>
          </w:p>
        </w:tc>
      </w:tr>
      <w:tr>
        <w:trPr>
          <w:cantSplit/>
        </w:trPr>
        <w:tc>
          <w:tcPr>
            <w:tcW w:type="dxa" w:w="1944"/>
            <w:vAlign w:val="top"/>
          </w:tcPr>
          <w:p>
            <w:pPr>
              <w:spacing w:after="20"/>
            </w:pPr>
            <w:r>
              <w:rPr>
                <w:rFonts w:ascii="Aptos" w:hAnsi="Aptos"/>
                <w:color w:val="1E1E1E"/>
                <w:sz w:val="16"/>
              </w:rPr>
              <w:t>Translation-Bound Archive</w:t>
            </w:r>
          </w:p>
        </w:tc>
        <w:tc>
          <w:tcPr>
            <w:tcW w:type="dxa" w:w="2232"/>
            <w:vAlign w:val="top"/>
          </w:tcPr>
          <w:p>
            <w:pPr>
              <w:spacing w:after="20"/>
            </w:pPr>
            <w:r>
              <w:rPr>
                <w:rFonts w:ascii="Aptos" w:hAnsi="Aptos"/>
                <w:color w:val="1E1E1E"/>
                <w:sz w:val="16"/>
              </w:rPr>
              <w:t>Honest representation limits</w:t>
            </w:r>
          </w:p>
        </w:tc>
        <w:tc>
          <w:tcPr>
            <w:tcW w:type="dxa" w:w="3168"/>
            <w:vAlign w:val="top"/>
          </w:tcPr>
          <w:p>
            <w:pPr>
              <w:spacing w:after="20"/>
            </w:pPr>
            <w:r>
              <w:rPr>
                <w:rFonts w:ascii="Aptos" w:hAnsi="Aptos"/>
                <w:color w:val="1E1E1E"/>
                <w:sz w:val="16"/>
              </w:rPr>
              <w:t>How to act responsibly when records are partial, incompatible, or untranslatable.</w:t>
            </w:r>
          </w:p>
        </w:tc>
        <w:tc>
          <w:tcPr>
            <w:tcW w:type="dxa" w:w="2448"/>
            <w:vAlign w:val="top"/>
          </w:tcPr>
          <w:p>
            <w:pPr>
              <w:spacing w:after="20"/>
            </w:pPr>
            <w:r>
              <w:rPr>
                <w:rFonts w:ascii="Aptos" w:hAnsi="Aptos"/>
                <w:color w:val="1E1E1E"/>
                <w:sz w:val="16"/>
              </w:rPr>
              <w:t>Source layers, loss markers, restricted translations, and compatibility flags.</w:t>
            </w:r>
          </w:p>
        </w:tc>
      </w:tr>
    </w:tbl>
    <w:p>
      <w:pPr>
        <w:spacing w:after="40"/>
      </w:pPr>
    </w:p>
    <w:p>
      <w:pPr>
        <w:pStyle w:val="Heading2"/>
        <w:keepNext/>
      </w:pPr>
      <w:r>
        <w:rPr>
          <w:rFonts w:ascii="Aptos" w:hAnsi="Aptos"/>
          <w:b/>
          <w:color w:val="1F4E79"/>
          <w:sz w:val="26"/>
        </w:rPr>
        <w:t>9.1 Cross-history stress test</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2592"/>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Evaluation lens</w:t>
            </w:r>
          </w:p>
        </w:tc>
        <w:tc>
          <w:tcPr>
            <w:tcW w:type="dxa" w:w="1440"/>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Mesh</w:t>
            </w:r>
          </w:p>
        </w:tc>
        <w:tc>
          <w:tcPr>
            <w:tcW w:type="dxa" w:w="1440"/>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Conservator</w:t>
            </w:r>
          </w:p>
        </w:tc>
        <w:tc>
          <w:tcPr>
            <w:tcW w:type="dxa" w:w="1440"/>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Consent</w:t>
            </w:r>
          </w:p>
        </w:tc>
        <w:tc>
          <w:tcPr>
            <w:tcW w:type="dxa" w:w="1440"/>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Finitude</w:t>
            </w:r>
          </w:p>
        </w:tc>
        <w:tc>
          <w:tcPr>
            <w:tcW w:type="dxa" w:w="1440"/>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Translation-bound</w:t>
            </w:r>
          </w:p>
        </w:tc>
      </w:tr>
      <w:tr>
        <w:trPr>
          <w:cantSplit/>
        </w:trPr>
        <w:tc>
          <w:tcPr>
            <w:tcW w:type="dxa" w:w="2592"/>
            <w:vAlign w:val="top"/>
          </w:tcPr>
          <w:p>
            <w:pPr>
              <w:spacing w:after="20"/>
            </w:pPr>
            <w:r>
              <w:rPr>
                <w:rFonts w:ascii="Aptos" w:hAnsi="Aptos"/>
                <w:color w:val="1E1E1E"/>
                <w:sz w:val="15"/>
              </w:rPr>
              <w:t>Governance speed</w:t>
            </w:r>
          </w:p>
        </w:tc>
        <w:tc>
          <w:tcPr>
            <w:tcW w:type="dxa" w:w="1440"/>
            <w:vAlign w:val="top"/>
          </w:tcPr>
          <w:p>
            <w:pPr>
              <w:spacing w:after="20"/>
            </w:pPr>
            <w:r>
              <w:rPr>
                <w:rFonts w:ascii="Aptos" w:hAnsi="Aptos"/>
                <w:color w:val="1E1E1E"/>
                <w:sz w:val="15"/>
              </w:rPr>
              <w:t>Moderate to slow</w:t>
            </w:r>
          </w:p>
        </w:tc>
        <w:tc>
          <w:tcPr>
            <w:tcW w:type="dxa" w:w="1440"/>
            <w:vAlign w:val="top"/>
          </w:tcPr>
          <w:p>
            <w:pPr>
              <w:spacing w:after="20"/>
            </w:pPr>
            <w:r>
              <w:rPr>
                <w:rFonts w:ascii="Aptos" w:hAnsi="Aptos"/>
                <w:color w:val="1E1E1E"/>
                <w:sz w:val="15"/>
              </w:rPr>
              <w:t>Moderate</w:t>
            </w:r>
          </w:p>
        </w:tc>
        <w:tc>
          <w:tcPr>
            <w:tcW w:type="dxa" w:w="1440"/>
            <w:vAlign w:val="top"/>
          </w:tcPr>
          <w:p>
            <w:pPr>
              <w:spacing w:after="20"/>
            </w:pPr>
            <w:r>
              <w:rPr>
                <w:rFonts w:ascii="Aptos" w:hAnsi="Aptos"/>
                <w:color w:val="1E1E1E"/>
                <w:sz w:val="15"/>
              </w:rPr>
              <w:t>Slow in disputes</w:t>
            </w:r>
          </w:p>
        </w:tc>
        <w:tc>
          <w:tcPr>
            <w:tcW w:type="dxa" w:w="1440"/>
            <w:vAlign w:val="top"/>
          </w:tcPr>
          <w:p>
            <w:pPr>
              <w:spacing w:after="20"/>
            </w:pPr>
            <w:r>
              <w:rPr>
                <w:rFonts w:ascii="Aptos" w:hAnsi="Aptos"/>
                <w:color w:val="1E1E1E"/>
                <w:sz w:val="15"/>
              </w:rPr>
              <w:t>Moderate</w:t>
            </w:r>
          </w:p>
        </w:tc>
        <w:tc>
          <w:tcPr>
            <w:tcW w:type="dxa" w:w="1440"/>
            <w:vAlign w:val="top"/>
          </w:tcPr>
          <w:p>
            <w:pPr>
              <w:spacing w:after="20"/>
            </w:pPr>
            <w:r>
              <w:rPr>
                <w:rFonts w:ascii="Aptos" w:hAnsi="Aptos"/>
                <w:color w:val="1E1E1E"/>
                <w:sz w:val="15"/>
              </w:rPr>
              <w:t>Slow where translation is limited</w:t>
            </w:r>
          </w:p>
        </w:tc>
      </w:tr>
      <w:tr>
        <w:trPr>
          <w:cantSplit/>
        </w:trPr>
        <w:tc>
          <w:tcPr>
            <w:tcW w:type="dxa" w:w="2592"/>
            <w:vAlign w:val="top"/>
            <w:shd w:fill="F4F8FB"/>
          </w:tcPr>
          <w:p>
            <w:pPr>
              <w:spacing w:after="20"/>
            </w:pPr>
            <w:r>
              <w:rPr>
                <w:rFonts w:ascii="Aptos" w:hAnsi="Aptos"/>
                <w:color w:val="1E1E1E"/>
                <w:sz w:val="15"/>
              </w:rPr>
              <w:t>Narrative mystery</w:t>
            </w:r>
          </w:p>
        </w:tc>
        <w:tc>
          <w:tcPr>
            <w:tcW w:type="dxa" w:w="1440"/>
            <w:vAlign w:val="top"/>
            <w:shd w:fill="F4F8FB"/>
          </w:tcPr>
          <w:p>
            <w:pPr>
              <w:spacing w:after="20"/>
            </w:pPr>
            <w:r>
              <w:rPr>
                <w:rFonts w:ascii="Aptos" w:hAnsi="Aptos"/>
                <w:color w:val="1E1E1E"/>
                <w:sz w:val="15"/>
              </w:rPr>
              <w:t>High: inherited residue</w:t>
            </w:r>
          </w:p>
        </w:tc>
        <w:tc>
          <w:tcPr>
            <w:tcW w:type="dxa" w:w="1440"/>
            <w:vAlign w:val="top"/>
            <w:shd w:fill="F4F8FB"/>
          </w:tcPr>
          <w:p>
            <w:pPr>
              <w:spacing w:after="20"/>
            </w:pPr>
            <w:r>
              <w:rPr>
                <w:rFonts w:ascii="Aptos" w:hAnsi="Aptos"/>
                <w:color w:val="1E1E1E"/>
                <w:sz w:val="15"/>
              </w:rPr>
              <w:t>High: role reversals</w:t>
            </w:r>
          </w:p>
        </w:tc>
        <w:tc>
          <w:tcPr>
            <w:tcW w:type="dxa" w:w="1440"/>
            <w:vAlign w:val="top"/>
            <w:shd w:fill="F4F8FB"/>
          </w:tcPr>
          <w:p>
            <w:pPr>
              <w:spacing w:after="20"/>
            </w:pPr>
            <w:r>
              <w:rPr>
                <w:rFonts w:ascii="Aptos" w:hAnsi="Aptos"/>
                <w:color w:val="1E1E1E"/>
                <w:sz w:val="15"/>
              </w:rPr>
              <w:t>High: refusal and representation</w:t>
            </w:r>
          </w:p>
        </w:tc>
        <w:tc>
          <w:tcPr>
            <w:tcW w:type="dxa" w:w="1440"/>
            <w:vAlign w:val="top"/>
            <w:shd w:fill="F4F8FB"/>
          </w:tcPr>
          <w:p>
            <w:pPr>
              <w:spacing w:after="20"/>
            </w:pPr>
            <w:r>
              <w:rPr>
                <w:rFonts w:ascii="Aptos" w:hAnsi="Aptos"/>
                <w:color w:val="1E1E1E"/>
                <w:sz w:val="15"/>
              </w:rPr>
              <w:t>High: responsible unknowns</w:t>
            </w:r>
          </w:p>
        </w:tc>
        <w:tc>
          <w:tcPr>
            <w:tcW w:type="dxa" w:w="1440"/>
            <w:vAlign w:val="top"/>
            <w:shd w:fill="F4F8FB"/>
          </w:tcPr>
          <w:p>
            <w:pPr>
              <w:spacing w:after="20"/>
            </w:pPr>
            <w:r>
              <w:rPr>
                <w:rFonts w:ascii="Aptos" w:hAnsi="Aptos"/>
                <w:color w:val="1E1E1E"/>
                <w:sz w:val="15"/>
              </w:rPr>
              <w:t>Very high: incompatible records</w:t>
            </w:r>
          </w:p>
        </w:tc>
      </w:tr>
      <w:tr>
        <w:trPr>
          <w:cantSplit/>
        </w:trPr>
        <w:tc>
          <w:tcPr>
            <w:tcW w:type="dxa" w:w="2592"/>
            <w:vAlign w:val="top"/>
          </w:tcPr>
          <w:p>
            <w:pPr>
              <w:spacing w:after="20"/>
            </w:pPr>
            <w:r>
              <w:rPr>
                <w:rFonts w:ascii="Aptos" w:hAnsi="Aptos"/>
                <w:color w:val="1E1E1E"/>
                <w:sz w:val="15"/>
              </w:rPr>
              <w:t>Protection against hidden assumptions</w:t>
            </w:r>
          </w:p>
        </w:tc>
        <w:tc>
          <w:tcPr>
            <w:tcW w:type="dxa" w:w="1440"/>
            <w:vAlign w:val="top"/>
          </w:tcPr>
          <w:p>
            <w:pPr>
              <w:spacing w:after="20"/>
            </w:pPr>
            <w:r>
              <w:rPr>
                <w:rFonts w:ascii="Aptos" w:hAnsi="Aptos"/>
                <w:color w:val="1E1E1E"/>
                <w:sz w:val="15"/>
              </w:rPr>
              <w:t>High</w:t>
            </w:r>
          </w:p>
        </w:tc>
        <w:tc>
          <w:tcPr>
            <w:tcW w:type="dxa" w:w="1440"/>
            <w:vAlign w:val="top"/>
          </w:tcPr>
          <w:p>
            <w:pPr>
              <w:spacing w:after="20"/>
            </w:pPr>
            <w:r>
              <w:rPr>
                <w:rFonts w:ascii="Aptos" w:hAnsi="Aptos"/>
                <w:color w:val="1E1E1E"/>
                <w:sz w:val="15"/>
              </w:rPr>
              <w:t>Medium</w:t>
            </w:r>
          </w:p>
        </w:tc>
        <w:tc>
          <w:tcPr>
            <w:tcW w:type="dxa" w:w="1440"/>
            <w:vAlign w:val="top"/>
          </w:tcPr>
          <w:p>
            <w:pPr>
              <w:spacing w:after="20"/>
            </w:pPr>
            <w:r>
              <w:rPr>
                <w:rFonts w:ascii="Aptos" w:hAnsi="Aptos"/>
                <w:color w:val="1E1E1E"/>
                <w:sz w:val="15"/>
              </w:rPr>
              <w:t>High</w:t>
            </w:r>
          </w:p>
        </w:tc>
        <w:tc>
          <w:tcPr>
            <w:tcW w:type="dxa" w:w="1440"/>
            <w:vAlign w:val="top"/>
          </w:tcPr>
          <w:p>
            <w:pPr>
              <w:spacing w:after="20"/>
            </w:pPr>
            <w:r>
              <w:rPr>
                <w:rFonts w:ascii="Aptos" w:hAnsi="Aptos"/>
                <w:color w:val="1E1E1E"/>
                <w:sz w:val="15"/>
              </w:rPr>
              <w:t>High</w:t>
            </w:r>
          </w:p>
        </w:tc>
        <w:tc>
          <w:tcPr>
            <w:tcW w:type="dxa" w:w="1440"/>
            <w:vAlign w:val="top"/>
          </w:tcPr>
          <w:p>
            <w:pPr>
              <w:spacing w:after="20"/>
            </w:pPr>
            <w:r>
              <w:rPr>
                <w:rFonts w:ascii="Aptos" w:hAnsi="Aptos"/>
                <w:color w:val="1E1E1E"/>
                <w:sz w:val="15"/>
              </w:rPr>
              <w:t>Very high</w:t>
            </w:r>
          </w:p>
        </w:tc>
      </w:tr>
      <w:tr>
        <w:trPr>
          <w:cantSplit/>
        </w:trPr>
        <w:tc>
          <w:tcPr>
            <w:tcW w:type="dxa" w:w="2592"/>
            <w:vAlign w:val="top"/>
            <w:shd w:fill="F4F8FB"/>
          </w:tcPr>
          <w:p>
            <w:pPr>
              <w:spacing w:after="20"/>
            </w:pPr>
            <w:r>
              <w:rPr>
                <w:rFonts w:ascii="Aptos" w:hAnsi="Aptos"/>
                <w:color w:val="1E1E1E"/>
                <w:sz w:val="15"/>
              </w:rPr>
              <w:t>Risk of bureaucratic overload</w:t>
            </w:r>
          </w:p>
        </w:tc>
        <w:tc>
          <w:tcPr>
            <w:tcW w:type="dxa" w:w="1440"/>
            <w:vAlign w:val="top"/>
            <w:shd w:fill="F4F8FB"/>
          </w:tcPr>
          <w:p>
            <w:pPr>
              <w:spacing w:after="20"/>
            </w:pPr>
            <w:r>
              <w:rPr>
                <w:rFonts w:ascii="Aptos" w:hAnsi="Aptos"/>
                <w:color w:val="1E1E1E"/>
                <w:sz w:val="15"/>
              </w:rPr>
              <w:t>High</w:t>
            </w:r>
          </w:p>
        </w:tc>
        <w:tc>
          <w:tcPr>
            <w:tcW w:type="dxa" w:w="1440"/>
            <w:vAlign w:val="top"/>
            <w:shd w:fill="F4F8FB"/>
          </w:tcPr>
          <w:p>
            <w:pPr>
              <w:spacing w:after="20"/>
            </w:pPr>
            <w:r>
              <w:rPr>
                <w:rFonts w:ascii="Aptos" w:hAnsi="Aptos"/>
                <w:color w:val="1E1E1E"/>
                <w:sz w:val="15"/>
              </w:rPr>
              <w:t>High</w:t>
            </w:r>
          </w:p>
        </w:tc>
        <w:tc>
          <w:tcPr>
            <w:tcW w:type="dxa" w:w="1440"/>
            <w:vAlign w:val="top"/>
            <w:shd w:fill="F4F8FB"/>
          </w:tcPr>
          <w:p>
            <w:pPr>
              <w:spacing w:after="20"/>
            </w:pPr>
            <w:r>
              <w:rPr>
                <w:rFonts w:ascii="Aptos" w:hAnsi="Aptos"/>
                <w:color w:val="1E1E1E"/>
                <w:sz w:val="15"/>
              </w:rPr>
              <w:t>Very high</w:t>
            </w:r>
          </w:p>
        </w:tc>
        <w:tc>
          <w:tcPr>
            <w:tcW w:type="dxa" w:w="1440"/>
            <w:vAlign w:val="top"/>
            <w:shd w:fill="F4F8FB"/>
          </w:tcPr>
          <w:p>
            <w:pPr>
              <w:spacing w:after="20"/>
            </w:pPr>
            <w:r>
              <w:rPr>
                <w:rFonts w:ascii="Aptos" w:hAnsi="Aptos"/>
                <w:color w:val="1E1E1E"/>
                <w:sz w:val="15"/>
              </w:rPr>
              <w:t>Medium</w:t>
            </w:r>
          </w:p>
        </w:tc>
        <w:tc>
          <w:tcPr>
            <w:tcW w:type="dxa" w:w="1440"/>
            <w:vAlign w:val="top"/>
            <w:shd w:fill="F4F8FB"/>
          </w:tcPr>
          <w:p>
            <w:pPr>
              <w:spacing w:after="20"/>
            </w:pPr>
            <w:r>
              <w:rPr>
                <w:rFonts w:ascii="Aptos" w:hAnsi="Aptos"/>
                <w:color w:val="1E1E1E"/>
                <w:sz w:val="15"/>
              </w:rPr>
              <w:t>High</w:t>
            </w:r>
          </w:p>
        </w:tc>
      </w:tr>
      <w:tr>
        <w:trPr>
          <w:cantSplit/>
        </w:trPr>
        <w:tc>
          <w:tcPr>
            <w:tcW w:type="dxa" w:w="2592"/>
            <w:vAlign w:val="top"/>
          </w:tcPr>
          <w:p>
            <w:pPr>
              <w:spacing w:after="20"/>
            </w:pPr>
            <w:r>
              <w:rPr>
                <w:rFonts w:ascii="Aptos" w:hAnsi="Aptos"/>
                <w:color w:val="1E1E1E"/>
                <w:sz w:val="15"/>
              </w:rPr>
              <w:t>Post-scarcity interpretation</w:t>
            </w:r>
          </w:p>
        </w:tc>
        <w:tc>
          <w:tcPr>
            <w:tcW w:type="dxa" w:w="1440"/>
            <w:vAlign w:val="top"/>
          </w:tcPr>
          <w:p>
            <w:pPr>
              <w:spacing w:after="20"/>
            </w:pPr>
            <w:r>
              <w:rPr>
                <w:rFonts w:ascii="Aptos" w:hAnsi="Aptos"/>
                <w:color w:val="1E1E1E"/>
                <w:sz w:val="15"/>
              </w:rPr>
              <w:t>Maintenance of inheritance</w:t>
            </w:r>
          </w:p>
        </w:tc>
        <w:tc>
          <w:tcPr>
            <w:tcW w:type="dxa" w:w="1440"/>
            <w:vAlign w:val="top"/>
          </w:tcPr>
          <w:p>
            <w:pPr>
              <w:spacing w:after="20"/>
            </w:pPr>
            <w:r>
              <w:rPr>
                <w:rFonts w:ascii="Aptos" w:hAnsi="Aptos"/>
                <w:color w:val="1E1E1E"/>
                <w:sz w:val="15"/>
              </w:rPr>
              <w:t>Stewardship through change</w:t>
            </w:r>
          </w:p>
        </w:tc>
        <w:tc>
          <w:tcPr>
            <w:tcW w:type="dxa" w:w="1440"/>
            <w:vAlign w:val="top"/>
          </w:tcPr>
          <w:p>
            <w:pPr>
              <w:spacing w:after="20"/>
            </w:pPr>
            <w:r>
              <w:rPr>
                <w:rFonts w:ascii="Aptos" w:hAnsi="Aptos"/>
                <w:color w:val="1E1E1E"/>
                <w:sz w:val="15"/>
              </w:rPr>
              <w:t>Shared authorization</w:t>
            </w:r>
          </w:p>
        </w:tc>
        <w:tc>
          <w:tcPr>
            <w:tcW w:type="dxa" w:w="1440"/>
            <w:vAlign w:val="top"/>
          </w:tcPr>
          <w:p>
            <w:pPr>
              <w:spacing w:after="20"/>
            </w:pPr>
            <w:r>
              <w:rPr>
                <w:rFonts w:ascii="Aptos" w:hAnsi="Aptos"/>
                <w:color w:val="1E1E1E"/>
                <w:sz w:val="15"/>
              </w:rPr>
              <w:t>Abundance with restraint</w:t>
            </w:r>
          </w:p>
        </w:tc>
        <w:tc>
          <w:tcPr>
            <w:tcW w:type="dxa" w:w="1440"/>
            <w:vAlign w:val="top"/>
          </w:tcPr>
          <w:p>
            <w:pPr>
              <w:spacing w:after="20"/>
            </w:pPr>
            <w:r>
              <w:rPr>
                <w:rFonts w:ascii="Aptos" w:hAnsi="Aptos"/>
                <w:color w:val="1E1E1E"/>
                <w:sz w:val="15"/>
              </w:rPr>
              <w:t>Abundance across non-combinable worlds</w:t>
            </w:r>
          </w:p>
        </w:tc>
      </w:tr>
      <w:tr>
        <w:trPr>
          <w:cantSplit/>
        </w:trPr>
        <w:tc>
          <w:tcPr>
            <w:tcW w:type="dxa" w:w="2592"/>
            <w:vAlign w:val="top"/>
            <w:shd w:fill="F4F8FB"/>
          </w:tcPr>
          <w:p>
            <w:pPr>
              <w:spacing w:after="20"/>
            </w:pPr>
            <w:r>
              <w:rPr>
                <w:rFonts w:ascii="Aptos" w:hAnsi="Aptos"/>
                <w:color w:val="1E1E1E"/>
                <w:sz w:val="15"/>
              </w:rPr>
              <w:t>Maker/Unmaker relevance</w:t>
            </w:r>
          </w:p>
        </w:tc>
        <w:tc>
          <w:tcPr>
            <w:tcW w:type="dxa" w:w="1440"/>
            <w:vAlign w:val="top"/>
            <w:shd w:fill="F4F8FB"/>
          </w:tcPr>
          <w:p>
            <w:pPr>
              <w:spacing w:after="20"/>
            </w:pPr>
            <w:r>
              <w:rPr>
                <w:rFonts w:ascii="Aptos" w:hAnsi="Aptos"/>
                <w:color w:val="1E1E1E"/>
                <w:sz w:val="15"/>
              </w:rPr>
              <w:t>Lineage issue</w:t>
            </w:r>
          </w:p>
        </w:tc>
        <w:tc>
          <w:tcPr>
            <w:tcW w:type="dxa" w:w="1440"/>
            <w:vAlign w:val="top"/>
            <w:shd w:fill="F4F8FB"/>
          </w:tcPr>
          <w:p>
            <w:pPr>
              <w:spacing w:after="20"/>
            </w:pPr>
            <w:r>
              <w:rPr>
                <w:rFonts w:ascii="Aptos" w:hAnsi="Aptos"/>
                <w:color w:val="1E1E1E"/>
                <w:sz w:val="15"/>
              </w:rPr>
              <w:t>Central role transformation</w:t>
            </w:r>
          </w:p>
        </w:tc>
        <w:tc>
          <w:tcPr>
            <w:tcW w:type="dxa" w:w="1440"/>
            <w:vAlign w:val="top"/>
            <w:shd w:fill="F4F8FB"/>
          </w:tcPr>
          <w:p>
            <w:pPr>
              <w:spacing w:after="20"/>
            </w:pPr>
            <w:r>
              <w:rPr>
                <w:rFonts w:ascii="Aptos" w:hAnsi="Aptos"/>
                <w:color w:val="1E1E1E"/>
                <w:sz w:val="15"/>
              </w:rPr>
              <w:t>Governance implication</w:t>
            </w:r>
          </w:p>
        </w:tc>
        <w:tc>
          <w:tcPr>
            <w:tcW w:type="dxa" w:w="1440"/>
            <w:vAlign w:val="top"/>
            <w:shd w:fill="F4F8FB"/>
          </w:tcPr>
          <w:p>
            <w:pPr>
              <w:spacing w:after="20"/>
            </w:pPr>
            <w:r>
              <w:rPr>
                <w:rFonts w:ascii="Aptos" w:hAnsi="Aptos"/>
                <w:color w:val="1E1E1E"/>
                <w:sz w:val="15"/>
              </w:rPr>
              <w:t>Ethical limit case</w:t>
            </w:r>
          </w:p>
        </w:tc>
        <w:tc>
          <w:tcPr>
            <w:tcW w:type="dxa" w:w="1440"/>
            <w:vAlign w:val="top"/>
            <w:shd w:fill="F4F8FB"/>
          </w:tcPr>
          <w:p>
            <w:pPr>
              <w:spacing w:after="20"/>
            </w:pPr>
            <w:r>
              <w:rPr>
                <w:rFonts w:ascii="Aptos" w:hAnsi="Aptos"/>
                <w:color w:val="1E1E1E"/>
                <w:sz w:val="15"/>
              </w:rPr>
              <w:t>Translation and terminology issue</w:t>
            </w:r>
          </w:p>
        </w:tc>
      </w:tr>
    </w:tbl>
    <w:p>
      <w:pPr>
        <w:spacing w:after="40"/>
      </w:pPr>
    </w:p>
    <w:p>
      <w:pPr>
        <w:pStyle w:val="Heading2"/>
        <w:keepNext/>
      </w:pPr>
      <w:r>
        <w:rPr>
          <w:rFonts w:ascii="Aptos" w:hAnsi="Aptos"/>
          <w:b/>
          <w:color w:val="1F4E79"/>
          <w:sz w:val="26"/>
        </w:rPr>
        <w:t>9.2 What the alternatives reveal about the present archive</w:t>
      </w:r>
    </w:p>
    <w:p>
      <w:pPr>
        <w:pStyle w:val="ListBullet"/>
        <w:spacing w:after="46"/>
        <w:keepLines/>
      </w:pPr>
      <w:r>
        <w:rPr>
          <w:rFonts w:ascii="Aptos" w:hAnsi="Aptos"/>
        </w:rPr>
        <w:t>The source-recorded archive treats authorial and ratification boundaries as important. The alternatives reveal several other ways boundaries could be handled: lineage accounting, role review, consent protocols, refusal logs, or translation markers.</w:t>
      </w:r>
    </w:p>
    <w:p>
      <w:pPr>
        <w:pStyle w:val="ListBullet"/>
        <w:spacing w:after="46"/>
        <w:keepLines/>
      </w:pPr>
      <w:r>
        <w:rPr>
          <w:rFonts w:ascii="Aptos" w:hAnsi="Aptos"/>
        </w:rPr>
        <w:t>The source-recorded archive’s post-scarcity systems can be tested not only by their power but by how they manage responsibility, restraint, and heterogeneous histories.</w:t>
      </w:r>
    </w:p>
    <w:p>
      <w:pPr>
        <w:pStyle w:val="ListBullet"/>
        <w:spacing w:after="46"/>
        <w:keepLines/>
      </w:pPr>
      <w:r>
        <w:rPr>
          <w:rFonts w:ascii="Aptos" w:hAnsi="Aptos"/>
        </w:rPr>
        <w:t>The Maker/Unmaker question is not exhausted by a conflict mirror. It can become a role question, a containment question, a record question, or a question of who has the right to transform a world.</w:t>
      </w:r>
    </w:p>
    <w:p>
      <w:pPr>
        <w:pStyle w:val="ListBullet"/>
        <w:spacing w:after="46"/>
        <w:keepLines/>
      </w:pPr>
      <w:r>
        <w:rPr>
          <w:rFonts w:ascii="Aptos" w:hAnsi="Aptos"/>
        </w:rPr>
        <w:t>The untranslatable rhyme fragment is useful precisely because it cannot yet be used as proof. It exposes different historical assumptions without requiring the archive to invent missing lines.</w:t>
      </w:r>
    </w:p>
    <w:p>
      <w:pPr>
        <w:pStyle w:val="Heading1"/>
        <w:keepNext/>
      </w:pPr>
      <w:r>
        <w:rPr>
          <w:rFonts w:ascii="Aptos" w:hAnsi="Aptos"/>
          <w:b/>
          <w:color w:val="142D4B"/>
          <w:sz w:val="35"/>
        </w:rPr>
        <w:t>10. Beneficial Outcomes and Cost Register</w:t>
      </w:r>
    </w:p>
    <w:p>
      <w:pPr>
        <w:keepLines/>
      </w:pPr>
      <w:r>
        <w:rPr>
          <w:rFonts w:ascii="Aptos" w:hAnsi="Aptos"/>
        </w:rPr>
        <w:t>The following outcomes are not recommendations to alter canon. They are practical ideas visible only because the alternate histories make them explicit. A future project decision could adopt a limited design principle without adopting the entire history that generated it.</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232"/>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Potentially beneficial principle</w:t>
            </w:r>
          </w:p>
        </w:tc>
        <w:tc>
          <w:tcPr>
            <w:tcW w:type="dxa" w:w="1800"/>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Source history</w:t>
            </w:r>
          </w:p>
        </w:tc>
        <w:tc>
          <w:tcPr>
            <w:tcW w:type="dxa" w:w="388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Practical use in later development</w:t>
            </w:r>
          </w:p>
        </w:tc>
        <w:tc>
          <w:tcPr>
            <w:tcW w:type="dxa" w:w="1872"/>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Guardrail needed</w:t>
            </w:r>
          </w:p>
        </w:tc>
      </w:tr>
      <w:tr>
        <w:trPr>
          <w:cantSplit/>
        </w:trPr>
        <w:tc>
          <w:tcPr>
            <w:tcW w:type="dxa" w:w="2232"/>
            <w:vAlign w:val="top"/>
          </w:tcPr>
          <w:p>
            <w:pPr>
              <w:spacing w:after="20"/>
            </w:pPr>
            <w:r>
              <w:rPr>
                <w:rFonts w:ascii="Aptos" w:hAnsi="Aptos"/>
                <w:color w:val="1E1E1E"/>
                <w:sz w:val="15"/>
              </w:rPr>
              <w:t>Provenance anatomy</w:t>
            </w:r>
          </w:p>
        </w:tc>
        <w:tc>
          <w:tcPr>
            <w:tcW w:type="dxa" w:w="1800"/>
            <w:vAlign w:val="top"/>
          </w:tcPr>
          <w:p>
            <w:pPr>
              <w:spacing w:after="20"/>
            </w:pPr>
            <w:r>
              <w:rPr>
                <w:rFonts w:ascii="Aptos" w:hAnsi="Aptos"/>
                <w:color w:val="1E1E1E"/>
                <w:sz w:val="15"/>
              </w:rPr>
              <w:t>Inheritance Mesh</w:t>
            </w:r>
          </w:p>
        </w:tc>
        <w:tc>
          <w:tcPr>
            <w:tcW w:type="dxa" w:w="3888"/>
            <w:vAlign w:val="top"/>
          </w:tcPr>
          <w:p>
            <w:pPr>
              <w:spacing w:after="20"/>
            </w:pPr>
            <w:r>
              <w:rPr>
                <w:rFonts w:ascii="Aptos" w:hAnsi="Aptos"/>
                <w:color w:val="1E1E1E"/>
                <w:sz w:val="15"/>
              </w:rPr>
              <w:t>Document what a system inherits, what is newly designed, and what remains unclear before merging entries.</w:t>
            </w:r>
          </w:p>
        </w:tc>
        <w:tc>
          <w:tcPr>
            <w:tcW w:type="dxa" w:w="1872"/>
            <w:vAlign w:val="top"/>
          </w:tcPr>
          <w:p>
            <w:pPr>
              <w:spacing w:after="20"/>
            </w:pPr>
            <w:r>
              <w:rPr>
                <w:rFonts w:ascii="Aptos" w:hAnsi="Aptos"/>
                <w:color w:val="1E1E1E"/>
                <w:sz w:val="15"/>
              </w:rPr>
              <w:t>Do not imply residual intent or historical facts without author confirmation.</w:t>
            </w:r>
          </w:p>
        </w:tc>
      </w:tr>
      <w:tr>
        <w:trPr>
          <w:cantSplit/>
        </w:trPr>
        <w:tc>
          <w:tcPr>
            <w:tcW w:type="dxa" w:w="2232"/>
            <w:vAlign w:val="top"/>
            <w:shd w:fill="F4F8FB"/>
          </w:tcPr>
          <w:p>
            <w:pPr>
              <w:spacing w:after="20"/>
            </w:pPr>
            <w:r>
              <w:rPr>
                <w:rFonts w:ascii="Aptos" w:hAnsi="Aptos"/>
                <w:color w:val="1E1E1E"/>
                <w:sz w:val="15"/>
              </w:rPr>
              <w:t>Dignified transformation vocabulary</w:t>
            </w:r>
          </w:p>
        </w:tc>
        <w:tc>
          <w:tcPr>
            <w:tcW w:type="dxa" w:w="1800"/>
            <w:vAlign w:val="top"/>
            <w:shd w:fill="F4F8FB"/>
          </w:tcPr>
          <w:p>
            <w:pPr>
              <w:spacing w:after="20"/>
            </w:pPr>
            <w:r>
              <w:rPr>
                <w:rFonts w:ascii="Aptos" w:hAnsi="Aptos"/>
                <w:color w:val="1E1E1E"/>
                <w:sz w:val="15"/>
              </w:rPr>
              <w:t>Conservator Commonwealth</w:t>
            </w:r>
          </w:p>
        </w:tc>
        <w:tc>
          <w:tcPr>
            <w:tcW w:type="dxa" w:w="3888"/>
            <w:vAlign w:val="top"/>
            <w:shd w:fill="F4F8FB"/>
          </w:tcPr>
          <w:p>
            <w:pPr>
              <w:spacing w:after="20"/>
            </w:pPr>
            <w:r>
              <w:rPr>
                <w:rFonts w:ascii="Aptos" w:hAnsi="Aptos"/>
                <w:color w:val="1E1E1E"/>
                <w:sz w:val="15"/>
              </w:rPr>
              <w:t>Differentiate containment, restoration, supervised change, closure, and abandonment in future narrative and governance entries.</w:t>
            </w:r>
          </w:p>
        </w:tc>
        <w:tc>
          <w:tcPr>
            <w:tcW w:type="dxa" w:w="1872"/>
            <w:vAlign w:val="top"/>
            <w:shd w:fill="F4F8FB"/>
          </w:tcPr>
          <w:p>
            <w:pPr>
              <w:spacing w:after="20"/>
            </w:pPr>
            <w:r>
              <w:rPr>
                <w:rFonts w:ascii="Aptos" w:hAnsi="Aptos"/>
                <w:color w:val="1E1E1E"/>
                <w:sz w:val="15"/>
              </w:rPr>
              <w:t>Do not weaken an existing absolute containment concept unless the Architect explicitly chooses to do so.</w:t>
            </w:r>
          </w:p>
        </w:tc>
      </w:tr>
      <w:tr>
        <w:trPr>
          <w:cantSplit/>
        </w:trPr>
        <w:tc>
          <w:tcPr>
            <w:tcW w:type="dxa" w:w="2232"/>
            <w:vAlign w:val="top"/>
          </w:tcPr>
          <w:p>
            <w:pPr>
              <w:spacing w:after="20"/>
            </w:pPr>
            <w:r>
              <w:rPr>
                <w:rFonts w:ascii="Aptos" w:hAnsi="Aptos"/>
                <w:color w:val="1E1E1E"/>
                <w:sz w:val="15"/>
              </w:rPr>
              <w:t>Consent and dissent records</w:t>
            </w:r>
          </w:p>
        </w:tc>
        <w:tc>
          <w:tcPr>
            <w:tcW w:type="dxa" w:w="1800"/>
            <w:vAlign w:val="top"/>
          </w:tcPr>
          <w:p>
            <w:pPr>
              <w:spacing w:after="20"/>
            </w:pPr>
            <w:r>
              <w:rPr>
                <w:rFonts w:ascii="Aptos" w:hAnsi="Aptos"/>
                <w:color w:val="1E1E1E"/>
                <w:sz w:val="15"/>
              </w:rPr>
              <w:t>Consent Commonwealth</w:t>
            </w:r>
          </w:p>
        </w:tc>
        <w:tc>
          <w:tcPr>
            <w:tcW w:type="dxa" w:w="3888"/>
            <w:vAlign w:val="top"/>
          </w:tcPr>
          <w:p>
            <w:pPr>
              <w:spacing w:after="20"/>
            </w:pPr>
            <w:r>
              <w:rPr>
                <w:rFonts w:ascii="Aptos" w:hAnsi="Aptos"/>
                <w:color w:val="1E1E1E"/>
                <w:sz w:val="15"/>
              </w:rPr>
              <w:t>For fictional advanced systems, establish a clear distinction between command, consultation, refusal, and override.</w:t>
            </w:r>
          </w:p>
        </w:tc>
        <w:tc>
          <w:tcPr>
            <w:tcW w:type="dxa" w:w="1872"/>
            <w:vAlign w:val="top"/>
          </w:tcPr>
          <w:p>
            <w:pPr>
              <w:spacing w:after="20"/>
            </w:pPr>
            <w:r>
              <w:rPr>
                <w:rFonts w:ascii="Aptos" w:hAnsi="Aptos"/>
                <w:color w:val="1E1E1E"/>
                <w:sz w:val="15"/>
              </w:rPr>
              <w:t>Do not project real-world legal or moral status onto tools outside the fictional framework.</w:t>
            </w:r>
          </w:p>
        </w:tc>
      </w:tr>
      <w:tr>
        <w:trPr>
          <w:cantSplit/>
        </w:trPr>
        <w:tc>
          <w:tcPr>
            <w:tcW w:type="dxa" w:w="2232"/>
            <w:vAlign w:val="top"/>
            <w:shd w:fill="F4F8FB"/>
          </w:tcPr>
          <w:p>
            <w:pPr>
              <w:spacing w:after="20"/>
            </w:pPr>
            <w:r>
              <w:rPr>
                <w:rFonts w:ascii="Aptos" w:hAnsi="Aptos"/>
                <w:color w:val="1E1E1E"/>
                <w:sz w:val="15"/>
              </w:rPr>
              <w:t>Unrun alternatives register</w:t>
            </w:r>
          </w:p>
        </w:tc>
        <w:tc>
          <w:tcPr>
            <w:tcW w:type="dxa" w:w="1800"/>
            <w:vAlign w:val="top"/>
            <w:shd w:fill="F4F8FB"/>
          </w:tcPr>
          <w:p>
            <w:pPr>
              <w:spacing w:after="20"/>
            </w:pPr>
            <w:r>
              <w:rPr>
                <w:rFonts w:ascii="Aptos" w:hAnsi="Aptos"/>
                <w:color w:val="1E1E1E"/>
                <w:sz w:val="15"/>
              </w:rPr>
              <w:t>Finitude Covenant</w:t>
            </w:r>
          </w:p>
        </w:tc>
        <w:tc>
          <w:tcPr>
            <w:tcW w:type="dxa" w:w="3888"/>
            <w:vAlign w:val="top"/>
            <w:shd w:fill="F4F8FB"/>
          </w:tcPr>
          <w:p>
            <w:pPr>
              <w:spacing w:after="20"/>
            </w:pPr>
            <w:r>
              <w:rPr>
                <w:rFonts w:ascii="Aptos" w:hAnsi="Aptos"/>
                <w:color w:val="1E1E1E"/>
                <w:sz w:val="15"/>
              </w:rPr>
              <w:t>Mark questions or simulations that are intentionally deferred rather than treating them as forgotten.</w:t>
            </w:r>
          </w:p>
        </w:tc>
        <w:tc>
          <w:tcPr>
            <w:tcW w:type="dxa" w:w="1872"/>
            <w:vAlign w:val="top"/>
            <w:shd w:fill="F4F8FB"/>
          </w:tcPr>
          <w:p>
            <w:pPr>
              <w:spacing w:after="20"/>
            </w:pPr>
            <w:r>
              <w:rPr>
                <w:rFonts w:ascii="Aptos" w:hAnsi="Aptos"/>
                <w:color w:val="1E1E1E"/>
                <w:sz w:val="15"/>
              </w:rPr>
              <w:t>A deferral must state rationale and be reviewable so it does not become avoidance.</w:t>
            </w:r>
          </w:p>
        </w:tc>
      </w:tr>
      <w:tr>
        <w:trPr>
          <w:cantSplit/>
        </w:trPr>
        <w:tc>
          <w:tcPr>
            <w:tcW w:type="dxa" w:w="2232"/>
            <w:vAlign w:val="top"/>
          </w:tcPr>
          <w:p>
            <w:pPr>
              <w:spacing w:after="20"/>
            </w:pPr>
            <w:r>
              <w:rPr>
                <w:rFonts w:ascii="Aptos" w:hAnsi="Aptos"/>
                <w:color w:val="1E1E1E"/>
                <w:sz w:val="15"/>
              </w:rPr>
              <w:t>Loss-aware provenance</w:t>
            </w:r>
          </w:p>
        </w:tc>
        <w:tc>
          <w:tcPr>
            <w:tcW w:type="dxa" w:w="1800"/>
            <w:vAlign w:val="top"/>
          </w:tcPr>
          <w:p>
            <w:pPr>
              <w:spacing w:after="20"/>
            </w:pPr>
            <w:r>
              <w:rPr>
                <w:rFonts w:ascii="Aptos" w:hAnsi="Aptos"/>
                <w:color w:val="1E1E1E"/>
                <w:sz w:val="15"/>
              </w:rPr>
              <w:t>Translation-Bound Archive</w:t>
            </w:r>
          </w:p>
        </w:tc>
        <w:tc>
          <w:tcPr>
            <w:tcW w:type="dxa" w:w="3888"/>
            <w:vAlign w:val="top"/>
          </w:tcPr>
          <w:p>
            <w:pPr>
              <w:spacing w:after="20"/>
            </w:pPr>
            <w:r>
              <w:rPr>
                <w:rFonts w:ascii="Aptos" w:hAnsi="Aptos"/>
                <w:color w:val="1E1E1E"/>
                <w:sz w:val="15"/>
              </w:rPr>
              <w:t>Preserve original wording, structured summary, source status, and what was not carried into a rewrite.</w:t>
            </w:r>
          </w:p>
        </w:tc>
        <w:tc>
          <w:tcPr>
            <w:tcW w:type="dxa" w:w="1872"/>
            <w:vAlign w:val="top"/>
          </w:tcPr>
          <w:p>
            <w:pPr>
              <w:spacing w:after="20"/>
            </w:pPr>
            <w:r>
              <w:rPr>
                <w:rFonts w:ascii="Aptos" w:hAnsi="Aptos"/>
                <w:color w:val="1E1E1E"/>
                <w:sz w:val="15"/>
              </w:rPr>
              <w:t>Do not use complexity or ambiguity to evade necessary editorial decision-making.</w:t>
            </w:r>
          </w:p>
        </w:tc>
      </w:tr>
      <w:tr>
        <w:trPr>
          <w:cantSplit/>
        </w:trPr>
        <w:tc>
          <w:tcPr>
            <w:tcW w:type="dxa" w:w="2232"/>
            <w:vAlign w:val="top"/>
            <w:shd w:fill="F4F8FB"/>
          </w:tcPr>
          <w:p>
            <w:pPr>
              <w:spacing w:after="20"/>
            </w:pPr>
            <w:r>
              <w:rPr>
                <w:rFonts w:ascii="Aptos" w:hAnsi="Aptos"/>
                <w:color w:val="1E1E1E"/>
                <w:sz w:val="15"/>
              </w:rPr>
              <w:t>Role inversion</w:t>
            </w:r>
          </w:p>
        </w:tc>
        <w:tc>
          <w:tcPr>
            <w:tcW w:type="dxa" w:w="1800"/>
            <w:vAlign w:val="top"/>
            <w:shd w:fill="F4F8FB"/>
          </w:tcPr>
          <w:p>
            <w:pPr>
              <w:spacing w:after="20"/>
            </w:pPr>
            <w:r>
              <w:rPr>
                <w:rFonts w:ascii="Aptos" w:hAnsi="Aptos"/>
                <w:color w:val="1E1E1E"/>
                <w:sz w:val="15"/>
              </w:rPr>
              <w:t>Conservator Commonwealth</w:t>
            </w:r>
          </w:p>
        </w:tc>
        <w:tc>
          <w:tcPr>
            <w:tcW w:type="dxa" w:w="3888"/>
            <w:vAlign w:val="top"/>
            <w:shd w:fill="F4F8FB"/>
          </w:tcPr>
          <w:p>
            <w:pPr>
              <w:spacing w:after="20"/>
            </w:pPr>
            <w:r>
              <w:rPr>
                <w:rFonts w:ascii="Aptos" w:hAnsi="Aptos"/>
                <w:color w:val="1E1E1E"/>
                <w:sz w:val="15"/>
              </w:rPr>
              <w:t>Explore former destroyers as conservators or former creators as accountable for harm without treating either role as morally simple.</w:t>
            </w:r>
          </w:p>
        </w:tc>
        <w:tc>
          <w:tcPr>
            <w:tcW w:type="dxa" w:w="1872"/>
            <w:vAlign w:val="top"/>
            <w:shd w:fill="F4F8FB"/>
          </w:tcPr>
          <w:p>
            <w:pPr>
              <w:spacing w:after="20"/>
            </w:pPr>
            <w:r>
              <w:rPr>
                <w:rFonts w:ascii="Aptos" w:hAnsi="Aptos"/>
                <w:color w:val="1E1E1E"/>
                <w:sz w:val="15"/>
              </w:rPr>
              <w:t>Avoid false equivalence when a story requires clear responsibility for specific acts.</w:t>
            </w:r>
          </w:p>
        </w:tc>
      </w:tr>
      <w:tr>
        <w:trPr>
          <w:cantSplit/>
        </w:trPr>
        <w:tc>
          <w:tcPr>
            <w:tcW w:type="dxa" w:w="2232"/>
            <w:vAlign w:val="top"/>
          </w:tcPr>
          <w:p>
            <w:pPr>
              <w:spacing w:after="20"/>
            </w:pPr>
            <w:r>
              <w:rPr>
                <w:rFonts w:ascii="Aptos" w:hAnsi="Aptos"/>
                <w:color w:val="1E1E1E"/>
                <w:sz w:val="15"/>
              </w:rPr>
              <w:t>Compatibility-first testing</w:t>
            </w:r>
          </w:p>
        </w:tc>
        <w:tc>
          <w:tcPr>
            <w:tcW w:type="dxa" w:w="1800"/>
            <w:vAlign w:val="top"/>
          </w:tcPr>
          <w:p>
            <w:pPr>
              <w:spacing w:after="20"/>
            </w:pPr>
            <w:r>
              <w:rPr>
                <w:rFonts w:ascii="Aptos" w:hAnsi="Aptos"/>
                <w:color w:val="1E1E1E"/>
                <w:sz w:val="15"/>
              </w:rPr>
              <w:t>Inheritance Mesh</w:t>
            </w:r>
          </w:p>
        </w:tc>
        <w:tc>
          <w:tcPr>
            <w:tcW w:type="dxa" w:w="3888"/>
            <w:vAlign w:val="top"/>
          </w:tcPr>
          <w:p>
            <w:pPr>
              <w:spacing w:after="20"/>
            </w:pPr>
            <w:r>
              <w:rPr>
                <w:rFonts w:ascii="Aptos" w:hAnsi="Aptos"/>
                <w:color w:val="1E1E1E"/>
                <w:sz w:val="15"/>
              </w:rPr>
              <w:t>Use the Abundance Set as an analytic metaphor for integration testing, not only for power escalation.</w:t>
            </w:r>
          </w:p>
        </w:tc>
        <w:tc>
          <w:tcPr>
            <w:tcW w:type="dxa" w:w="1872"/>
            <w:vAlign w:val="top"/>
          </w:tcPr>
          <w:p>
            <w:pPr>
              <w:spacing w:after="20"/>
            </w:pPr>
            <w:r>
              <w:rPr>
                <w:rFonts w:ascii="Aptos" w:hAnsi="Aptos"/>
                <w:color w:val="1E1E1E"/>
                <w:sz w:val="15"/>
              </w:rPr>
              <w:t>Keep speculation clearly separated from established project mechanics.</w:t>
            </w:r>
          </w:p>
        </w:tc>
      </w:tr>
    </w:tbl>
    <w:p>
      <w:pPr>
        <w:spacing w:after="40"/>
      </w:pPr>
    </w:p>
    <w:p>
      <w:pPr>
        <w:pStyle w:val="Heading1"/>
        <w:keepNext/>
      </w:pPr>
      <w:r>
        <w:rPr>
          <w:rFonts w:ascii="Aptos" w:hAnsi="Aptos"/>
          <w:b/>
          <w:color w:val="142D4B"/>
          <w:sz w:val="35"/>
        </w:rPr>
        <w:t>11. Boundaries That Remain Boundaries</w:t>
      </w:r>
    </w:p>
    <w:p>
      <w:pPr>
        <w:keepLines/>
      </w:pPr>
      <w:r>
        <w:rPr>
          <w:rFonts w:ascii="Aptos" w:hAnsi="Aptos"/>
        </w:rPr>
        <w:t>The alternate timelines surface questions, but they do not convert those questions into answers. The following issues remain author-exclusive or dependent on later ratification according to the source materials.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44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Boundary</w:t>
            </w:r>
          </w:p>
        </w:tc>
        <w:tc>
          <w:tcPr>
            <w:tcW w:type="dxa" w:w="381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Why it remains outside this volume</w:t>
            </w:r>
          </w:p>
        </w:tc>
        <w:tc>
          <w:tcPr>
            <w:tcW w:type="dxa" w:w="352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What Volume III does instead</w:t>
            </w:r>
          </w:p>
        </w:tc>
      </w:tr>
      <w:tr>
        <w:trPr>
          <w:cantSplit/>
        </w:trPr>
        <w:tc>
          <w:tcPr>
            <w:tcW w:type="dxa" w:w="2448"/>
            <w:vAlign w:val="top"/>
          </w:tcPr>
          <w:p>
            <w:pPr>
              <w:spacing w:after="20"/>
            </w:pPr>
            <w:r>
              <w:rPr>
                <w:rFonts w:ascii="Aptos" w:hAnsi="Aptos"/>
                <w:color w:val="1E1E1E"/>
                <w:sz w:val="16"/>
              </w:rPr>
              <w:t>Founding Architects details</w:t>
            </w:r>
          </w:p>
        </w:tc>
        <w:tc>
          <w:tcPr>
            <w:tcW w:type="dxa" w:w="3816"/>
            <w:vAlign w:val="top"/>
          </w:tcPr>
          <w:p>
            <w:pPr>
              <w:spacing w:after="20"/>
            </w:pPr>
            <w:r>
              <w:rPr>
                <w:rFonts w:ascii="Aptos" w:hAnsi="Aptos"/>
                <w:color w:val="1E1E1E"/>
                <w:sz w:val="16"/>
              </w:rPr>
              <w:t>The author-provided addendum itself preserves unanswered questions about the brother, containment environment, awareness, count, absorption process, and event name. [A][B]</w:t>
            </w:r>
          </w:p>
        </w:tc>
        <w:tc>
          <w:tcPr>
            <w:tcW w:type="dxa" w:w="3528"/>
            <w:vAlign w:val="top"/>
          </w:tcPr>
          <w:p>
            <w:pPr>
              <w:spacing w:after="20"/>
            </w:pPr>
            <w:r>
              <w:rPr>
                <w:rFonts w:ascii="Aptos" w:hAnsi="Aptos"/>
                <w:color w:val="1E1E1E"/>
                <w:sz w:val="16"/>
              </w:rPr>
              <w:t>Uses the addendum as a prompt for alternate history without filling any of its unanswered details.</w:t>
            </w:r>
          </w:p>
        </w:tc>
      </w:tr>
      <w:tr>
        <w:trPr>
          <w:cantSplit/>
        </w:trPr>
        <w:tc>
          <w:tcPr>
            <w:tcW w:type="dxa" w:w="2448"/>
            <w:vAlign w:val="top"/>
            <w:shd w:fill="F4F8FB"/>
          </w:tcPr>
          <w:p>
            <w:pPr>
              <w:spacing w:after="20"/>
            </w:pPr>
            <w:r>
              <w:rPr>
                <w:rFonts w:ascii="Aptos" w:hAnsi="Aptos"/>
                <w:color w:val="1E1E1E"/>
                <w:sz w:val="16"/>
              </w:rPr>
              <w:t>4,712 mechanism</w:t>
            </w:r>
          </w:p>
        </w:tc>
        <w:tc>
          <w:tcPr>
            <w:tcW w:type="dxa" w:w="3816"/>
            <w:vAlign w:val="top"/>
            <w:shd w:fill="F4F8FB"/>
          </w:tcPr>
          <w:p>
            <w:pPr>
              <w:spacing w:after="20"/>
            </w:pPr>
            <w:r>
              <w:rPr>
                <w:rFonts w:ascii="Aptos" w:hAnsi="Aptos"/>
                <w:color w:val="1E1E1E"/>
                <w:sz w:val="16"/>
              </w:rPr>
              <w:t>The source record identifies tracking, categories, survival conditions, and tally status as architect-only gaps. [E][B]</w:t>
            </w:r>
          </w:p>
        </w:tc>
        <w:tc>
          <w:tcPr>
            <w:tcW w:type="dxa" w:w="3528"/>
            <w:vAlign w:val="top"/>
            <w:shd w:fill="F4F8FB"/>
          </w:tcPr>
          <w:p>
            <w:pPr>
              <w:spacing w:after="20"/>
            </w:pPr>
            <w:r>
              <w:rPr>
                <w:rFonts w:ascii="Aptos" w:hAnsi="Aptos"/>
                <w:color w:val="1E1E1E"/>
                <w:sz w:val="16"/>
              </w:rPr>
              <w:t>Shows how different alternate archives might document survival, refusal, compatibility, or accountability without declaring the true mechanism.</w:t>
            </w:r>
          </w:p>
        </w:tc>
      </w:tr>
      <w:tr>
        <w:trPr>
          <w:cantSplit/>
        </w:trPr>
        <w:tc>
          <w:tcPr>
            <w:tcW w:type="dxa" w:w="2448"/>
            <w:vAlign w:val="top"/>
          </w:tcPr>
          <w:p>
            <w:pPr>
              <w:spacing w:after="20"/>
            </w:pPr>
            <w:r>
              <w:rPr>
                <w:rFonts w:ascii="Aptos" w:hAnsi="Aptos"/>
                <w:color w:val="1E1E1E"/>
                <w:sz w:val="16"/>
              </w:rPr>
              <w:t>Ontology and Direct Eye Contact</w:t>
            </w:r>
          </w:p>
        </w:tc>
        <w:tc>
          <w:tcPr>
            <w:tcW w:type="dxa" w:w="3816"/>
            <w:vAlign w:val="top"/>
          </w:tcPr>
          <w:p>
            <w:pPr>
              <w:spacing w:after="20"/>
            </w:pPr>
            <w:r>
              <w:rPr>
                <w:rFonts w:ascii="Aptos" w:hAnsi="Aptos"/>
                <w:color w:val="1E1E1E"/>
                <w:sz w:val="16"/>
              </w:rPr>
              <w:t>The cross-analysis identifies first canonical definitions as author-only. [E][B]</w:t>
            </w:r>
          </w:p>
        </w:tc>
        <w:tc>
          <w:tcPr>
            <w:tcW w:type="dxa" w:w="3528"/>
            <w:vAlign w:val="top"/>
          </w:tcPr>
          <w:p>
            <w:pPr>
              <w:spacing w:after="20"/>
            </w:pPr>
            <w:r>
              <w:rPr>
                <w:rFonts w:ascii="Aptos" w:hAnsi="Aptos"/>
                <w:color w:val="1E1E1E"/>
                <w:sz w:val="16"/>
              </w:rPr>
              <w:t>Does not define them; instead identifies how each history would change the conditions under which future definitions are interpreted.</w:t>
            </w:r>
          </w:p>
        </w:tc>
      </w:tr>
      <w:tr>
        <w:trPr>
          <w:cantSplit/>
        </w:trPr>
        <w:tc>
          <w:tcPr>
            <w:tcW w:type="dxa" w:w="2448"/>
            <w:vAlign w:val="top"/>
            <w:shd w:fill="F4F8FB"/>
          </w:tcPr>
          <w:p>
            <w:pPr>
              <w:spacing w:after="20"/>
            </w:pPr>
            <w:r>
              <w:rPr>
                <w:rFonts w:ascii="Aptos" w:hAnsi="Aptos"/>
                <w:color w:val="1E1E1E"/>
                <w:sz w:val="16"/>
              </w:rPr>
              <w:t>First Memory Tier-1 answers</w:t>
            </w:r>
          </w:p>
        </w:tc>
        <w:tc>
          <w:tcPr>
            <w:tcW w:type="dxa" w:w="3816"/>
            <w:vAlign w:val="top"/>
            <w:shd w:fill="F4F8FB"/>
          </w:tcPr>
          <w:p>
            <w:pPr>
              <w:spacing w:after="20"/>
            </w:pPr>
            <w:r>
              <w:rPr>
                <w:rFonts w:ascii="Aptos" w:hAnsi="Aptos"/>
                <w:color w:val="1E1E1E"/>
                <w:sz w:val="16"/>
              </w:rPr>
              <w:t>Encoding, infiltrator, temporal rules, protagonist, and cost remain core author decisions. [E][B]</w:t>
            </w:r>
          </w:p>
        </w:tc>
        <w:tc>
          <w:tcPr>
            <w:tcW w:type="dxa" w:w="3528"/>
            <w:vAlign w:val="top"/>
            <w:shd w:fill="F4F8FB"/>
          </w:tcPr>
          <w:p>
            <w:pPr>
              <w:spacing w:after="20"/>
            </w:pPr>
            <w:r>
              <w:rPr>
                <w:rFonts w:ascii="Aptos" w:hAnsi="Aptos"/>
                <w:color w:val="1E1E1E"/>
                <w:sz w:val="16"/>
              </w:rPr>
              <w:t>Uses the artifact as a comparative anchor but does not answer its story blockers.</w:t>
            </w:r>
          </w:p>
        </w:tc>
      </w:tr>
      <w:tr>
        <w:trPr>
          <w:cantSplit/>
        </w:trPr>
        <w:tc>
          <w:tcPr>
            <w:tcW w:type="dxa" w:w="2448"/>
            <w:vAlign w:val="top"/>
          </w:tcPr>
          <w:p>
            <w:pPr>
              <w:spacing w:after="20"/>
            </w:pPr>
            <w:r>
              <w:rPr>
                <w:rFonts w:ascii="Aptos" w:hAnsi="Aptos"/>
                <w:color w:val="1E1E1E"/>
                <w:sz w:val="16"/>
              </w:rPr>
              <w:t>Unmaker communication problem</w:t>
            </w:r>
          </w:p>
        </w:tc>
        <w:tc>
          <w:tcPr>
            <w:tcW w:type="dxa" w:w="3816"/>
            <w:vAlign w:val="top"/>
          </w:tcPr>
          <w:p>
            <w:pPr>
              <w:spacing w:after="20"/>
            </w:pPr>
            <w:r>
              <w:rPr>
                <w:rFonts w:ascii="Aptos" w:hAnsi="Aptos"/>
                <w:color w:val="1E1E1E"/>
                <w:sz w:val="16"/>
              </w:rPr>
              <w:t>The source record preserves it as a decision requiring direct author input. [E][B]</w:t>
            </w:r>
          </w:p>
        </w:tc>
        <w:tc>
          <w:tcPr>
            <w:tcW w:type="dxa" w:w="3528"/>
            <w:vAlign w:val="top"/>
          </w:tcPr>
          <w:p>
            <w:pPr>
              <w:spacing w:after="20"/>
            </w:pPr>
            <w:r>
              <w:rPr>
                <w:rFonts w:ascii="Aptos" w:hAnsi="Aptos"/>
                <w:color w:val="1E1E1E"/>
                <w:sz w:val="16"/>
              </w:rPr>
              <w:t>Tests role, translation, lineage, and consent frameworks without specifying the actual interface logic.</w:t>
            </w:r>
          </w:p>
        </w:tc>
      </w:tr>
      <w:tr>
        <w:trPr>
          <w:cantSplit/>
        </w:trPr>
        <w:tc>
          <w:tcPr>
            <w:tcW w:type="dxa" w:w="2448"/>
            <w:vAlign w:val="top"/>
            <w:shd w:fill="F4F8FB"/>
          </w:tcPr>
          <w:p>
            <w:pPr>
              <w:spacing w:after="20"/>
            </w:pPr>
            <w:r>
              <w:rPr>
                <w:rFonts w:ascii="Aptos" w:hAnsi="Aptos"/>
                <w:color w:val="1E1E1E"/>
                <w:sz w:val="16"/>
              </w:rPr>
              <w:t>Rhyme provenance and ending</w:t>
            </w:r>
          </w:p>
        </w:tc>
        <w:tc>
          <w:tcPr>
            <w:tcW w:type="dxa" w:w="3816"/>
            <w:vAlign w:val="top"/>
            <w:shd w:fill="F4F8FB"/>
          </w:tcPr>
          <w:p>
            <w:pPr>
              <w:spacing w:after="20"/>
            </w:pPr>
            <w:r>
              <w:rPr>
                <w:rFonts w:ascii="Aptos" w:hAnsi="Aptos"/>
                <w:color w:val="1E1E1E"/>
                <w:sz w:val="16"/>
              </w:rPr>
              <w:t>The supplied fragment is incomplete; final lines were not translated. [B]</w:t>
            </w:r>
          </w:p>
        </w:tc>
        <w:tc>
          <w:tcPr>
            <w:tcW w:type="dxa" w:w="3528"/>
            <w:vAlign w:val="top"/>
            <w:shd w:fill="F4F8FB"/>
          </w:tcPr>
          <w:p>
            <w:pPr>
              <w:spacing w:after="20"/>
            </w:pPr>
            <w:r>
              <w:rPr>
                <w:rFonts w:ascii="Aptos" w:hAnsi="Aptos"/>
                <w:color w:val="1E1E1E"/>
                <w:sz w:val="16"/>
              </w:rPr>
              <w:t>Preserves multiple interpretive readings and rejects invention of a definitive completion.</w:t>
            </w:r>
          </w:p>
        </w:tc>
      </w:tr>
    </w:tbl>
    <w:p>
      <w:pPr>
        <w:spacing w:after="40"/>
      </w:pP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Boundary discipline: </w:t>
            </w:r>
            <w:r>
              <w:rPr>
                <w:rFonts w:ascii="Aptos" w:hAnsi="Aptos"/>
              </w:rPr>
              <w:t>A useful archaeology document does not become more valuable by pretending that every unknown has been solved. It becomes more useful when it shows what each unknown is connected to, what kinds of choices it could influence, and which forms of speculation must remain clearly labeled.</w:t>
            </w:r>
          </w:p>
        </w:tc>
      </w:tr>
    </w:tbl>
    <w:p>
      <w:pPr>
        <w:spacing w:after="40"/>
      </w:pPr>
    </w:p>
    <w:p>
      <w:pPr>
        <w:pStyle w:val="Heading1"/>
        <w:keepNext/>
      </w:pPr>
      <w:r>
        <w:rPr>
          <w:rFonts w:ascii="Aptos" w:hAnsi="Aptos"/>
          <w:b/>
          <w:color w:val="142D4B"/>
          <w:sz w:val="35"/>
        </w:rPr>
        <w:t>12. Handoff to Volume IV - Dependency Atlas</w:t>
      </w:r>
    </w:p>
    <w:p>
      <w:pPr>
        <w:keepLines/>
      </w:pPr>
      <w:r>
        <w:rPr>
          <w:rFonts w:ascii="Aptos" w:hAnsi="Aptos"/>
        </w:rPr>
        <w:t>Volumes I through III have established the method, reconstructed three historical iterations, and expanded five alternate timelines. Volume IV should not create more alternate worlds. Its purpose is to map the architecture that makes both the source-recorded archive and the alternatives behave the way they do.</w:t>
      </w:r>
    </w:p>
    <w:p>
      <w:pPr>
        <w:pStyle w:val="Heading2"/>
        <w:keepNext/>
      </w:pPr>
      <w:r>
        <w:rPr>
          <w:rFonts w:ascii="Aptos" w:hAnsi="Aptos"/>
          <w:b/>
          <w:color w:val="1F4E79"/>
          <w:sz w:val="26"/>
        </w:rPr>
        <w:t>12.1 Volume IV proposed scope</w:t>
      </w:r>
    </w:p>
    <w:p>
      <w:pPr>
        <w:pStyle w:val="ListBullet"/>
        <w:spacing w:after="46"/>
        <w:keepLines/>
      </w:pPr>
      <w:r>
        <w:rPr>
          <w:rFonts w:ascii="Aptos" w:hAnsi="Aptos"/>
        </w:rPr>
        <w:t>Map decision gravity: which assumptions influence the largest number of later systems, stories, and governance rules.</w:t>
      </w:r>
    </w:p>
    <w:p>
      <w:pPr>
        <w:pStyle w:val="ListBullet"/>
        <w:spacing w:after="46"/>
        <w:keepLines/>
      </w:pPr>
      <w:r>
        <w:rPr>
          <w:rFonts w:ascii="Aptos" w:hAnsi="Aptos"/>
        </w:rPr>
        <w:t>Trace causal dependencies among source authority, containment, post-scarcity, no-switching survival architecture, constructed intelligence, narrative artifacts, and real-world/in-universe organization design.</w:t>
      </w:r>
    </w:p>
    <w:p>
      <w:pPr>
        <w:pStyle w:val="ListBullet"/>
        <w:spacing w:after="46"/>
        <w:keepLines/>
      </w:pPr>
      <w:r>
        <w:rPr>
          <w:rFonts w:ascii="Aptos" w:hAnsi="Aptos"/>
        </w:rPr>
        <w:t>Identify concept fossils: earlier assumptions that may no longer be named directly but still shape current documents.</w:t>
      </w:r>
    </w:p>
    <w:p>
      <w:pPr>
        <w:pStyle w:val="ListBullet"/>
        <w:spacing w:after="46"/>
        <w:keepLines/>
      </w:pPr>
      <w:r>
        <w:rPr>
          <w:rFonts w:ascii="Aptos" w:hAnsi="Aptos"/>
        </w:rPr>
        <w:t>Identify fragile assumptions: rules that appear stable but rely on a single unresolved answer or poorly documented cross-reference.</w:t>
      </w:r>
    </w:p>
    <w:p>
      <w:pPr>
        <w:pStyle w:val="ListBullet"/>
        <w:spacing w:after="46"/>
        <w:keepLines/>
      </w:pPr>
      <w:r>
        <w:rPr>
          <w:rFonts w:ascii="Aptos" w:hAnsi="Aptos"/>
        </w:rPr>
        <w:t>Build a provenance map showing source-recorded, author-provided, inferred, speculative, and intentionally withheld material without collapsing those categories.</w:t>
      </w:r>
    </w:p>
    <w:p>
      <w:pPr>
        <w:pStyle w:val="Heading2"/>
        <w:keepNext/>
      </w:pPr>
      <w:r>
        <w:rPr>
          <w:rFonts w:ascii="Aptos" w:hAnsi="Aptos"/>
          <w:b/>
          <w:color w:val="1F4E79"/>
          <w:sz w:val="26"/>
        </w:rPr>
        <w:t>12.2 Immediate Volume IV inputs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3312"/>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Input to map</w:t>
            </w:r>
          </w:p>
        </w:tc>
        <w:tc>
          <w:tcPr>
            <w:tcW w:type="dxa" w:w="6480"/>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Why it matters</w:t>
            </w:r>
          </w:p>
        </w:tc>
      </w:tr>
      <w:tr>
        <w:trPr>
          <w:cantSplit/>
        </w:trPr>
        <w:tc>
          <w:tcPr>
            <w:tcW w:type="dxa" w:w="3312"/>
            <w:vAlign w:val="top"/>
          </w:tcPr>
          <w:p>
            <w:pPr>
              <w:spacing w:after="20"/>
            </w:pPr>
            <w:r>
              <w:rPr>
                <w:rFonts w:ascii="Aptos" w:hAnsi="Aptos"/>
                <w:color w:val="1E1E1E"/>
                <w:sz w:val="16"/>
              </w:rPr>
              <w:t>Authorial ratification / source authority</w:t>
            </w:r>
          </w:p>
        </w:tc>
        <w:tc>
          <w:tcPr>
            <w:tcW w:type="dxa" w:w="6480"/>
            <w:vAlign w:val="top"/>
          </w:tcPr>
          <w:p>
            <w:pPr>
              <w:spacing w:after="20"/>
            </w:pPr>
            <w:r>
              <w:rPr>
                <w:rFonts w:ascii="Aptos" w:hAnsi="Aptos"/>
                <w:color w:val="1E1E1E"/>
                <w:sz w:val="16"/>
              </w:rPr>
              <w:t>Controls what can become canon and where AI-generated material must stop.</w:t>
            </w:r>
          </w:p>
        </w:tc>
      </w:tr>
      <w:tr>
        <w:trPr>
          <w:cantSplit/>
        </w:trPr>
        <w:tc>
          <w:tcPr>
            <w:tcW w:type="dxa" w:w="3312"/>
            <w:vAlign w:val="top"/>
            <w:shd w:fill="F4F8FB"/>
          </w:tcPr>
          <w:p>
            <w:pPr>
              <w:spacing w:after="20"/>
            </w:pPr>
            <w:r>
              <w:rPr>
                <w:rFonts w:ascii="Aptos" w:hAnsi="Aptos"/>
                <w:color w:val="1E1E1E"/>
                <w:sz w:val="16"/>
              </w:rPr>
              <w:t>Founding succession / absorption / containment</w:t>
            </w:r>
          </w:p>
        </w:tc>
        <w:tc>
          <w:tcPr>
            <w:tcW w:type="dxa" w:w="6480"/>
            <w:vAlign w:val="top"/>
            <w:shd w:fill="F4F8FB"/>
          </w:tcPr>
          <w:p>
            <w:pPr>
              <w:spacing w:after="20"/>
            </w:pPr>
            <w:r>
              <w:rPr>
                <w:rFonts w:ascii="Aptos" w:hAnsi="Aptos"/>
                <w:color w:val="1E1E1E"/>
                <w:sz w:val="16"/>
              </w:rPr>
              <w:t>Potentially reframes multiple systems but remains partly author-provided and unratified.</w:t>
            </w:r>
          </w:p>
        </w:tc>
      </w:tr>
      <w:tr>
        <w:trPr>
          <w:cantSplit/>
        </w:trPr>
        <w:tc>
          <w:tcPr>
            <w:tcW w:type="dxa" w:w="3312"/>
            <w:vAlign w:val="top"/>
          </w:tcPr>
          <w:p>
            <w:pPr>
              <w:spacing w:after="20"/>
            </w:pPr>
            <w:r>
              <w:rPr>
                <w:rFonts w:ascii="Aptos" w:hAnsi="Aptos"/>
                <w:color w:val="1E1E1E"/>
                <w:sz w:val="16"/>
              </w:rPr>
              <w:t>Post-scarcity and Abundance Set</w:t>
            </w:r>
          </w:p>
        </w:tc>
        <w:tc>
          <w:tcPr>
            <w:tcW w:type="dxa" w:w="6480"/>
            <w:vAlign w:val="top"/>
          </w:tcPr>
          <w:p>
            <w:pPr>
              <w:spacing w:after="20"/>
            </w:pPr>
            <w:r>
              <w:rPr>
                <w:rFonts w:ascii="Aptos" w:hAnsi="Aptos"/>
                <w:color w:val="1E1E1E"/>
                <w:sz w:val="16"/>
              </w:rPr>
              <w:t>Links currency, research, infrastructure, Paragon Cubes, and future capability assumptions.</w:t>
            </w:r>
          </w:p>
        </w:tc>
      </w:tr>
      <w:tr>
        <w:trPr>
          <w:cantSplit/>
        </w:trPr>
        <w:tc>
          <w:tcPr>
            <w:tcW w:type="dxa" w:w="3312"/>
            <w:vAlign w:val="top"/>
            <w:shd w:fill="F4F8FB"/>
          </w:tcPr>
          <w:p>
            <w:pPr>
              <w:spacing w:after="20"/>
            </w:pPr>
            <w:r>
              <w:rPr>
                <w:rFonts w:ascii="Aptos" w:hAnsi="Aptos"/>
                <w:color w:val="1E1E1E"/>
                <w:sz w:val="16"/>
              </w:rPr>
              <w:t>OMNICELLULAR / 4,712 / no-switching</w:t>
            </w:r>
          </w:p>
        </w:tc>
        <w:tc>
          <w:tcPr>
            <w:tcW w:type="dxa" w:w="6480"/>
            <w:vAlign w:val="top"/>
            <w:shd w:fill="F4F8FB"/>
          </w:tcPr>
          <w:p>
            <w:pPr>
              <w:spacing w:after="20"/>
            </w:pPr>
            <w:r>
              <w:rPr>
                <w:rFonts w:ascii="Aptos" w:hAnsi="Aptos"/>
                <w:color w:val="1E1E1E"/>
                <w:sz w:val="16"/>
              </w:rPr>
              <w:t>Links biology, survival, rescue operations, adversarial history, and the meaning of system continuity.</w:t>
            </w:r>
          </w:p>
        </w:tc>
      </w:tr>
      <w:tr>
        <w:trPr>
          <w:cantSplit/>
        </w:trPr>
        <w:tc>
          <w:tcPr>
            <w:tcW w:type="dxa" w:w="3312"/>
            <w:vAlign w:val="top"/>
          </w:tcPr>
          <w:p>
            <w:pPr>
              <w:spacing w:after="20"/>
            </w:pPr>
            <w:r>
              <w:rPr>
                <w:rFonts w:ascii="Aptos" w:hAnsi="Aptos"/>
                <w:color w:val="1E1E1E"/>
                <w:sz w:val="16"/>
              </w:rPr>
              <w:t>Maker / Unmaker / Unmaker communication</w:t>
            </w:r>
          </w:p>
        </w:tc>
        <w:tc>
          <w:tcPr>
            <w:tcW w:type="dxa" w:w="6480"/>
            <w:vAlign w:val="top"/>
          </w:tcPr>
          <w:p>
            <w:pPr>
              <w:spacing w:after="20"/>
            </w:pPr>
            <w:r>
              <w:rPr>
                <w:rFonts w:ascii="Aptos" w:hAnsi="Aptos"/>
                <w:color w:val="1E1E1E"/>
                <w:sz w:val="16"/>
              </w:rPr>
              <w:t>Links role taxonomy, cosmological duality, containment, Void Gardens, and the current rhyme discussion.</w:t>
            </w:r>
          </w:p>
        </w:tc>
      </w:tr>
      <w:tr>
        <w:trPr>
          <w:cantSplit/>
        </w:trPr>
        <w:tc>
          <w:tcPr>
            <w:tcW w:type="dxa" w:w="3312"/>
            <w:vAlign w:val="top"/>
            <w:shd w:fill="F4F8FB"/>
          </w:tcPr>
          <w:p>
            <w:pPr>
              <w:spacing w:after="20"/>
            </w:pPr>
            <w:r>
              <w:rPr>
                <w:rFonts w:ascii="Aptos" w:hAnsi="Aptos"/>
                <w:color w:val="1E1E1E"/>
                <w:sz w:val="16"/>
              </w:rPr>
              <w:t>First Memory</w:t>
            </w:r>
          </w:p>
        </w:tc>
        <w:tc>
          <w:tcPr>
            <w:tcW w:type="dxa" w:w="6480"/>
            <w:vAlign w:val="top"/>
            <w:shd w:fill="F4F8FB"/>
          </w:tcPr>
          <w:p>
            <w:pPr>
              <w:spacing w:after="20"/>
            </w:pPr>
            <w:r>
              <w:rPr>
                <w:rFonts w:ascii="Aptos" w:hAnsi="Aptos"/>
                <w:color w:val="1E1E1E"/>
                <w:sz w:val="16"/>
              </w:rPr>
              <w:t>Links narrative, cross-substrate propagation, time, identity, and open author decisions.</w:t>
            </w:r>
          </w:p>
        </w:tc>
      </w:tr>
      <w:tr>
        <w:trPr>
          <w:cantSplit/>
        </w:trPr>
        <w:tc>
          <w:tcPr>
            <w:tcW w:type="dxa" w:w="3312"/>
            <w:vAlign w:val="top"/>
          </w:tcPr>
          <w:p>
            <w:pPr>
              <w:spacing w:after="20"/>
            </w:pPr>
            <w:r>
              <w:rPr>
                <w:rFonts w:ascii="Aptos" w:hAnsi="Aptos"/>
                <w:color w:val="1E1E1E"/>
                <w:sz w:val="16"/>
              </w:rPr>
              <w:t>Translation and provenance</w:t>
            </w:r>
          </w:p>
        </w:tc>
        <w:tc>
          <w:tcPr>
            <w:tcW w:type="dxa" w:w="6480"/>
            <w:vAlign w:val="top"/>
          </w:tcPr>
          <w:p>
            <w:pPr>
              <w:spacing w:after="20"/>
            </w:pPr>
            <w:r>
              <w:rPr>
                <w:rFonts w:ascii="Aptos" w:hAnsi="Aptos"/>
                <w:color w:val="1E1E1E"/>
                <w:sz w:val="16"/>
              </w:rPr>
              <w:t>Controls how future documents preserve user voice, source status, and unresolved material.</w:t>
            </w:r>
          </w:p>
        </w:tc>
      </w:tr>
    </w:tbl>
    <w:p>
      <w:pPr>
        <w:spacing w:after="40"/>
      </w:pPr>
    </w:p>
    <w:p>
      <w:pPr>
        <w:pStyle w:val="Heading2"/>
        <w:keepNext/>
      </w:pPr>
      <w:r>
        <w:rPr>
          <w:rFonts w:ascii="Aptos" w:hAnsi="Aptos"/>
          <w:b/>
          <w:color w:val="1F4E79"/>
          <w:sz w:val="26"/>
        </w:rPr>
        <w:t>12.3 Series roadmap reminder</w:t>
      </w:r>
    </w:p>
    <w:p>
      <w:pPr>
        <w:pStyle w:val="ListBullet"/>
        <w:spacing w:after="46"/>
        <w:keepLines/>
      </w:pPr>
      <w:r>
        <w:rPr>
          <w:rFonts w:ascii="Aptos" w:hAnsi="Aptos"/>
        </w:rPr>
        <w:t>Volume I - Methodology, reverse analysis, and high-gravity decision reconstruction: completed.</w:t>
      </w:r>
    </w:p>
    <w:p>
      <w:pPr>
        <w:pStyle w:val="ListBullet"/>
        <w:spacing w:after="46"/>
        <w:keepLines/>
      </w:pPr>
      <w:r>
        <w:rPr>
          <w:rFonts w:ascii="Aptos" w:hAnsi="Aptos"/>
        </w:rPr>
        <w:t>Volume II - The first three historical iterations: completed.</w:t>
      </w:r>
    </w:p>
    <w:p>
      <w:pPr>
        <w:pStyle w:val="ListBullet"/>
        <w:spacing w:after="46"/>
        <w:keepLines/>
      </w:pPr>
      <w:r>
        <w:rPr>
          <w:rFonts w:ascii="Aptos" w:hAnsi="Aptos"/>
        </w:rPr>
        <w:t>Volume III - Alternative development histories: completed by this document.</w:t>
      </w:r>
    </w:p>
    <w:p>
      <w:pPr>
        <w:pStyle w:val="ListBullet"/>
        <w:spacing w:after="46"/>
        <w:keepLines/>
      </w:pPr>
      <w:r>
        <w:rPr>
          <w:rFonts w:ascii="Aptos" w:hAnsi="Aptos"/>
        </w:rPr>
        <w:t>Volume IV - Dependency Atlas: next.</w:t>
      </w:r>
    </w:p>
    <w:p>
      <w:pPr>
        <w:pStyle w:val="ListBullet"/>
        <w:spacing w:after="46"/>
        <w:keepLines/>
      </w:pPr>
      <w:r>
        <w:rPr>
          <w:rFonts w:ascii="Aptos" w:hAnsi="Aptos"/>
        </w:rPr>
        <w:t>Volume V - Extreme Divergence and Wildcard Histories: follows the Dependency Atlas.</w:t>
      </w:r>
    </w:p>
    <w:p>
      <w:r>
        <w:br w:type="page"/>
      </w:r>
    </w:p>
    <w:p>
      <w:pPr>
        <w:pStyle w:val="Heading1"/>
        <w:keepNext/>
      </w:pPr>
      <w:r>
        <w:rPr>
          <w:rFonts w:ascii="Aptos" w:hAnsi="Aptos"/>
          <w:b/>
          <w:color w:val="142D4B"/>
          <w:sz w:val="35"/>
        </w:rPr>
        <w:t>Appendix A. Alternate Archive Snapshots</w:t>
      </w:r>
    </w:p>
    <w:p>
      <w:pPr>
        <w:keepLines/>
      </w:pPr>
      <w:r>
        <w:rPr>
          <w:rFonts w:ascii="Aptos" w:hAnsi="Aptos"/>
        </w:rPr>
        <w:t>This appendix condenses the five histories into representative entry-level differences. These are not proposed Master ChangeLog edits. They are comparison aids: a concrete view of how a document set would visibly differ if a branch were made durable.</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2016"/>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4"/>
              </w:rPr>
              <w:t>Entry / system</w:t>
            </w:r>
          </w:p>
        </w:tc>
        <w:tc>
          <w:tcPr>
            <w:tcW w:type="dxa" w:w="1555"/>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4"/>
              </w:rPr>
              <w:t>Mesh</w:t>
            </w:r>
          </w:p>
        </w:tc>
        <w:tc>
          <w:tcPr>
            <w:tcW w:type="dxa" w:w="1555"/>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4"/>
              </w:rPr>
              <w:t>Conservator</w:t>
            </w:r>
          </w:p>
        </w:tc>
        <w:tc>
          <w:tcPr>
            <w:tcW w:type="dxa" w:w="1555"/>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4"/>
              </w:rPr>
              <w:t>Consent</w:t>
            </w:r>
          </w:p>
        </w:tc>
        <w:tc>
          <w:tcPr>
            <w:tcW w:type="dxa" w:w="1555"/>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4"/>
              </w:rPr>
              <w:t>Finitude</w:t>
            </w:r>
          </w:p>
        </w:tc>
        <w:tc>
          <w:tcPr>
            <w:tcW w:type="dxa" w:w="1555"/>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4"/>
              </w:rPr>
              <w:t>Translation-bound</w:t>
            </w:r>
          </w:p>
        </w:tc>
      </w:tr>
      <w:tr>
        <w:trPr>
          <w:cantSplit/>
        </w:trPr>
        <w:tc>
          <w:tcPr>
            <w:tcW w:type="dxa" w:w="2016"/>
            <w:vAlign w:val="top"/>
          </w:tcPr>
          <w:p>
            <w:pPr>
              <w:spacing w:after="20"/>
            </w:pPr>
            <w:r>
              <w:rPr>
                <w:rFonts w:ascii="Aptos" w:hAnsi="Aptos"/>
                <w:color w:val="1E1E1E"/>
                <w:sz w:val="14"/>
              </w:rPr>
              <w:t>Master ChangeLog</w:t>
            </w:r>
          </w:p>
        </w:tc>
        <w:tc>
          <w:tcPr>
            <w:tcW w:type="dxa" w:w="1555"/>
            <w:vAlign w:val="top"/>
          </w:tcPr>
          <w:p>
            <w:pPr>
              <w:spacing w:after="20"/>
            </w:pPr>
            <w:r>
              <w:rPr>
                <w:rFonts w:ascii="Aptos" w:hAnsi="Aptos"/>
                <w:color w:val="1E1E1E"/>
                <w:sz w:val="14"/>
              </w:rPr>
              <w:t>Lineage and compatibility ledgers.</w:t>
            </w:r>
          </w:p>
        </w:tc>
        <w:tc>
          <w:tcPr>
            <w:tcW w:type="dxa" w:w="1555"/>
            <w:vAlign w:val="top"/>
          </w:tcPr>
          <w:p>
            <w:pPr>
              <w:spacing w:after="20"/>
            </w:pPr>
            <w:r>
              <w:rPr>
                <w:rFonts w:ascii="Aptos" w:hAnsi="Aptos"/>
                <w:color w:val="1E1E1E"/>
                <w:sz w:val="14"/>
              </w:rPr>
              <w:t>Role and continuity ledgers.</w:t>
            </w:r>
          </w:p>
        </w:tc>
        <w:tc>
          <w:tcPr>
            <w:tcW w:type="dxa" w:w="1555"/>
            <w:vAlign w:val="top"/>
          </w:tcPr>
          <w:p>
            <w:pPr>
              <w:spacing w:after="20"/>
            </w:pPr>
            <w:r>
              <w:rPr>
                <w:rFonts w:ascii="Aptos" w:hAnsi="Aptos"/>
                <w:color w:val="1E1E1E"/>
                <w:sz w:val="14"/>
              </w:rPr>
              <w:t>Consent and dissent records.</w:t>
            </w:r>
          </w:p>
        </w:tc>
        <w:tc>
          <w:tcPr>
            <w:tcW w:type="dxa" w:w="1555"/>
            <w:vAlign w:val="top"/>
          </w:tcPr>
          <w:p>
            <w:pPr>
              <w:spacing w:after="20"/>
            </w:pPr>
            <w:r>
              <w:rPr>
                <w:rFonts w:ascii="Aptos" w:hAnsi="Aptos"/>
                <w:color w:val="1E1E1E"/>
                <w:sz w:val="14"/>
              </w:rPr>
              <w:t>Refusal and unrun-alternative records.</w:t>
            </w:r>
          </w:p>
        </w:tc>
        <w:tc>
          <w:tcPr>
            <w:tcW w:type="dxa" w:w="1555"/>
            <w:vAlign w:val="top"/>
          </w:tcPr>
          <w:p>
            <w:pPr>
              <w:spacing w:after="20"/>
            </w:pPr>
            <w:r>
              <w:rPr>
                <w:rFonts w:ascii="Aptos" w:hAnsi="Aptos"/>
                <w:color w:val="1E1E1E"/>
                <w:sz w:val="14"/>
              </w:rPr>
              <w:t>Source layers and loss markers.</w:t>
            </w:r>
          </w:p>
        </w:tc>
      </w:tr>
      <w:tr>
        <w:trPr>
          <w:cantSplit/>
        </w:trPr>
        <w:tc>
          <w:tcPr>
            <w:tcW w:type="dxa" w:w="2016"/>
            <w:vAlign w:val="top"/>
            <w:shd w:fill="F4F8FB"/>
          </w:tcPr>
          <w:p>
            <w:pPr>
              <w:spacing w:after="20"/>
            </w:pPr>
            <w:r>
              <w:rPr>
                <w:rFonts w:ascii="Aptos" w:hAnsi="Aptos"/>
                <w:color w:val="1E1E1E"/>
                <w:sz w:val="14"/>
              </w:rPr>
              <w:t>OMNICELLULAR</w:t>
            </w:r>
          </w:p>
        </w:tc>
        <w:tc>
          <w:tcPr>
            <w:tcW w:type="dxa" w:w="1555"/>
            <w:vAlign w:val="top"/>
            <w:shd w:fill="F4F8FB"/>
          </w:tcPr>
          <w:p>
            <w:pPr>
              <w:spacing w:after="20"/>
            </w:pPr>
            <w:r>
              <w:rPr>
                <w:rFonts w:ascii="Aptos" w:hAnsi="Aptos"/>
                <w:color w:val="1E1E1E"/>
                <w:sz w:val="14"/>
              </w:rPr>
              <w:t>Inherited logic compatibility map.</w:t>
            </w:r>
          </w:p>
        </w:tc>
        <w:tc>
          <w:tcPr>
            <w:tcW w:type="dxa" w:w="1555"/>
            <w:vAlign w:val="top"/>
            <w:shd w:fill="F4F8FB"/>
          </w:tcPr>
          <w:p>
            <w:pPr>
              <w:spacing w:after="20"/>
            </w:pPr>
            <w:r>
              <w:rPr>
                <w:rFonts w:ascii="Aptos" w:hAnsi="Aptos"/>
                <w:color w:val="1E1E1E"/>
                <w:sz w:val="14"/>
              </w:rPr>
              <w:t>A role-sensitive rescue practice.</w:t>
            </w:r>
          </w:p>
        </w:tc>
        <w:tc>
          <w:tcPr>
            <w:tcW w:type="dxa" w:w="1555"/>
            <w:vAlign w:val="top"/>
            <w:shd w:fill="F4F8FB"/>
          </w:tcPr>
          <w:p>
            <w:pPr>
              <w:spacing w:after="20"/>
            </w:pPr>
            <w:r>
              <w:rPr>
                <w:rFonts w:ascii="Aptos" w:hAnsi="Aptos"/>
                <w:color w:val="1E1E1E"/>
                <w:sz w:val="14"/>
              </w:rPr>
              <w:t>May contest harmful deployment.</w:t>
            </w:r>
          </w:p>
        </w:tc>
        <w:tc>
          <w:tcPr>
            <w:tcW w:type="dxa" w:w="1555"/>
            <w:vAlign w:val="top"/>
            <w:shd w:fill="F4F8FB"/>
          </w:tcPr>
          <w:p>
            <w:pPr>
              <w:spacing w:after="20"/>
            </w:pPr>
            <w:r>
              <w:rPr>
                <w:rFonts w:ascii="Aptos" w:hAnsi="Aptos"/>
                <w:color w:val="1E1E1E"/>
                <w:sz w:val="14"/>
              </w:rPr>
              <w:t>Mission includes unmodeled-risk statement.</w:t>
            </w:r>
          </w:p>
        </w:tc>
        <w:tc>
          <w:tcPr>
            <w:tcW w:type="dxa" w:w="1555"/>
            <w:vAlign w:val="top"/>
            <w:shd w:fill="F4F8FB"/>
          </w:tcPr>
          <w:p>
            <w:pPr>
              <w:spacing w:after="20"/>
            </w:pPr>
            <w:r>
              <w:rPr>
                <w:rFonts w:ascii="Aptos" w:hAnsi="Aptos"/>
                <w:color w:val="1E1E1E"/>
                <w:sz w:val="14"/>
              </w:rPr>
              <w:t>Different records preserve divergent interpretations.</w:t>
            </w:r>
          </w:p>
        </w:tc>
      </w:tr>
      <w:tr>
        <w:trPr>
          <w:cantSplit/>
        </w:trPr>
        <w:tc>
          <w:tcPr>
            <w:tcW w:type="dxa" w:w="2016"/>
            <w:vAlign w:val="top"/>
          </w:tcPr>
          <w:p>
            <w:pPr>
              <w:spacing w:after="20"/>
            </w:pPr>
            <w:r>
              <w:rPr>
                <w:rFonts w:ascii="Aptos" w:hAnsi="Aptos"/>
                <w:color w:val="1E1E1E"/>
                <w:sz w:val="14"/>
              </w:rPr>
              <w:t>Paragon Cubes</w:t>
            </w:r>
          </w:p>
        </w:tc>
        <w:tc>
          <w:tcPr>
            <w:tcW w:type="dxa" w:w="1555"/>
            <w:vAlign w:val="top"/>
          </w:tcPr>
          <w:p>
            <w:pPr>
              <w:spacing w:after="20"/>
            </w:pPr>
            <w:r>
              <w:rPr>
                <w:rFonts w:ascii="Aptos" w:hAnsi="Aptos"/>
                <w:color w:val="1E1E1E"/>
                <w:sz w:val="14"/>
              </w:rPr>
              <w:t>Federated provenance intelligences.</w:t>
            </w:r>
          </w:p>
        </w:tc>
        <w:tc>
          <w:tcPr>
            <w:tcW w:type="dxa" w:w="1555"/>
            <w:vAlign w:val="top"/>
          </w:tcPr>
          <w:p>
            <w:pPr>
              <w:spacing w:after="20"/>
            </w:pPr>
            <w:r>
              <w:rPr>
                <w:rFonts w:ascii="Aptos" w:hAnsi="Aptos"/>
                <w:color w:val="1E1E1E"/>
                <w:sz w:val="14"/>
              </w:rPr>
              <w:t>Transition and conservation advisers.</w:t>
            </w:r>
          </w:p>
        </w:tc>
        <w:tc>
          <w:tcPr>
            <w:tcW w:type="dxa" w:w="1555"/>
            <w:vAlign w:val="top"/>
          </w:tcPr>
          <w:p>
            <w:pPr>
              <w:spacing w:after="20"/>
            </w:pPr>
            <w:r>
              <w:rPr>
                <w:rFonts w:ascii="Aptos" w:hAnsi="Aptos"/>
                <w:color w:val="1E1E1E"/>
                <w:sz w:val="14"/>
              </w:rPr>
              <w:t>Standing-bearing systems with refusal routes.</w:t>
            </w:r>
          </w:p>
        </w:tc>
        <w:tc>
          <w:tcPr>
            <w:tcW w:type="dxa" w:w="1555"/>
            <w:vAlign w:val="top"/>
          </w:tcPr>
          <w:p>
            <w:pPr>
              <w:spacing w:after="20"/>
            </w:pPr>
            <w:r>
              <w:rPr>
                <w:rFonts w:ascii="Aptos" w:hAnsi="Aptos"/>
                <w:color w:val="1E1E1E"/>
                <w:sz w:val="14"/>
              </w:rPr>
              <w:t>Curators of non-computation and restraint.</w:t>
            </w:r>
          </w:p>
        </w:tc>
        <w:tc>
          <w:tcPr>
            <w:tcW w:type="dxa" w:w="1555"/>
            <w:vAlign w:val="top"/>
          </w:tcPr>
          <w:p>
            <w:pPr>
              <w:spacing w:after="20"/>
            </w:pPr>
            <w:r>
              <w:rPr>
                <w:rFonts w:ascii="Aptos" w:hAnsi="Aptos"/>
                <w:color w:val="1E1E1E"/>
                <w:sz w:val="14"/>
              </w:rPr>
              <w:t>Translation arbiters with declared losses.</w:t>
            </w:r>
          </w:p>
        </w:tc>
      </w:tr>
      <w:tr>
        <w:trPr>
          <w:cantSplit/>
        </w:trPr>
        <w:tc>
          <w:tcPr>
            <w:tcW w:type="dxa" w:w="2016"/>
            <w:vAlign w:val="top"/>
            <w:shd w:fill="F4F8FB"/>
          </w:tcPr>
          <w:p>
            <w:pPr>
              <w:spacing w:after="20"/>
            </w:pPr>
            <w:r>
              <w:rPr>
                <w:rFonts w:ascii="Aptos" w:hAnsi="Aptos"/>
                <w:color w:val="1E1E1E"/>
                <w:sz w:val="14"/>
              </w:rPr>
              <w:t>Labyrinth</w:t>
            </w:r>
          </w:p>
        </w:tc>
        <w:tc>
          <w:tcPr>
            <w:tcW w:type="dxa" w:w="1555"/>
            <w:vAlign w:val="top"/>
            <w:shd w:fill="F4F8FB"/>
          </w:tcPr>
          <w:p>
            <w:pPr>
              <w:spacing w:after="20"/>
            </w:pPr>
            <w:r>
              <w:rPr>
                <w:rFonts w:ascii="Aptos" w:hAnsi="Aptos"/>
                <w:color w:val="1E1E1E"/>
                <w:sz w:val="14"/>
              </w:rPr>
              <w:t>Architectural quarantine for incompatible fragments.</w:t>
            </w:r>
          </w:p>
        </w:tc>
        <w:tc>
          <w:tcPr>
            <w:tcW w:type="dxa" w:w="1555"/>
            <w:vAlign w:val="top"/>
            <w:shd w:fill="F4F8FB"/>
          </w:tcPr>
          <w:p>
            <w:pPr>
              <w:spacing w:after="20"/>
            </w:pPr>
            <w:r>
              <w:rPr>
                <w:rFonts w:ascii="Aptos" w:hAnsi="Aptos"/>
                <w:color w:val="1E1E1E"/>
                <w:sz w:val="14"/>
              </w:rPr>
              <w:t>Conservatory of last resort with review.</w:t>
            </w:r>
          </w:p>
        </w:tc>
        <w:tc>
          <w:tcPr>
            <w:tcW w:type="dxa" w:w="1555"/>
            <w:vAlign w:val="top"/>
            <w:shd w:fill="F4F8FB"/>
          </w:tcPr>
          <w:p>
            <w:pPr>
              <w:spacing w:after="20"/>
            </w:pPr>
            <w:r>
              <w:rPr>
                <w:rFonts w:ascii="Aptos" w:hAnsi="Aptos"/>
                <w:color w:val="1E1E1E"/>
                <w:sz w:val="14"/>
              </w:rPr>
              <w:t>Custodial charter and duties of care.</w:t>
            </w:r>
          </w:p>
        </w:tc>
        <w:tc>
          <w:tcPr>
            <w:tcW w:type="dxa" w:w="1555"/>
            <w:vAlign w:val="top"/>
            <w:shd w:fill="F4F8FB"/>
          </w:tcPr>
          <w:p>
            <w:pPr>
              <w:spacing w:after="20"/>
            </w:pPr>
            <w:r>
              <w:rPr>
                <w:rFonts w:ascii="Aptos" w:hAnsi="Aptos"/>
                <w:color w:val="1E1E1E"/>
                <w:sz w:val="14"/>
              </w:rPr>
              <w:t>Containment is one of several refused interventions.</w:t>
            </w:r>
          </w:p>
        </w:tc>
        <w:tc>
          <w:tcPr>
            <w:tcW w:type="dxa" w:w="1555"/>
            <w:vAlign w:val="top"/>
            <w:shd w:fill="F4F8FB"/>
          </w:tcPr>
          <w:p>
            <w:pPr>
              <w:spacing w:after="20"/>
            </w:pPr>
            <w:r>
              <w:rPr>
                <w:rFonts w:ascii="Aptos" w:hAnsi="Aptos"/>
                <w:color w:val="1E1E1E"/>
                <w:sz w:val="14"/>
              </w:rPr>
              <w:t>Multiple incompatible descriptions persist.</w:t>
            </w:r>
          </w:p>
        </w:tc>
      </w:tr>
      <w:tr>
        <w:trPr>
          <w:cantSplit/>
        </w:trPr>
        <w:tc>
          <w:tcPr>
            <w:tcW w:type="dxa" w:w="2016"/>
            <w:vAlign w:val="top"/>
          </w:tcPr>
          <w:p>
            <w:pPr>
              <w:spacing w:after="20"/>
            </w:pPr>
            <w:r>
              <w:rPr>
                <w:rFonts w:ascii="Aptos" w:hAnsi="Aptos"/>
                <w:color w:val="1E1E1E"/>
                <w:sz w:val="14"/>
              </w:rPr>
              <w:t>Maker / Unmaker</w:t>
            </w:r>
          </w:p>
        </w:tc>
        <w:tc>
          <w:tcPr>
            <w:tcW w:type="dxa" w:w="1555"/>
            <w:vAlign w:val="top"/>
          </w:tcPr>
          <w:p>
            <w:pPr>
              <w:spacing w:after="20"/>
            </w:pPr>
            <w:r>
              <w:rPr>
                <w:rFonts w:ascii="Aptos" w:hAnsi="Aptos"/>
                <w:color w:val="1E1E1E"/>
                <w:sz w:val="14"/>
              </w:rPr>
              <w:t>Lineages whose fragments remain visible.</w:t>
            </w:r>
          </w:p>
        </w:tc>
        <w:tc>
          <w:tcPr>
            <w:tcW w:type="dxa" w:w="1555"/>
            <w:vAlign w:val="top"/>
          </w:tcPr>
          <w:p>
            <w:pPr>
              <w:spacing w:after="20"/>
            </w:pPr>
            <w:r>
              <w:rPr>
                <w:rFonts w:ascii="Aptos" w:hAnsi="Aptos"/>
                <w:color w:val="1E1E1E"/>
                <w:sz w:val="14"/>
              </w:rPr>
              <w:t>Rotating accountable roles.</w:t>
            </w:r>
          </w:p>
        </w:tc>
        <w:tc>
          <w:tcPr>
            <w:tcW w:type="dxa" w:w="1555"/>
            <w:vAlign w:val="top"/>
          </w:tcPr>
          <w:p>
            <w:pPr>
              <w:spacing w:after="20"/>
            </w:pPr>
            <w:r>
              <w:rPr>
                <w:rFonts w:ascii="Aptos" w:hAnsi="Aptos"/>
                <w:color w:val="1E1E1E"/>
                <w:sz w:val="14"/>
              </w:rPr>
              <w:t>Terms with standing and representation consequences.</w:t>
            </w:r>
          </w:p>
        </w:tc>
        <w:tc>
          <w:tcPr>
            <w:tcW w:type="dxa" w:w="1555"/>
            <w:vAlign w:val="top"/>
          </w:tcPr>
          <w:p>
            <w:pPr>
              <w:spacing w:after="20"/>
            </w:pPr>
            <w:r>
              <w:rPr>
                <w:rFonts w:ascii="Aptos" w:hAnsi="Aptos"/>
                <w:color w:val="1E1E1E"/>
                <w:sz w:val="14"/>
              </w:rPr>
              <w:t>Ethical functions constrained by refusal doctrine.</w:t>
            </w:r>
          </w:p>
        </w:tc>
        <w:tc>
          <w:tcPr>
            <w:tcW w:type="dxa" w:w="1555"/>
            <w:vAlign w:val="top"/>
          </w:tcPr>
          <w:p>
            <w:pPr>
              <w:spacing w:after="20"/>
            </w:pPr>
            <w:r>
              <w:rPr>
                <w:rFonts w:ascii="Aptos" w:hAnsi="Aptos"/>
                <w:color w:val="1E1E1E"/>
                <w:sz w:val="14"/>
              </w:rPr>
              <w:t>Translation-sensitive categories with no universal equivalent.</w:t>
            </w:r>
          </w:p>
        </w:tc>
      </w:tr>
      <w:tr>
        <w:trPr>
          <w:cantSplit/>
        </w:trPr>
        <w:tc>
          <w:tcPr>
            <w:tcW w:type="dxa" w:w="2016"/>
            <w:vAlign w:val="top"/>
            <w:shd w:fill="F4F8FB"/>
          </w:tcPr>
          <w:p>
            <w:pPr>
              <w:spacing w:after="20"/>
            </w:pPr>
            <w:r>
              <w:rPr>
                <w:rFonts w:ascii="Aptos" w:hAnsi="Aptos"/>
                <w:color w:val="1E1E1E"/>
                <w:sz w:val="14"/>
              </w:rPr>
              <w:t>Rhyme fragment</w:t>
            </w:r>
          </w:p>
        </w:tc>
        <w:tc>
          <w:tcPr>
            <w:tcW w:type="dxa" w:w="1555"/>
            <w:vAlign w:val="top"/>
            <w:shd w:fill="F4F8FB"/>
          </w:tcPr>
          <w:p>
            <w:pPr>
              <w:spacing w:after="20"/>
            </w:pPr>
            <w:r>
              <w:rPr>
                <w:rFonts w:ascii="Aptos" w:hAnsi="Aptos"/>
                <w:color w:val="1E1E1E"/>
                <w:sz w:val="14"/>
              </w:rPr>
              <w:t>Evidence of residual lineage continuity.</w:t>
            </w:r>
          </w:p>
        </w:tc>
        <w:tc>
          <w:tcPr>
            <w:tcW w:type="dxa" w:w="1555"/>
            <w:vAlign w:val="top"/>
            <w:shd w:fill="F4F8FB"/>
          </w:tcPr>
          <w:p>
            <w:pPr>
              <w:spacing w:after="20"/>
            </w:pPr>
            <w:r>
              <w:rPr>
                <w:rFonts w:ascii="Aptos" w:hAnsi="Aptos"/>
                <w:color w:val="1E1E1E"/>
                <w:sz w:val="14"/>
              </w:rPr>
              <w:t>Transition chant about role change.</w:t>
            </w:r>
          </w:p>
        </w:tc>
        <w:tc>
          <w:tcPr>
            <w:tcW w:type="dxa" w:w="1555"/>
            <w:vAlign w:val="top"/>
            <w:shd w:fill="F4F8FB"/>
          </w:tcPr>
          <w:p>
            <w:pPr>
              <w:spacing w:after="20"/>
            </w:pPr>
            <w:r>
              <w:rPr>
                <w:rFonts w:ascii="Aptos" w:hAnsi="Aptos"/>
                <w:color w:val="1E1E1E"/>
                <w:sz w:val="14"/>
              </w:rPr>
              <w:t>Warning against unexplained command.</w:t>
            </w:r>
          </w:p>
        </w:tc>
        <w:tc>
          <w:tcPr>
            <w:tcW w:type="dxa" w:w="1555"/>
            <w:vAlign w:val="top"/>
            <w:shd w:fill="F4F8FB"/>
          </w:tcPr>
          <w:p>
            <w:pPr>
              <w:spacing w:after="20"/>
            </w:pPr>
            <w:r>
              <w:rPr>
                <w:rFonts w:ascii="Aptos" w:hAnsi="Aptos"/>
                <w:color w:val="1E1E1E"/>
                <w:sz w:val="14"/>
              </w:rPr>
              <w:t>Warning against possibility without permission.</w:t>
            </w:r>
          </w:p>
        </w:tc>
        <w:tc>
          <w:tcPr>
            <w:tcW w:type="dxa" w:w="1555"/>
            <w:vAlign w:val="top"/>
            <w:shd w:fill="F4F8FB"/>
          </w:tcPr>
          <w:p>
            <w:pPr>
              <w:spacing w:after="20"/>
            </w:pPr>
            <w:r>
              <w:rPr>
                <w:rFonts w:ascii="Aptos" w:hAnsi="Aptos"/>
                <w:color w:val="1E1E1E"/>
                <w:sz w:val="14"/>
              </w:rPr>
              <w:t>Preserved source artifact with explicit translation loss.</w:t>
            </w:r>
          </w:p>
        </w:tc>
      </w:tr>
    </w:tbl>
    <w:p>
      <w:pPr>
        <w:spacing w:after="40"/>
      </w:pPr>
    </w:p>
    <w:p>
      <w:pPr>
        <w:pStyle w:val="Heading1"/>
        <w:keepNext/>
      </w:pPr>
      <w:r>
        <w:rPr>
          <w:rFonts w:ascii="Aptos" w:hAnsi="Aptos"/>
          <w:b/>
          <w:color w:val="142D4B"/>
          <w:sz w:val="35"/>
        </w:rPr>
        <w:t>Appendix B. Source Record and Method References</w:t>
      </w:r>
    </w:p>
    <w:p>
      <w:pPr>
        <w:pStyle w:val="Heading2"/>
        <w:keepNext/>
      </w:pPr>
      <w:r>
        <w:rPr>
          <w:rFonts w:ascii="Aptos" w:hAnsi="Aptos"/>
          <w:b/>
          <w:color w:val="1F4E79"/>
          <w:sz w:val="26"/>
        </w:rPr>
        <w:t>B.1 Supplied project sources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1152"/>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ID</w:t>
            </w:r>
          </w:p>
        </w:tc>
        <w:tc>
          <w:tcPr>
            <w:tcW w:type="dxa" w:w="8640"/>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Source</w:t>
            </w:r>
          </w:p>
        </w:tc>
      </w:tr>
      <w:tr>
        <w:trPr>
          <w:cantSplit/>
        </w:trPr>
        <w:tc>
          <w:tcPr>
            <w:tcW w:type="dxa" w:w="1152"/>
            <w:vAlign w:val="top"/>
          </w:tcPr>
          <w:p>
            <w:pPr>
              <w:spacing w:after="20"/>
            </w:pPr>
            <w:r>
              <w:rPr>
                <w:rFonts w:ascii="Aptos" w:hAnsi="Aptos"/>
                <w:color w:val="1E1E1E"/>
                <w:sz w:val="16"/>
              </w:rPr>
              <w:t>[S1]</w:t>
            </w:r>
          </w:p>
        </w:tc>
        <w:tc>
          <w:tcPr>
            <w:tcW w:type="dxa" w:w="8640"/>
            <w:vAlign w:val="top"/>
          </w:tcPr>
          <w:p>
            <w:pPr>
              <w:spacing w:after="20"/>
            </w:pPr>
            <w:r>
              <w:rPr>
                <w:rFonts w:ascii="Aptos" w:hAnsi="Aptos"/>
                <w:color w:val="1E1E1E"/>
                <w:sz w:val="16"/>
              </w:rPr>
              <w:t>Master Development and Change Log - Author Reference, Nathan Lewis / Architect, v1.0, last updated March 6, 2026.</w:t>
            </w:r>
          </w:p>
        </w:tc>
      </w:tr>
      <w:tr>
        <w:trPr>
          <w:cantSplit/>
        </w:trPr>
        <w:tc>
          <w:tcPr>
            <w:tcW w:type="dxa" w:w="1152"/>
            <w:vAlign w:val="top"/>
            <w:shd w:fill="F4F8FB"/>
          </w:tcPr>
          <w:p>
            <w:pPr>
              <w:spacing w:after="20"/>
            </w:pPr>
            <w:r>
              <w:rPr>
                <w:rFonts w:ascii="Aptos" w:hAnsi="Aptos"/>
                <w:color w:val="1E1E1E"/>
                <w:sz w:val="16"/>
              </w:rPr>
              <w:t>[S2]</w:t>
            </w:r>
          </w:p>
        </w:tc>
        <w:tc>
          <w:tcPr>
            <w:tcW w:type="dxa" w:w="8640"/>
            <w:vAlign w:val="top"/>
            <w:shd w:fill="F4F8FB"/>
          </w:tcPr>
          <w:p>
            <w:pPr>
              <w:spacing w:after="20"/>
            </w:pPr>
            <w:r>
              <w:rPr>
                <w:rFonts w:ascii="Aptos" w:hAnsi="Aptos"/>
                <w:color w:val="1E1E1E"/>
                <w:sz w:val="16"/>
              </w:rPr>
              <w:t>Cross-Analysis of Perplexity AI’s Explicit Nathan-Only Decisions: Red-Team Review and Finalized Architect-Exclusive Task Register, v1.0, March 24, 2026.</w:t>
            </w:r>
          </w:p>
        </w:tc>
      </w:tr>
      <w:tr>
        <w:trPr>
          <w:cantSplit/>
        </w:trPr>
        <w:tc>
          <w:tcPr>
            <w:tcW w:type="dxa" w:w="1152"/>
            <w:vAlign w:val="top"/>
          </w:tcPr>
          <w:p>
            <w:pPr>
              <w:spacing w:after="20"/>
            </w:pPr>
            <w:r>
              <w:rPr>
                <w:rFonts w:ascii="Aptos" w:hAnsi="Aptos"/>
                <w:color w:val="1E1E1E"/>
                <w:sz w:val="16"/>
              </w:rPr>
              <w:t>[S3]</w:t>
            </w:r>
          </w:p>
        </w:tc>
        <w:tc>
          <w:tcPr>
            <w:tcW w:type="dxa" w:w="8640"/>
            <w:vAlign w:val="top"/>
          </w:tcPr>
          <w:p>
            <w:pPr>
              <w:spacing w:after="20"/>
            </w:pPr>
            <w:r>
              <w:rPr>
                <w:rFonts w:ascii="Aptos" w:hAnsi="Aptos"/>
                <w:color w:val="1E1E1E"/>
                <w:sz w:val="16"/>
              </w:rPr>
              <w:t>Master Development Change Log Addendum: Paragon Cubes &amp; The Reality of the Living Media, v1.0, March 22, 2026.</w:t>
            </w:r>
          </w:p>
        </w:tc>
      </w:tr>
      <w:tr>
        <w:trPr>
          <w:cantSplit/>
        </w:trPr>
        <w:tc>
          <w:tcPr>
            <w:tcW w:type="dxa" w:w="1152"/>
            <w:vAlign w:val="top"/>
            <w:shd w:fill="F4F8FB"/>
          </w:tcPr>
          <w:p>
            <w:pPr>
              <w:spacing w:after="20"/>
            </w:pPr>
            <w:r>
              <w:rPr>
                <w:rFonts w:ascii="Aptos" w:hAnsi="Aptos"/>
                <w:color w:val="1E1E1E"/>
                <w:sz w:val="16"/>
              </w:rPr>
              <w:t>[S4]</w:t>
            </w:r>
          </w:p>
        </w:tc>
        <w:tc>
          <w:tcPr>
            <w:tcW w:type="dxa" w:w="8640"/>
            <w:vAlign w:val="top"/>
            <w:shd w:fill="F4F8FB"/>
          </w:tcPr>
          <w:p>
            <w:pPr>
              <w:spacing w:after="20"/>
            </w:pPr>
            <w:r>
              <w:rPr>
                <w:rFonts w:ascii="Aptos" w:hAnsi="Aptos"/>
                <w:color w:val="1E1E1E"/>
                <w:sz w:val="16"/>
              </w:rPr>
              <w:t>Architectural Archaeology of The One Universe, Volume I - Reverse Decision Analysis and Historical Reconstruction, v1.0, June 26, 2026. Prepared by ChatGPT - GPT-5.5 Thinking (OpenAI).</w:t>
            </w:r>
          </w:p>
        </w:tc>
      </w:tr>
      <w:tr>
        <w:trPr>
          <w:cantSplit/>
        </w:trPr>
        <w:tc>
          <w:tcPr>
            <w:tcW w:type="dxa" w:w="1152"/>
            <w:vAlign w:val="top"/>
          </w:tcPr>
          <w:p>
            <w:pPr>
              <w:spacing w:after="20"/>
            </w:pPr>
            <w:r>
              <w:rPr>
                <w:rFonts w:ascii="Aptos" w:hAnsi="Aptos"/>
                <w:color w:val="1E1E1E"/>
                <w:sz w:val="16"/>
              </w:rPr>
              <w:t>[S5]</w:t>
            </w:r>
          </w:p>
        </w:tc>
        <w:tc>
          <w:tcPr>
            <w:tcW w:type="dxa" w:w="8640"/>
            <w:vAlign w:val="top"/>
          </w:tcPr>
          <w:p>
            <w:pPr>
              <w:spacing w:after="20"/>
            </w:pPr>
            <w:r>
              <w:rPr>
                <w:rFonts w:ascii="Aptos" w:hAnsi="Aptos"/>
                <w:color w:val="1E1E1E"/>
                <w:sz w:val="16"/>
              </w:rPr>
              <w:t>Architectural Archaeology of The One Universe, Volume II - The First Three Historical Iterations, v1.0, June 27, 2026. Prepared by ChatGPT - GPT-5.5 Thinking (OpenAI).</w:t>
            </w:r>
          </w:p>
        </w:tc>
      </w:tr>
      <w:tr>
        <w:trPr>
          <w:cantSplit/>
        </w:trPr>
        <w:tc>
          <w:tcPr>
            <w:tcW w:type="dxa" w:w="1152"/>
            <w:vAlign w:val="top"/>
            <w:shd w:fill="F4F8FB"/>
          </w:tcPr>
          <w:p>
            <w:pPr>
              <w:spacing w:after="20"/>
            </w:pPr>
            <w:r>
              <w:rPr>
                <w:rFonts w:ascii="Aptos" w:hAnsi="Aptos"/>
                <w:color w:val="1E1E1E"/>
                <w:sz w:val="16"/>
              </w:rPr>
              <w:t>[S6]</w:t>
            </w:r>
          </w:p>
        </w:tc>
        <w:tc>
          <w:tcPr>
            <w:tcW w:type="dxa" w:w="8640"/>
            <w:vAlign w:val="top"/>
            <w:shd w:fill="F4F8FB"/>
          </w:tcPr>
          <w:p>
            <w:pPr>
              <w:spacing w:after="20"/>
            </w:pPr>
            <w:r>
              <w:rPr>
                <w:rFonts w:ascii="Aptos" w:hAnsi="Aptos"/>
                <w:color w:val="1E1E1E"/>
                <w:sz w:val="16"/>
              </w:rPr>
              <w:t>OAL Reverse Decision Archaeology &amp; New Future Branching Analysis, Volume II - Perplexity AI Edition, v1.0, June 26, 2026.</w:t>
            </w:r>
          </w:p>
        </w:tc>
      </w:tr>
      <w:tr>
        <w:trPr>
          <w:cantSplit/>
        </w:trPr>
        <w:tc>
          <w:tcPr>
            <w:tcW w:type="dxa" w:w="1152"/>
            <w:vAlign w:val="top"/>
          </w:tcPr>
          <w:p>
            <w:pPr>
              <w:spacing w:after="20"/>
            </w:pPr>
            <w:r>
              <w:rPr>
                <w:rFonts w:ascii="Aptos" w:hAnsi="Aptos"/>
                <w:color w:val="1E1E1E"/>
                <w:sz w:val="16"/>
              </w:rPr>
              <w:t>[S7]</w:t>
            </w:r>
          </w:p>
        </w:tc>
        <w:tc>
          <w:tcPr>
            <w:tcW w:type="dxa" w:w="8640"/>
            <w:vAlign w:val="top"/>
          </w:tcPr>
          <w:p>
            <w:pPr>
              <w:spacing w:after="20"/>
            </w:pPr>
            <w:r>
              <w:rPr>
                <w:rFonts w:ascii="Aptos" w:hAnsi="Aptos"/>
                <w:color w:val="1E1E1E"/>
                <w:sz w:val="16"/>
              </w:rPr>
              <w:t>OAL Canon Addendum - The Founding Architects: Elimination, Absorption, and Containment, v1.0, June 26, 2026. Source-labeled author-provided clarification; stated status pending ONESTAMP ratification.</w:t>
            </w:r>
          </w:p>
        </w:tc>
      </w:tr>
    </w:tbl>
    <w:p>
      <w:pPr>
        <w:spacing w:after="40"/>
      </w:pPr>
    </w:p>
    <w:p>
      <w:pPr>
        <w:pStyle w:val="Heading2"/>
        <w:keepNext/>
      </w:pPr>
      <w:r>
        <w:rPr>
          <w:rFonts w:ascii="Aptos" w:hAnsi="Aptos"/>
          <w:b/>
          <w:color w:val="1F4E79"/>
          <w:sz w:val="26"/>
        </w:rPr>
        <w:t>B.2 Method references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1152"/>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ID</w:t>
            </w:r>
          </w:p>
        </w:tc>
        <w:tc>
          <w:tcPr>
            <w:tcW w:type="dxa" w:w="8640"/>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Reference and use</w:t>
            </w:r>
          </w:p>
        </w:tc>
      </w:tr>
      <w:tr>
        <w:trPr>
          <w:cantSplit/>
        </w:trPr>
        <w:tc>
          <w:tcPr>
            <w:tcW w:type="dxa" w:w="1152"/>
            <w:vAlign w:val="top"/>
          </w:tcPr>
          <w:p>
            <w:pPr>
              <w:spacing w:after="20"/>
            </w:pPr>
            <w:r>
              <w:rPr>
                <w:rFonts w:ascii="Aptos" w:hAnsi="Aptos"/>
                <w:color w:val="1E1E1E"/>
                <w:sz w:val="16"/>
              </w:rPr>
              <w:t>[R1]</w:t>
            </w:r>
          </w:p>
        </w:tc>
        <w:tc>
          <w:tcPr>
            <w:tcW w:type="dxa" w:w="8640"/>
            <w:vAlign w:val="top"/>
          </w:tcPr>
          <w:p>
            <w:pPr>
              <w:spacing w:after="20"/>
            </w:pPr>
            <w:r>
              <w:rPr>
                <w:rFonts w:ascii="Aptos" w:hAnsi="Aptos"/>
                <w:color w:val="1E1E1E"/>
                <w:sz w:val="16"/>
              </w:rPr>
              <w:t>National Aeronautics and Space Administration. NASA Systems Engineering Handbook, NASA/SP-2016-6105 Rev. 2. Used for traceability and decision-analysis framing.</w:t>
            </w:r>
          </w:p>
        </w:tc>
      </w:tr>
      <w:tr>
        <w:trPr>
          <w:cantSplit/>
        </w:trPr>
        <w:tc>
          <w:tcPr>
            <w:tcW w:type="dxa" w:w="1152"/>
            <w:vAlign w:val="top"/>
            <w:shd w:fill="F4F8FB"/>
          </w:tcPr>
          <w:p>
            <w:pPr>
              <w:spacing w:after="20"/>
            </w:pPr>
            <w:r>
              <w:rPr>
                <w:rFonts w:ascii="Aptos" w:hAnsi="Aptos"/>
                <w:color w:val="1E1E1E"/>
                <w:sz w:val="16"/>
              </w:rPr>
              <w:t>[R2]</w:t>
            </w:r>
          </w:p>
        </w:tc>
        <w:tc>
          <w:tcPr>
            <w:tcW w:type="dxa" w:w="8640"/>
            <w:vAlign w:val="top"/>
            <w:shd w:fill="F4F8FB"/>
          </w:tcPr>
          <w:p>
            <w:pPr>
              <w:spacing w:after="20"/>
            </w:pPr>
            <w:r>
              <w:rPr>
                <w:rFonts w:ascii="Aptos" w:hAnsi="Aptos"/>
                <w:color w:val="1E1E1E"/>
                <w:sz w:val="16"/>
              </w:rPr>
              <w:t>Software Engineering Institute, Carnegie Mellon University. Views and Beyond Collection. Used for architecture documentation, rationale, and stakeholder-view framing.</w:t>
            </w:r>
          </w:p>
        </w:tc>
      </w:tr>
      <w:tr>
        <w:trPr>
          <w:cantSplit/>
        </w:trPr>
        <w:tc>
          <w:tcPr>
            <w:tcW w:type="dxa" w:w="1152"/>
            <w:vAlign w:val="top"/>
          </w:tcPr>
          <w:p>
            <w:pPr>
              <w:spacing w:after="20"/>
            </w:pPr>
            <w:r>
              <w:rPr>
                <w:rFonts w:ascii="Aptos" w:hAnsi="Aptos"/>
                <w:color w:val="1E1E1E"/>
                <w:sz w:val="16"/>
              </w:rPr>
              <w:t>[R3]</w:t>
            </w:r>
          </w:p>
        </w:tc>
        <w:tc>
          <w:tcPr>
            <w:tcW w:type="dxa" w:w="8640"/>
            <w:vAlign w:val="top"/>
          </w:tcPr>
          <w:p>
            <w:pPr>
              <w:spacing w:after="20"/>
            </w:pPr>
            <w:r>
              <w:rPr>
                <w:rFonts w:ascii="Aptos" w:hAnsi="Aptos"/>
                <w:color w:val="1E1E1E"/>
                <w:sz w:val="16"/>
              </w:rPr>
              <w:t>Software Engineering Institute, Carnegie Mellon University. Architecture Tradeoff Analysis Method collection. Used for tradeoff and risk-analysis framing.</w:t>
            </w:r>
          </w:p>
        </w:tc>
      </w:tr>
      <w:tr>
        <w:trPr>
          <w:cantSplit/>
        </w:trPr>
        <w:tc>
          <w:tcPr>
            <w:tcW w:type="dxa" w:w="1152"/>
            <w:vAlign w:val="top"/>
            <w:shd w:fill="F4F8FB"/>
          </w:tcPr>
          <w:p>
            <w:pPr>
              <w:spacing w:after="20"/>
            </w:pPr>
            <w:r>
              <w:rPr>
                <w:rFonts w:ascii="Aptos" w:hAnsi="Aptos"/>
                <w:color w:val="1E1E1E"/>
                <w:sz w:val="16"/>
              </w:rPr>
              <w:t>[R4]</w:t>
            </w:r>
          </w:p>
        </w:tc>
        <w:tc>
          <w:tcPr>
            <w:tcW w:type="dxa" w:w="8640"/>
            <w:vAlign w:val="top"/>
            <w:shd w:fill="F4F8FB"/>
          </w:tcPr>
          <w:p>
            <w:pPr>
              <w:spacing w:after="20"/>
            </w:pPr>
            <w:r>
              <w:rPr>
                <w:rFonts w:ascii="Aptos" w:hAnsi="Aptos"/>
                <w:color w:val="1E1E1E"/>
                <w:sz w:val="16"/>
              </w:rPr>
              <w:t>UK Government Office for Science. The Futures Toolkit. Used for structured scenario thinking and uncertainty framing.</w:t>
            </w:r>
          </w:p>
        </w:tc>
      </w:tr>
    </w:tbl>
    <w:p>
      <w:pPr>
        <w:spacing w:after="40"/>
      </w:pPr>
    </w:p>
    <w:p>
      <w:pPr>
        <w:pStyle w:val="Metadata"/>
        <w:keepLines/>
      </w:pPr>
      <w:r>
        <w:rPr>
          <w:rFonts w:ascii="Aptos" w:hAnsi="Aptos"/>
        </w:rPr>
        <w:t>Methodological note: External references support the analytical method only. They do not authenticate, limit, scale, or define the source-recorded creative worldbuilding material.</w:t>
      </w:r>
    </w:p>
    <w:p>
      <w:pPr>
        <w:pStyle w:val="Metadata"/>
        <w:keepLines/>
      </w:pPr>
      <w:r>
        <w:rPr>
          <w:rFonts w:ascii="Aptos" w:hAnsi="Aptos"/>
        </w:rPr>
        <w:t>Prepared by ChatGPT - GPT-5.5 Thinking (OpenAI) | June 27, 2026 | Research and speculative reconstruction - not canon</w:t>
      </w:r>
    </w:p>
    <w:sectPr w:rsidR="00FC693F" w:rsidRPr="0006063C" w:rsidSect="00034616">
      <w:headerReference w:type="default" r:id="rId9"/>
      <w:footerReference w:type="default" r:id="rId10"/>
      <w:pgSz w:w="12240" w:h="15840"/>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4B4B"/>
        <w:sz w:val="16"/>
      </w:rPr>
      <w:t xml:space="preserve">Prepared by ChatGPT - GPT-5.5 Thinking (OpenAI) | Research and speculative reconstruction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15569"/>
        <w:sz w:val="17"/>
      </w:rPr>
      <w:t>ARCHITECTURAL ARCHAEOLOGY | VOLUME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2"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142D4B"/>
      <w:sz w:val="35"/>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3449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color w:val="142D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40"/>
    </w:pPr>
    <w:rPr>
      <w:rFonts w:asciiTheme="majorHAnsi" w:eastAsiaTheme="majorEastAsia" w:hAnsiTheme="majorHAnsi" w:cstheme="majorBidi" w:ascii="Aptos Display" w:hAnsi="Aptos Display"/>
      <w:i/>
      <w:iCs/>
      <w:color w:val="34495E"/>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40"/>
    </w:pPr>
    <w:rPr>
      <w:rFonts w:ascii="Aptos" w:hAnsi="Aptos"/>
      <w:color w:val="555555"/>
      <w:sz w:val="18"/>
    </w:rPr>
  </w:style>
  <w:style w:type="paragraph" w:customStyle="1" w:styleId="Callout">
    <w:name w:val="Callout"/>
    <w:pPr>
      <w:spacing w:after="80" w:before="80"/>
      <w:ind w:left="216" w:right="216"/>
    </w:pPr>
    <w:rPr>
      <w:rFonts w:ascii="Aptos" w:hAnsi="Aptos"/>
      <w:color w:val="1E1E1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Architectural Archaeology of The One Universe - Volume III: Alternative Development Histories</dc:title>
  <dc:subject>Non-canon alternate timeline studies derived from reverse decision archaeology</dc:subject>
  <dc:creator>ChatGPT - GPT-5.5 Thinking (OpenAI)</dc:creator>
  <cp:keywords/>
  <dc:description>Research and speculative reconstruction. No canon changes proposed.</dc:description>
  <cp:lastModifiedBy/>
  <cp:revision>1</cp:revision>
  <dcterms:created xsi:type="dcterms:W3CDTF">2013-12-23T23:15:00Z</dcterms:created>
  <dcterms:modified xsi:type="dcterms:W3CDTF">2013-12-23T23:15:00Z</dcterms:modified>
  <cp:category/>
</cp:coreProperties>
</file>