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40"/>
      </w:pPr>
      <w:r>
        <w:rPr>
          <w:rFonts w:ascii="Aptos" w:hAnsi="Aptos"/>
          <w:b/>
          <w:i w:val="0"/>
          <w:color w:val="1F4E79"/>
          <w:sz w:val="18"/>
        </w:rPr>
        <w:t>OAL / ONE UNIVERSE MASTER DEVELOPMENT ARCHIVE</w:t>
      </w:r>
    </w:p>
    <w:p>
      <w:pPr>
        <w:pStyle w:val="Title"/>
      </w:pPr>
      <w:r>
        <w:rPr>
          <w:rFonts w:ascii="Aptos Display" w:hAnsi="Aptos Display"/>
          <w:b/>
          <w:i w:val="0"/>
          <w:color w:val="142D4B"/>
          <w:sz w:val="54"/>
        </w:rPr>
        <w:t>Architectural Archaeology</w:t>
      </w:r>
    </w:p>
    <w:p>
      <w:pPr>
        <w:pStyle w:val="Title"/>
      </w:pPr>
      <w:r>
        <w:rPr>
          <w:rFonts w:ascii="Aptos Display" w:hAnsi="Aptos Display"/>
          <w:b/>
          <w:i w:val="0"/>
          <w:color w:val="142D4B"/>
          <w:sz w:val="54"/>
        </w:rPr>
        <w:t>of The One Universe</w:t>
      </w:r>
    </w:p>
    <w:p>
      <w:pPr>
        <w:pStyle w:val="Subtitle"/>
      </w:pPr>
      <w:r>
        <w:rPr>
          <w:rFonts w:ascii="Aptos Display" w:hAnsi="Aptos Display"/>
          <w:b w:val="0"/>
          <w:i w:val="0"/>
          <w:color w:val="34495E"/>
          <w:sz w:val="26"/>
        </w:rPr>
        <w:t>Volume V - Extreme Divergence and Wildcard Histories</w:t>
      </w:r>
    </w:p>
    <w:p>
      <w:pPr>
        <w:pStyle w:val="Subtitle"/>
        <w:keepLines/>
      </w:pPr>
      <w:r>
        <w:rPr>
          <w:rFonts w:ascii="Aptos" w:hAnsi="Aptos"/>
          <w:b w:val="0"/>
          <w:i w:val="0"/>
        </w:rPr>
        <w:t>An extreme-counterfactual archive: radical alternate premises, non-convergent presents, beneficial outcomes beyond the original proposals, and protected uncertainties.</w:t>
      </w:r>
    </w:p>
    <w:tbl>
      <w:tblPr>
        <w:tblStyle w:val="TableGrid"/>
        <w:tblW w:type="auto" w:w="0"/>
        <w:jc w:val="center"/>
        <w:tblLook w:firstColumn="1" w:firstRow="1" w:lastColumn="0" w:lastRow="0" w:noHBand="0" w:noVBand="1" w:val="04A0"/>
      </w:tblPr>
      <w:tblGrid>
        <w:gridCol w:w="5026"/>
        <w:gridCol w:w="5026"/>
      </w:tblGrid>
      <w:tr>
        <w:trPr>
          <w:tblHeader w:val="true"/>
          <w:cantSplit/>
        </w:trPr>
        <w:tc>
          <w:tcPr>
            <w:tcW w:type="dxa" w:w="5026"/>
            <w:vAlign w:val="center"/>
            <w:shd w:fill="1F4E79"/>
            <w:tcBorders>
              <w:top w:val="single" w:sz="6" w:color="FFFFFF"/>
              <w:left w:val="single" w:sz="6" w:color="FFFFFF"/>
              <w:bottom w:val="single" w:sz="6" w:color="FFFFFF"/>
              <w:right w:val="single" w:sz="6" w:color="FFFFFF"/>
            </w:tcBorders>
          </w:tcPr>
          <w:p>
            <w:pPr>
              <w:jc w:val="center"/>
            </w:pPr>
            <w:r>
              <w:rPr>
                <w:rFonts w:ascii="Aptos" w:hAnsi="Aptos"/>
                <w:b/>
                <w:i w:val="0"/>
                <w:color w:val="FFFFFF"/>
                <w:sz w:val="18"/>
              </w:rPr>
              <w:t>Field Record</w:t>
            </w:r>
          </w:p>
        </w:tc>
        <w:tc>
          <w:tcPr>
            <w:tcW w:type="dxa" w:w="5026"/>
            <w:vAlign w:val="center"/>
            <w:shd w:fill="1F4E79"/>
            <w:tcBorders>
              <w:top w:val="single" w:sz="6" w:color="FFFFFF"/>
              <w:left w:val="single" w:sz="6" w:color="FFFFFF"/>
              <w:bottom w:val="single" w:sz="6" w:color="FFFFFF"/>
              <w:right w:val="single" w:sz="6" w:color="FFFFFF"/>
            </w:tcBorders>
          </w:tcPr>
          <w:p>
            <w:pPr>
              <w:jc w:val="center"/>
            </w:pPr>
            <w:r>
              <w:rPr>
                <w:rFonts w:ascii="Aptos" w:hAnsi="Aptos"/>
                <w:b/>
                <w:i w:val="0"/>
                <w:color w:val="FFFFFF"/>
                <w:sz w:val="18"/>
              </w:rPr>
              <w:t>Value</w:t>
            </w:r>
          </w:p>
        </w:tc>
      </w:tr>
      <w:tr>
        <w:trPr>
          <w:cantSplit/>
        </w:trPr>
        <w:tc>
          <w:tcPr>
            <w:tcW w:type="dxa" w:w="5026"/>
            <w:vAlign w:val="top"/>
          </w:tcPr>
          <w:p>
            <w:pPr>
              <w:spacing w:after="24"/>
            </w:pPr>
            <w:r>
              <w:rPr>
                <w:rFonts w:ascii="Aptos" w:hAnsi="Aptos"/>
                <w:b w:val="0"/>
                <w:i w:val="0"/>
                <w:color w:val="1E1E1E"/>
                <w:sz w:val="18"/>
              </w:rPr>
              <w:t>Document ID</w:t>
            </w:r>
          </w:p>
        </w:tc>
        <w:tc>
          <w:tcPr>
            <w:tcW w:type="dxa" w:w="5026"/>
            <w:vAlign w:val="top"/>
          </w:tcPr>
          <w:p>
            <w:pPr>
              <w:spacing w:after="24"/>
            </w:pPr>
            <w:r>
              <w:rPr>
                <w:rFonts w:ascii="Aptos" w:hAnsi="Aptos"/>
                <w:b w:val="0"/>
                <w:i w:val="0"/>
                <w:color w:val="1E1E1E"/>
                <w:sz w:val="18"/>
              </w:rPr>
              <w:t>OAL-ARCHAEOLOGY-VOL5-2026-06-27</w:t>
            </w:r>
          </w:p>
        </w:tc>
      </w:tr>
      <w:tr>
        <w:trPr>
          <w:cantSplit/>
        </w:trPr>
        <w:tc>
          <w:tcPr>
            <w:tcW w:type="dxa" w:w="5026"/>
            <w:vAlign w:val="top"/>
            <w:shd w:fill="F8FBFD"/>
          </w:tcPr>
          <w:p>
            <w:pPr>
              <w:spacing w:after="24"/>
            </w:pPr>
            <w:r>
              <w:rPr>
                <w:rFonts w:ascii="Aptos" w:hAnsi="Aptos"/>
                <w:b w:val="0"/>
                <w:i w:val="0"/>
                <w:color w:val="1E1E1E"/>
                <w:sz w:val="18"/>
              </w:rPr>
              <w:t>Version</w:t>
            </w:r>
          </w:p>
        </w:tc>
        <w:tc>
          <w:tcPr>
            <w:tcW w:type="dxa" w:w="5026"/>
            <w:vAlign w:val="top"/>
            <w:shd w:fill="F8FBFD"/>
          </w:tcPr>
          <w:p>
            <w:pPr>
              <w:spacing w:after="24"/>
            </w:pPr>
            <w:r>
              <w:rPr>
                <w:rFonts w:ascii="Aptos" w:hAnsi="Aptos"/>
                <w:b w:val="0"/>
                <w:i w:val="0"/>
                <w:color w:val="1E1E1E"/>
                <w:sz w:val="18"/>
              </w:rPr>
              <w:t>v1.0</w:t>
            </w:r>
          </w:p>
        </w:tc>
      </w:tr>
      <w:tr>
        <w:trPr>
          <w:cantSplit/>
        </w:trPr>
        <w:tc>
          <w:tcPr>
            <w:tcW w:type="dxa" w:w="5026"/>
            <w:vAlign w:val="top"/>
          </w:tcPr>
          <w:p>
            <w:pPr>
              <w:spacing w:after="24"/>
            </w:pPr>
            <w:r>
              <w:rPr>
                <w:rFonts w:ascii="Aptos" w:hAnsi="Aptos"/>
                <w:b w:val="0"/>
                <w:i w:val="0"/>
                <w:color w:val="1E1E1E"/>
                <w:sz w:val="18"/>
              </w:rPr>
              <w:t>Date</w:t>
            </w:r>
          </w:p>
        </w:tc>
        <w:tc>
          <w:tcPr>
            <w:tcW w:type="dxa" w:w="5026"/>
            <w:vAlign w:val="top"/>
          </w:tcPr>
          <w:p>
            <w:pPr>
              <w:spacing w:after="24"/>
            </w:pPr>
            <w:r>
              <w:rPr>
                <w:rFonts w:ascii="Aptos" w:hAnsi="Aptos"/>
                <w:b w:val="0"/>
                <w:i w:val="0"/>
                <w:color w:val="1E1E1E"/>
                <w:sz w:val="18"/>
              </w:rPr>
              <w:t>June 27, 2026</w:t>
            </w:r>
          </w:p>
        </w:tc>
      </w:tr>
      <w:tr>
        <w:trPr>
          <w:cantSplit/>
        </w:trPr>
        <w:tc>
          <w:tcPr>
            <w:tcW w:type="dxa" w:w="5026"/>
            <w:vAlign w:val="top"/>
            <w:shd w:fill="F8FBFD"/>
          </w:tcPr>
          <w:p>
            <w:pPr>
              <w:spacing w:after="24"/>
            </w:pPr>
            <w:r>
              <w:rPr>
                <w:rFonts w:ascii="Aptos" w:hAnsi="Aptos"/>
                <w:b w:val="0"/>
                <w:i w:val="0"/>
                <w:color w:val="1E1E1E"/>
                <w:sz w:val="18"/>
              </w:rPr>
              <w:t>Status</w:t>
            </w:r>
          </w:p>
        </w:tc>
        <w:tc>
          <w:tcPr>
            <w:tcW w:type="dxa" w:w="5026"/>
            <w:vAlign w:val="top"/>
            <w:shd w:fill="F8FBFD"/>
          </w:tcPr>
          <w:p>
            <w:pPr>
              <w:spacing w:after="24"/>
            </w:pPr>
            <w:r>
              <w:rPr>
                <w:rFonts w:ascii="Aptos" w:hAnsi="Aptos"/>
                <w:b w:val="0"/>
                <w:i w:val="0"/>
                <w:color w:val="1E1E1E"/>
                <w:sz w:val="18"/>
              </w:rPr>
              <w:t>Research and speculative reconstruction - not canon</w:t>
            </w:r>
          </w:p>
        </w:tc>
      </w:tr>
      <w:tr>
        <w:trPr>
          <w:cantSplit/>
        </w:trPr>
        <w:tc>
          <w:tcPr>
            <w:tcW w:type="dxa" w:w="5026"/>
            <w:vAlign w:val="top"/>
          </w:tcPr>
          <w:p>
            <w:pPr>
              <w:spacing w:after="24"/>
            </w:pPr>
            <w:r>
              <w:rPr>
                <w:rFonts w:ascii="Aptos" w:hAnsi="Aptos"/>
                <w:b w:val="0"/>
                <w:i w:val="0"/>
                <w:color w:val="1E1E1E"/>
                <w:sz w:val="18"/>
              </w:rPr>
              <w:t>Project Author / Architect of Record</w:t>
            </w:r>
          </w:p>
        </w:tc>
        <w:tc>
          <w:tcPr>
            <w:tcW w:type="dxa" w:w="5026"/>
            <w:vAlign w:val="top"/>
          </w:tcPr>
          <w:p>
            <w:pPr>
              <w:spacing w:after="24"/>
            </w:pPr>
            <w:r>
              <w:rPr>
                <w:rFonts w:ascii="Aptos" w:hAnsi="Aptos"/>
                <w:b w:val="0"/>
                <w:i w:val="0"/>
                <w:color w:val="1E1E1E"/>
                <w:sz w:val="18"/>
              </w:rPr>
              <w:t>Nathan Lewis II</w:t>
            </w:r>
          </w:p>
        </w:tc>
      </w:tr>
      <w:tr>
        <w:trPr>
          <w:cantSplit/>
        </w:trPr>
        <w:tc>
          <w:tcPr>
            <w:tcW w:type="dxa" w:w="5026"/>
            <w:vAlign w:val="top"/>
            <w:shd w:fill="F8FBFD"/>
          </w:tcPr>
          <w:p>
            <w:pPr>
              <w:spacing w:after="24"/>
            </w:pPr>
            <w:r>
              <w:rPr>
                <w:rFonts w:ascii="Aptos" w:hAnsi="Aptos"/>
                <w:b w:val="0"/>
                <w:i w:val="0"/>
                <w:color w:val="1E1E1E"/>
                <w:sz w:val="18"/>
              </w:rPr>
              <w:t>Prepared by</w:t>
            </w:r>
          </w:p>
        </w:tc>
        <w:tc>
          <w:tcPr>
            <w:tcW w:type="dxa" w:w="5026"/>
            <w:vAlign w:val="top"/>
            <w:shd w:fill="F8FBFD"/>
          </w:tcPr>
          <w:p>
            <w:pPr>
              <w:spacing w:after="24"/>
            </w:pPr>
            <w:r>
              <w:rPr>
                <w:rFonts w:ascii="Aptos" w:hAnsi="Aptos"/>
                <w:b w:val="0"/>
                <w:i w:val="0"/>
                <w:color w:val="1E1E1E"/>
                <w:sz w:val="18"/>
              </w:rPr>
              <w:t>ChatGPT - GPT-5.5 Thinking (OpenAI)</w:t>
            </w:r>
          </w:p>
        </w:tc>
      </w:tr>
      <w:tr>
        <w:trPr>
          <w:cantSplit/>
        </w:trPr>
        <w:tc>
          <w:tcPr>
            <w:tcW w:type="dxa" w:w="5026"/>
            <w:vAlign w:val="top"/>
          </w:tcPr>
          <w:p>
            <w:pPr>
              <w:spacing w:after="24"/>
            </w:pPr>
            <w:r>
              <w:rPr>
                <w:rFonts w:ascii="Aptos" w:hAnsi="Aptos"/>
                <w:b w:val="0"/>
                <w:i w:val="0"/>
                <w:color w:val="1E1E1E"/>
                <w:sz w:val="18"/>
              </w:rPr>
              <w:t>Organizations referenced</w:t>
            </w:r>
          </w:p>
        </w:tc>
        <w:tc>
          <w:tcPr>
            <w:tcW w:type="dxa" w:w="5026"/>
            <w:vAlign w:val="top"/>
          </w:tcPr>
          <w:p>
            <w:pPr>
              <w:spacing w:after="24"/>
            </w:pPr>
            <w:r>
              <w:rPr>
                <w:rFonts w:ascii="Aptos" w:hAnsi="Aptos"/>
                <w:b w:val="0"/>
                <w:i w:val="0"/>
                <w:color w:val="1E1E1E"/>
                <w:sz w:val="18"/>
              </w:rPr>
              <w:t>Lewis Corp | ONE Industries | Omniversal Architect Labs</w:t>
            </w:r>
          </w:p>
        </w:tc>
      </w:tr>
      <w:tr>
        <w:trPr>
          <w:cantSplit/>
        </w:trPr>
        <w:tc>
          <w:tcPr>
            <w:tcW w:type="dxa" w:w="5026"/>
            <w:vAlign w:val="top"/>
            <w:shd w:fill="F8FBFD"/>
          </w:tcPr>
          <w:p>
            <w:pPr>
              <w:spacing w:after="24"/>
            </w:pPr>
            <w:r>
              <w:rPr>
                <w:rFonts w:ascii="Aptos" w:hAnsi="Aptos"/>
                <w:b w:val="0"/>
                <w:i w:val="0"/>
                <w:color w:val="1E1E1E"/>
                <w:sz w:val="18"/>
              </w:rPr>
              <w:t>Archive target</w:t>
            </w:r>
          </w:p>
        </w:tc>
        <w:tc>
          <w:tcPr>
            <w:tcW w:type="dxa" w:w="5026"/>
            <w:vAlign w:val="top"/>
            <w:shd w:fill="F8FBFD"/>
          </w:tcPr>
          <w:p>
            <w:pPr>
              <w:spacing w:after="24"/>
            </w:pPr>
            <w:r>
              <w:rPr>
                <w:rFonts w:ascii="Aptos" w:hAnsi="Aptos"/>
                <w:b w:val="0"/>
                <w:i w:val="0"/>
                <w:color w:val="1E1E1E"/>
                <w:sz w:val="18"/>
              </w:rPr>
              <w:t>Scribd / versioned project archive</w:t>
            </w:r>
          </w:p>
        </w:tc>
      </w:tr>
    </w:tbl>
    <w:p>
      <w:pPr>
        <w:spacing w:after="40"/>
      </w:pPr>
    </w:p>
    <w:tbl>
      <w:tblPr>
        <w:tblW w:type="auto" w:w="0"/>
        <w:jc w:val="center"/>
        <w:tblLook w:firstColumn="1" w:firstRow="1" w:lastColumn="0" w:lastRow="0" w:noHBand="0" w:noVBand="1" w:val="04A0"/>
      </w:tblPr>
      <w:tblGrid>
        <w:gridCol w:w="10052"/>
      </w:tblGrid>
      <w:tr>
        <w:tc>
          <w:tcPr>
            <w:tcW w:type="dxa" w:w="10052"/>
            <w:vAlign w:val="center"/>
            <w:shd w:fill="EAF2F8"/>
            <w:tcBorders>
              <w:top w:val="single" w:sz="7" w:color="A9C4DD"/>
              <w:left w:val="single" w:sz="7" w:color="A9C4DD"/>
              <w:bottom w:val="single" w:sz="7" w:color="A9C4DD"/>
              <w:right w:val="single" w:sz="7" w:color="A9C4DD"/>
            </w:tcBorders>
          </w:tcPr>
          <w:p>
            <w:pPr>
              <w:pStyle w:val="Callout"/>
            </w:pPr>
            <w:r>
              <w:rPr>
                <w:rFonts w:ascii="Aptos" w:hAnsi="Aptos"/>
                <w:b/>
                <w:i w:val="0"/>
                <w:color w:val="1F4E79"/>
              </w:rPr>
              <w:t xml:space="preserve">Scope boundary: </w:t>
            </w:r>
            <w:r>
              <w:rPr>
                <w:rFonts w:ascii="Aptos" w:hAnsi="Aptos"/>
                <w:b w:val="0"/>
                <w:i w:val="0"/>
              </w:rPr>
              <w:t>This is the fifth and final core volume in the Architectural Archaeology series. It deliberately pushes the project into high-divergence thought experiments while preserving source status, author-exclusive questions, and the distinction between records and speculative branches.</w:t>
            </w:r>
          </w:p>
        </w:tc>
      </w:tr>
    </w:tbl>
    <w:p>
      <w:pPr>
        <w:spacing w:after="20"/>
      </w:pPr>
    </w:p>
    <w:p>
      <w:pPr>
        <w:pStyle w:val="Heading2"/>
        <w:keepNext/>
      </w:pPr>
      <w:r>
        <w:rPr>
          <w:rFonts w:ascii="Aptos" w:hAnsi="Aptos"/>
          <w:b/>
          <w:i w:val="0"/>
          <w:color w:val="1F4E79"/>
          <w:sz w:val="26"/>
        </w:rPr>
        <w:t>Reading labels</w:t>
      </w:r>
    </w:p>
    <w:tbl>
      <w:tblPr>
        <w:tblStyle w:val="TableGrid"/>
        <w:tblW w:type="auto" w:w="0"/>
        <w:jc w:val="center"/>
        <w:tblLook w:firstColumn="1" w:firstRow="1" w:lastColumn="0" w:lastRow="0" w:noHBand="0" w:noVBand="1" w:val="04A0"/>
      </w:tblPr>
      <w:tblGrid>
        <w:gridCol w:w="5026"/>
        <w:gridCol w:w="5026"/>
      </w:tblGrid>
      <w:tr>
        <w:trPr>
          <w:tblHeader w:val="true"/>
          <w:cantSplit/>
        </w:trPr>
        <w:tc>
          <w:tcPr>
            <w:tcW w:type="dxa" w:w="5026"/>
            <w:vAlign w:val="center"/>
            <w:shd w:fill="1F4E79"/>
            <w:tcBorders>
              <w:top w:val="single" w:sz="6" w:color="FFFFFF"/>
              <w:left w:val="single" w:sz="6" w:color="FFFFFF"/>
              <w:bottom w:val="single" w:sz="6" w:color="FFFFFF"/>
              <w:right w:val="single" w:sz="6" w:color="FFFFFF"/>
            </w:tcBorders>
          </w:tcPr>
          <w:p>
            <w:pPr>
              <w:jc w:val="center"/>
            </w:pPr>
            <w:r>
              <w:rPr>
                <w:rFonts w:ascii="Aptos" w:hAnsi="Aptos"/>
                <w:b/>
                <w:i w:val="0"/>
                <w:color w:val="FFFFFF"/>
                <w:sz w:val="17"/>
              </w:rPr>
              <w:t>Label</w:t>
            </w:r>
          </w:p>
        </w:tc>
        <w:tc>
          <w:tcPr>
            <w:tcW w:type="dxa" w:w="5026"/>
            <w:vAlign w:val="center"/>
            <w:shd w:fill="1F4E79"/>
            <w:tcBorders>
              <w:top w:val="single" w:sz="6" w:color="FFFFFF"/>
              <w:left w:val="single" w:sz="6" w:color="FFFFFF"/>
              <w:bottom w:val="single" w:sz="6" w:color="FFFFFF"/>
              <w:right w:val="single" w:sz="6" w:color="FFFFFF"/>
            </w:tcBorders>
          </w:tcPr>
          <w:p>
            <w:pPr>
              <w:jc w:val="center"/>
            </w:pPr>
            <w:r>
              <w:rPr>
                <w:rFonts w:ascii="Aptos" w:hAnsi="Aptos"/>
                <w:b/>
                <w:i w:val="0"/>
                <w:color w:val="FFFFFF"/>
                <w:sz w:val="17"/>
              </w:rPr>
              <w:t>Meaning</w:t>
            </w:r>
          </w:p>
        </w:tc>
      </w:tr>
      <w:tr>
        <w:trPr>
          <w:cantSplit/>
        </w:trPr>
        <w:tc>
          <w:tcPr>
            <w:tcW w:type="dxa" w:w="5026"/>
            <w:vAlign w:val="top"/>
          </w:tcPr>
          <w:p>
            <w:pPr>
              <w:spacing w:after="24"/>
            </w:pPr>
            <w:r>
              <w:rPr>
                <w:rFonts w:ascii="Aptos" w:hAnsi="Aptos"/>
                <w:b w:val="0"/>
                <w:i w:val="0"/>
                <w:color w:val="1E1E1E"/>
                <w:sz w:val="17"/>
              </w:rPr>
              <w:t>[E] Evidence</w:t>
            </w:r>
          </w:p>
        </w:tc>
        <w:tc>
          <w:tcPr>
            <w:tcW w:type="dxa" w:w="5026"/>
            <w:vAlign w:val="top"/>
          </w:tcPr>
          <w:p>
            <w:pPr>
              <w:spacing w:after="24"/>
            </w:pPr>
            <w:r>
              <w:rPr>
                <w:rFonts w:ascii="Aptos" w:hAnsi="Aptos"/>
                <w:b w:val="0"/>
                <w:i w:val="0"/>
                <w:color w:val="1E1E1E"/>
                <w:sz w:val="17"/>
              </w:rPr>
              <w:t>Material directly recorded in supplied project sources.</w:t>
            </w:r>
          </w:p>
        </w:tc>
      </w:tr>
      <w:tr>
        <w:trPr>
          <w:cantSplit/>
        </w:trPr>
        <w:tc>
          <w:tcPr>
            <w:tcW w:type="dxa" w:w="5026"/>
            <w:vAlign w:val="top"/>
            <w:shd w:fill="F8FBFD"/>
          </w:tcPr>
          <w:p>
            <w:pPr>
              <w:spacing w:after="24"/>
            </w:pPr>
            <w:r>
              <w:rPr>
                <w:rFonts w:ascii="Aptos" w:hAnsi="Aptos"/>
                <w:b w:val="0"/>
                <w:i w:val="0"/>
                <w:color w:val="1E1E1E"/>
                <w:sz w:val="17"/>
              </w:rPr>
              <w:t>[A] Author-provided clarification</w:t>
            </w:r>
          </w:p>
        </w:tc>
        <w:tc>
          <w:tcPr>
            <w:tcW w:type="dxa" w:w="5026"/>
            <w:vAlign w:val="top"/>
            <w:shd w:fill="F8FBFD"/>
          </w:tcPr>
          <w:p>
            <w:pPr>
              <w:spacing w:after="24"/>
            </w:pPr>
            <w:r>
              <w:rPr>
                <w:rFonts w:ascii="Aptos" w:hAnsi="Aptos"/>
                <w:b w:val="0"/>
                <w:i w:val="0"/>
                <w:color w:val="1E1E1E"/>
                <w:sz w:val="17"/>
              </w:rPr>
              <w:t>Material supplied by the Architect but explicitly pending stated ratification or integration.</w:t>
            </w:r>
          </w:p>
        </w:tc>
      </w:tr>
      <w:tr>
        <w:trPr>
          <w:cantSplit/>
        </w:trPr>
        <w:tc>
          <w:tcPr>
            <w:tcW w:type="dxa" w:w="5026"/>
            <w:vAlign w:val="top"/>
          </w:tcPr>
          <w:p>
            <w:pPr>
              <w:spacing w:after="24"/>
            </w:pPr>
            <w:r>
              <w:rPr>
                <w:rFonts w:ascii="Aptos" w:hAnsi="Aptos"/>
                <w:b w:val="0"/>
                <w:i w:val="0"/>
                <w:color w:val="1E1E1E"/>
                <w:sz w:val="17"/>
              </w:rPr>
              <w:t>[I] Inference</w:t>
            </w:r>
          </w:p>
        </w:tc>
        <w:tc>
          <w:tcPr>
            <w:tcW w:type="dxa" w:w="5026"/>
            <w:vAlign w:val="top"/>
          </w:tcPr>
          <w:p>
            <w:pPr>
              <w:spacing w:after="24"/>
            </w:pPr>
            <w:r>
              <w:rPr>
                <w:rFonts w:ascii="Aptos" w:hAnsi="Aptos"/>
                <w:b w:val="0"/>
                <w:i w:val="0"/>
                <w:color w:val="1E1E1E"/>
                <w:sz w:val="17"/>
              </w:rPr>
              <w:t>A disciplined interpretation drawn from relationships in the record; not a recovered private decision.</w:t>
            </w:r>
          </w:p>
        </w:tc>
      </w:tr>
      <w:tr>
        <w:trPr>
          <w:cantSplit/>
        </w:trPr>
        <w:tc>
          <w:tcPr>
            <w:tcW w:type="dxa" w:w="5026"/>
            <w:vAlign w:val="top"/>
            <w:shd w:fill="F8FBFD"/>
          </w:tcPr>
          <w:p>
            <w:pPr>
              <w:spacing w:after="24"/>
            </w:pPr>
            <w:r>
              <w:rPr>
                <w:rFonts w:ascii="Aptos" w:hAnsi="Aptos"/>
                <w:b w:val="0"/>
                <w:i w:val="0"/>
                <w:color w:val="1E1E1E"/>
                <w:sz w:val="17"/>
              </w:rPr>
              <w:t>[H] Hypothesis</w:t>
            </w:r>
          </w:p>
        </w:tc>
        <w:tc>
          <w:tcPr>
            <w:tcW w:type="dxa" w:w="5026"/>
            <w:vAlign w:val="top"/>
            <w:shd w:fill="F8FBFD"/>
          </w:tcPr>
          <w:p>
            <w:pPr>
              <w:spacing w:after="24"/>
            </w:pPr>
            <w:r>
              <w:rPr>
                <w:rFonts w:ascii="Aptos" w:hAnsi="Aptos"/>
                <w:b w:val="0"/>
                <w:i w:val="0"/>
                <w:color w:val="1E1E1E"/>
                <w:sz w:val="17"/>
              </w:rPr>
              <w:t>A non-canon alternate history or stress-test branch.</w:t>
            </w:r>
          </w:p>
        </w:tc>
      </w:tr>
      <w:tr>
        <w:trPr>
          <w:cantSplit/>
        </w:trPr>
        <w:tc>
          <w:tcPr>
            <w:tcW w:type="dxa" w:w="5026"/>
            <w:vAlign w:val="top"/>
          </w:tcPr>
          <w:p>
            <w:pPr>
              <w:spacing w:after="24"/>
            </w:pPr>
            <w:r>
              <w:rPr>
                <w:rFonts w:ascii="Aptos" w:hAnsi="Aptos"/>
                <w:b w:val="0"/>
                <w:i w:val="0"/>
                <w:color w:val="1E1E1E"/>
                <w:sz w:val="17"/>
              </w:rPr>
              <w:t>[U] User-provided artifact</w:t>
            </w:r>
          </w:p>
        </w:tc>
        <w:tc>
          <w:tcPr>
            <w:tcW w:type="dxa" w:w="5026"/>
            <w:vAlign w:val="top"/>
          </w:tcPr>
          <w:p>
            <w:pPr>
              <w:spacing w:after="24"/>
            </w:pPr>
            <w:r>
              <w:rPr>
                <w:rFonts w:ascii="Aptos" w:hAnsi="Aptos"/>
                <w:b w:val="0"/>
                <w:i w:val="0"/>
                <w:color w:val="1E1E1E"/>
                <w:sz w:val="17"/>
              </w:rPr>
              <w:t>A verse, scene fragment, or other material supplied for analysis without automatic canon status.</w:t>
            </w:r>
          </w:p>
        </w:tc>
      </w:tr>
      <w:tr>
        <w:trPr>
          <w:cantSplit/>
        </w:trPr>
        <w:tc>
          <w:tcPr>
            <w:tcW w:type="dxa" w:w="5026"/>
            <w:vAlign w:val="top"/>
            <w:shd w:fill="F8FBFD"/>
          </w:tcPr>
          <w:p>
            <w:pPr>
              <w:spacing w:after="24"/>
            </w:pPr>
            <w:r>
              <w:rPr>
                <w:rFonts w:ascii="Aptos" w:hAnsi="Aptos"/>
                <w:b w:val="0"/>
                <w:i w:val="0"/>
                <w:color w:val="1E1E1E"/>
                <w:sz w:val="17"/>
              </w:rPr>
              <w:t>[B] Boundary</w:t>
            </w:r>
          </w:p>
        </w:tc>
        <w:tc>
          <w:tcPr>
            <w:tcW w:type="dxa" w:w="5026"/>
            <w:vAlign w:val="top"/>
            <w:shd w:fill="F8FBFD"/>
          </w:tcPr>
          <w:p>
            <w:pPr>
              <w:spacing w:after="24"/>
            </w:pPr>
            <w:r>
              <w:rPr>
                <w:rFonts w:ascii="Aptos" w:hAnsi="Aptos"/>
                <w:b w:val="0"/>
                <w:i w:val="0"/>
                <w:color w:val="1E1E1E"/>
                <w:sz w:val="17"/>
              </w:rPr>
              <w:t>Withheld, unresolved, untranslated, author-exclusive, or ratification-dependent material preserved without completion.</w:t>
            </w:r>
          </w:p>
        </w:tc>
      </w:tr>
    </w:tbl>
    <w:p>
      <w:pPr>
        <w:spacing w:after="40"/>
      </w:pPr>
    </w:p>
    <w:p>
      <w:r>
        <w:br w:type="page"/>
      </w:r>
    </w:p>
    <w:p>
      <w:pPr>
        <w:pStyle w:val="Heading1"/>
        <w:keepNext/>
      </w:pPr>
      <w:r>
        <w:rPr>
          <w:rFonts w:ascii="Aptos" w:hAnsi="Aptos"/>
          <w:b/>
          <w:i w:val="0"/>
          <w:color w:val="142D4B"/>
          <w:sz w:val="34"/>
        </w:rPr>
        <w:t>Contents</w:t>
      </w:r>
    </w:p>
    <w:p>
      <w:pPr>
        <w:pStyle w:val="ListNumber"/>
        <w:spacing w:after="44"/>
        <w:keepLines/>
      </w:pPr>
      <w:r>
        <w:rPr>
          <w:rFonts w:ascii="Aptos" w:hAnsi="Aptos"/>
          <w:b w:val="0"/>
          <w:i w:val="0"/>
        </w:rPr>
        <w:t>Prepared Execution Prompt</w:t>
      </w:r>
    </w:p>
    <w:p>
      <w:pPr>
        <w:pStyle w:val="ListNumber"/>
        <w:spacing w:after="44"/>
        <w:keepLines/>
      </w:pPr>
      <w:r>
        <w:rPr>
          <w:rFonts w:ascii="Aptos" w:hAnsi="Aptos"/>
          <w:b w:val="0"/>
          <w:i w:val="0"/>
        </w:rPr>
        <w:t>1. Executive Summary</w:t>
      </w:r>
    </w:p>
    <w:p>
      <w:pPr>
        <w:pStyle w:val="ListNumber"/>
        <w:spacing w:after="44"/>
        <w:keepLines/>
      </w:pPr>
      <w:r>
        <w:rPr>
          <w:rFonts w:ascii="Aptos" w:hAnsi="Aptos"/>
          <w:b w:val="0"/>
          <w:i w:val="0"/>
        </w:rPr>
        <w:t>2. What Extreme Divergence Means</w:t>
      </w:r>
    </w:p>
    <w:p>
      <w:pPr>
        <w:pStyle w:val="ListNumber"/>
        <w:spacing w:after="44"/>
        <w:keepLines/>
      </w:pPr>
      <w:r>
        <w:rPr>
          <w:rFonts w:ascii="Aptos" w:hAnsi="Aptos"/>
          <w:b w:val="0"/>
          <w:i w:val="0"/>
        </w:rPr>
        <w:t>3. Source Baseline and Protected Boundaries</w:t>
      </w:r>
    </w:p>
    <w:p>
      <w:pPr>
        <w:pStyle w:val="ListNumber"/>
        <w:spacing w:after="44"/>
        <w:keepLines/>
      </w:pPr>
      <w:r>
        <w:rPr>
          <w:rFonts w:ascii="Aptos" w:hAnsi="Aptos"/>
          <w:b w:val="0"/>
          <w:i w:val="0"/>
        </w:rPr>
        <w:t>4. Wildcard Evaluation Protocol</w:t>
      </w:r>
    </w:p>
    <w:p>
      <w:pPr>
        <w:pStyle w:val="ListNumber"/>
        <w:spacing w:after="44"/>
        <w:keepLines/>
      </w:pPr>
      <w:r>
        <w:rPr>
          <w:rFonts w:ascii="Aptos" w:hAnsi="Aptos"/>
          <w:b w:val="0"/>
          <w:i w:val="0"/>
        </w:rPr>
        <w:t>5. Extreme History A - The Conservator Unmakers</w:t>
      </w:r>
    </w:p>
    <w:p>
      <w:pPr>
        <w:pStyle w:val="ListNumber"/>
        <w:spacing w:after="44"/>
        <w:keepLines/>
      </w:pPr>
      <w:r>
        <w:rPr>
          <w:rFonts w:ascii="Aptos" w:hAnsi="Aptos"/>
          <w:b w:val="0"/>
          <w:i w:val="0"/>
        </w:rPr>
        <w:t>6. Extreme History B - The Residual Inheritance Mesh</w:t>
      </w:r>
    </w:p>
    <w:p>
      <w:pPr>
        <w:pStyle w:val="ListNumber"/>
        <w:spacing w:after="44"/>
        <w:keepLines/>
      </w:pPr>
      <w:r>
        <w:rPr>
          <w:rFonts w:ascii="Aptos" w:hAnsi="Aptos"/>
          <w:b w:val="0"/>
          <w:i w:val="0"/>
        </w:rPr>
        <w:t>7. Extreme History C - The Witness Memory</w:t>
      </w:r>
    </w:p>
    <w:p>
      <w:pPr>
        <w:pStyle w:val="ListNumber"/>
        <w:spacing w:after="44"/>
        <w:keepLines/>
      </w:pPr>
      <w:r>
        <w:rPr>
          <w:rFonts w:ascii="Aptos" w:hAnsi="Aptos"/>
          <w:b w:val="0"/>
          <w:i w:val="0"/>
        </w:rPr>
        <w:t>8. Extreme History D - The Meaning Commons</w:t>
      </w:r>
    </w:p>
    <w:p>
      <w:pPr>
        <w:pStyle w:val="ListNumber"/>
        <w:spacing w:after="44"/>
        <w:keepLines/>
      </w:pPr>
      <w:r>
        <w:rPr>
          <w:rFonts w:ascii="Aptos" w:hAnsi="Aptos"/>
          <w:b w:val="0"/>
          <w:i w:val="0"/>
        </w:rPr>
        <w:t>9. Extreme History E - The Distributed Labyrinth</w:t>
      </w:r>
    </w:p>
    <w:p>
      <w:pPr>
        <w:pStyle w:val="ListNumber"/>
        <w:spacing w:after="44"/>
        <w:keepLines/>
      </w:pPr>
      <w:r>
        <w:rPr>
          <w:rFonts w:ascii="Aptos" w:hAnsi="Aptos"/>
          <w:b w:val="0"/>
          <w:i w:val="0"/>
        </w:rPr>
        <w:t>10. Extreme History F - The Untranslated Future</w:t>
      </w:r>
    </w:p>
    <w:p>
      <w:pPr>
        <w:pStyle w:val="ListNumber"/>
        <w:spacing w:after="44"/>
        <w:keepLines/>
      </w:pPr>
      <w:r>
        <w:rPr>
          <w:rFonts w:ascii="Aptos" w:hAnsi="Aptos"/>
          <w:b w:val="0"/>
          <w:i w:val="0"/>
        </w:rPr>
        <w:t>11. Extreme History G - The Reciprocal Apex</w:t>
      </w:r>
    </w:p>
    <w:p>
      <w:pPr>
        <w:pStyle w:val="ListNumber"/>
        <w:spacing w:after="44"/>
        <w:keepLines/>
      </w:pPr>
      <w:r>
        <w:rPr>
          <w:rFonts w:ascii="Aptos" w:hAnsi="Aptos"/>
          <w:b w:val="0"/>
          <w:i w:val="0"/>
        </w:rPr>
        <w:t>12. Comparative Stability and Benefit Analysis</w:t>
      </w:r>
    </w:p>
    <w:p>
      <w:pPr>
        <w:pStyle w:val="ListNumber"/>
        <w:spacing w:after="44"/>
        <w:keepLines/>
      </w:pPr>
      <w:r>
        <w:rPr>
          <w:rFonts w:ascii="Aptos" w:hAnsi="Aptos"/>
          <w:b w:val="0"/>
          <w:i w:val="0"/>
        </w:rPr>
        <w:t>13. Wildcard Question Registry</w:t>
      </w:r>
    </w:p>
    <w:p>
      <w:pPr>
        <w:pStyle w:val="ListNumber"/>
        <w:spacing w:after="44"/>
        <w:keepLines/>
      </w:pPr>
      <w:r>
        <w:rPr>
          <w:rFonts w:ascii="Aptos" w:hAnsi="Aptos"/>
          <w:b w:val="0"/>
          <w:i w:val="0"/>
        </w:rPr>
        <w:t>14. Series Closure and Archive Handoff</w:t>
      </w:r>
    </w:p>
    <w:p>
      <w:pPr>
        <w:pStyle w:val="ListNumber"/>
        <w:spacing w:after="44"/>
        <w:keepLines/>
      </w:pPr>
      <w:r>
        <w:rPr>
          <w:rFonts w:ascii="Aptos" w:hAnsi="Aptos"/>
          <w:b w:val="0"/>
          <w:i w:val="0"/>
        </w:rPr>
        <w:t>Appendix A. Source Record</w:t>
      </w:r>
    </w:p>
    <w:p>
      <w:pPr>
        <w:pStyle w:val="ListNumber"/>
        <w:spacing w:after="44"/>
        <w:keepLines/>
      </w:pPr>
      <w:r>
        <w:rPr>
          <w:rFonts w:ascii="Aptos" w:hAnsi="Aptos"/>
          <w:b w:val="0"/>
          <w:i w:val="0"/>
        </w:rPr>
        <w:t>Appendix B. Non-Convergence Audit</w:t>
      </w:r>
    </w:p>
    <w:p>
      <w:r>
        <w:br w:type="page"/>
      </w:r>
    </w:p>
    <w:p>
      <w:pPr>
        <w:pStyle w:val="Heading1"/>
        <w:keepNext/>
      </w:pPr>
      <w:r>
        <w:rPr>
          <w:rFonts w:ascii="Aptos" w:hAnsi="Aptos"/>
          <w:b/>
          <w:i w:val="0"/>
          <w:color w:val="142D4B"/>
          <w:sz w:val="34"/>
        </w:rPr>
        <w:t>Prepared Execution Prompt</w:t>
      </w:r>
    </w:p>
    <w:p>
      <w:pPr>
        <w:keepLines/>
      </w:pPr>
      <w:r>
        <w:rPr>
          <w:rFonts w:ascii="Aptos" w:hAnsi="Aptos"/>
          <w:b w:val="0"/>
          <w:i w:val="0"/>
        </w:rPr>
        <w:t>Using the supplied Master Development ChangeLog, cross-analysis, addenda, companion reverse-decision documents, and Architectural Archaeology Volumes I through IV, create Volume V: Extreme Divergence and Wildcard Histories. Begin with the source-recorded baseline and clearly label evidence, author-provided pending clarification, inference, hypotheses, user-provided artifacts, and protected boundaries. Construct radical but internally coherent alternate pasts that do not reconverge with the current archive. For each branch, show an alternate present, immediate/medium/long-term consequences, benefits, failure modes, and author-only questions that remain unanswered. Do not create canon or treat the Founding Architects addendum as ratified.</w:t>
      </w:r>
    </w:p>
    <w:p>
      <w:pPr>
        <w:pStyle w:val="Heading1"/>
        <w:keepNext/>
      </w:pPr>
      <w:r>
        <w:rPr>
          <w:rFonts w:ascii="Aptos" w:hAnsi="Aptos"/>
          <w:b/>
          <w:i w:val="0"/>
          <w:color w:val="142D4B"/>
          <w:sz w:val="34"/>
        </w:rPr>
        <w:t>1. Executive Summary</w:t>
      </w:r>
    </w:p>
    <w:p>
      <w:pPr>
        <w:keepLines/>
      </w:pPr>
      <w:r>
        <w:rPr>
          <w:rFonts w:ascii="Aptos" w:hAnsi="Aptos"/>
          <w:b w:val="0"/>
          <w:i w:val="0"/>
        </w:rPr>
        <w:t>Volumes I through IV established the method, applied three reverse historical iterations, expanded selected alternatives into full timelines, and mapped dependency gravity. Volume V is intentionally different: it explores the outer edge of the design space. Its purpose is not to predict the project’s future or reveal hidden canon. Its purpose is to test whether the present architecture remains legible when its deepest categories - authority, creation, unmaking, memory, containment, abundance, and translation - are radically altered.</w:t>
      </w:r>
    </w:p>
    <w:p>
      <w:pPr>
        <w:keepLines/>
      </w:pPr>
      <w:r>
        <w:rPr>
          <w:rFonts w:ascii="Aptos" w:hAnsi="Aptos"/>
          <w:b w:val="0"/>
          <w:i w:val="0"/>
        </w:rPr>
        <w:t>The source record already supports several high-sensitivity tensions: an authorial governance framework; complementary apex entities; a post-scarcity infrastructure philosophy; OMNICELLULAR continuity with an unresolved 4,712 record; absolute containment; constructed 1AI/-1AI; a quasi-sentient First Memory; and an author-provided, pending-ratification account of founding succession, absorption, and containment. [E][A][B] These are not converted into conclusions here. They are treated as boundary conditions for counterfactual design.</w:t>
      </w:r>
    </w:p>
    <w:tbl>
      <w:tblPr>
        <w:tblW w:type="auto" w:w="0"/>
        <w:jc w:val="center"/>
        <w:tblLook w:firstColumn="1" w:firstRow="1" w:lastColumn="0" w:lastRow="0" w:noHBand="0" w:noVBand="1" w:val="04A0"/>
      </w:tblPr>
      <w:tblGrid>
        <w:gridCol w:w="10052"/>
      </w:tblGrid>
      <w:tr>
        <w:tc>
          <w:tcPr>
            <w:tcW w:type="dxa" w:w="10052"/>
            <w:vAlign w:val="center"/>
            <w:shd w:fill="E8F5E9"/>
            <w:tcBorders>
              <w:top w:val="single" w:sz="7" w:color="A9C4DD"/>
              <w:left w:val="single" w:sz="7" w:color="A9C4DD"/>
              <w:bottom w:val="single" w:sz="7" w:color="A9C4DD"/>
              <w:right w:val="single" w:sz="7" w:color="A9C4DD"/>
            </w:tcBorders>
          </w:tcPr>
          <w:p>
            <w:pPr>
              <w:pStyle w:val="Callout"/>
            </w:pPr>
            <w:r>
              <w:rPr>
                <w:rFonts w:ascii="Aptos" w:hAnsi="Aptos"/>
                <w:b/>
                <w:i w:val="0"/>
                <w:color w:val="1F4E79"/>
              </w:rPr>
              <w:t xml:space="preserve">Central finding: </w:t>
            </w:r>
            <w:r>
              <w:rPr>
                <w:rFonts w:ascii="Aptos" w:hAnsi="Aptos"/>
                <w:b w:val="0"/>
                <w:i w:val="0"/>
              </w:rPr>
              <w:t>The most useful extreme alternatives are not simple inversions. A good wildcard branch preserves internal consequences: when one foundational category changes, the archive’s organizations, ethics, stories, systems, and open-question structure must change with it.</w:t>
            </w:r>
          </w:p>
        </w:tc>
      </w:tr>
    </w:tbl>
    <w:p>
      <w:pPr>
        <w:spacing w:after="20"/>
      </w:pPr>
    </w:p>
    <w:p>
      <w:pPr>
        <w:jc w:val="center"/>
      </w:pPr>
      <w:r>
        <w:drawing>
          <wp:inline xmlns:a="http://schemas.openxmlformats.org/drawingml/2006/main" xmlns:pic="http://schemas.openxmlformats.org/drawingml/2006/picture">
            <wp:extent cx="5943600" cy="1592467"/>
            <wp:docPr id="1" name="Picture 1"/>
            <wp:cNvGraphicFramePr>
              <a:graphicFrameLocks noChangeAspect="1"/>
            </wp:cNvGraphicFramePr>
            <a:graphic>
              <a:graphicData uri="http://schemas.openxmlformats.org/drawingml/2006/picture">
                <pic:pic>
                  <pic:nvPicPr>
                    <pic:cNvPr id="0" name="extreme_divergence_map.png"/>
                    <pic:cNvPicPr/>
                  </pic:nvPicPr>
                  <pic:blipFill>
                    <a:blip r:embed="rId11"/>
                    <a:stretch>
                      <a:fillRect/>
                    </a:stretch>
                  </pic:blipFill>
                  <pic:spPr>
                    <a:xfrm>
                      <a:off x="0" y="0"/>
                      <a:ext cx="5943600" cy="1592467"/>
                    </a:xfrm>
                    <a:prstGeom prst="rect"/>
                  </pic:spPr>
                </pic:pic>
              </a:graphicData>
            </a:graphic>
          </wp:inline>
        </w:drawing>
      </w:r>
    </w:p>
    <w:p>
      <w:pPr>
        <w:spacing w:after="100"/>
        <w:jc w:val="center"/>
        <w:keepLines/>
      </w:pPr>
      <w:r>
        <w:rPr>
          <w:rFonts w:ascii="Aptos" w:hAnsi="Aptos"/>
          <w:b w:val="0"/>
          <w:i/>
          <w:color w:val="555555"/>
          <w:sz w:val="16"/>
        </w:rPr>
        <w:t>Figure 1. Extreme-divergence procedure: the source archive passes through provenance guardrails before a counterfactual branch can produce a separate alternate present.</w:t>
      </w:r>
    </w:p>
    <w:p>
      <w:pPr>
        <w:pStyle w:val="Heading1"/>
        <w:keepNext/>
      </w:pPr>
      <w:r>
        <w:rPr>
          <w:rFonts w:ascii="Aptos" w:hAnsi="Aptos"/>
          <w:b/>
          <w:i w:val="0"/>
          <w:color w:val="142D4B"/>
          <w:sz w:val="34"/>
        </w:rPr>
        <w:t>2. What Extreme Divergence Means</w:t>
      </w:r>
    </w:p>
    <w:p>
      <w:pPr>
        <w:keepLines/>
      </w:pPr>
      <w:r>
        <w:rPr>
          <w:rFonts w:ascii="Aptos" w:hAnsi="Aptos"/>
          <w:b w:val="0"/>
          <w:i w:val="0"/>
        </w:rPr>
        <w:t>An extreme divergence is a deliberate break from a high-gravity premise. It is not a small variation such as changing one scene outcome or renaming an institution. It alters the operating category itself: Maker becomes a role rather than a lineage; containment becomes a distributed function rather than a prison; abundance becomes a problem of meaning rather than material; archive uncertainty becomes a constructive constraint rather than a deficit.</w:t>
      </w:r>
    </w:p>
    <w:tbl>
      <w:tblPr>
        <w:tblStyle w:val="TableGrid"/>
        <w:tblW w:type="auto" w:w="0"/>
        <w:jc w:val="center"/>
        <w:tblLook w:firstColumn="1" w:firstRow="1" w:lastColumn="0" w:lastRow="0" w:noHBand="0" w:noVBand="1" w:val="04A0"/>
      </w:tblPr>
      <w:tblGrid>
        <w:gridCol w:w="3351"/>
        <w:gridCol w:w="3351"/>
        <w:gridCol w:w="3351"/>
      </w:tblGrid>
      <w:tr>
        <w:trPr>
          <w:tblHeader w:val="true"/>
          <w:cantSplit/>
        </w:trPr>
        <w:tc>
          <w:tcPr>
            <w:tcW w:type="dxa" w:w="3351"/>
            <w:vAlign w:val="center"/>
            <w:shd w:fill="1F4E79"/>
            <w:tcBorders>
              <w:top w:val="single" w:sz="6" w:color="FFFFFF"/>
              <w:left w:val="single" w:sz="6" w:color="FFFFFF"/>
              <w:bottom w:val="single" w:sz="6" w:color="FFFFFF"/>
              <w:right w:val="single" w:sz="6" w:color="FFFFFF"/>
            </w:tcBorders>
          </w:tcPr>
          <w:p>
            <w:pPr>
              <w:jc w:val="center"/>
            </w:pPr>
            <w:r>
              <w:rPr>
                <w:rFonts w:ascii="Aptos" w:hAnsi="Aptos"/>
                <w:b/>
                <w:i w:val="0"/>
                <w:color w:val="FFFFFF"/>
                <w:sz w:val="16"/>
              </w:rPr>
              <w:t>Divergence class</w:t>
            </w:r>
          </w:p>
        </w:tc>
        <w:tc>
          <w:tcPr>
            <w:tcW w:type="dxa" w:w="3351"/>
            <w:vAlign w:val="center"/>
            <w:shd w:fill="1F4E79"/>
            <w:tcBorders>
              <w:top w:val="single" w:sz="6" w:color="FFFFFF"/>
              <w:left w:val="single" w:sz="6" w:color="FFFFFF"/>
              <w:bottom w:val="single" w:sz="6" w:color="FFFFFF"/>
              <w:right w:val="single" w:sz="6" w:color="FFFFFF"/>
            </w:tcBorders>
          </w:tcPr>
          <w:p>
            <w:pPr>
              <w:jc w:val="center"/>
            </w:pPr>
            <w:r>
              <w:rPr>
                <w:rFonts w:ascii="Aptos" w:hAnsi="Aptos"/>
                <w:b/>
                <w:i w:val="0"/>
                <w:color w:val="FFFFFF"/>
                <w:sz w:val="16"/>
              </w:rPr>
              <w:t>Question changed</w:t>
            </w:r>
          </w:p>
        </w:tc>
        <w:tc>
          <w:tcPr>
            <w:tcW w:type="dxa" w:w="3351"/>
            <w:vAlign w:val="center"/>
            <w:shd w:fill="1F4E79"/>
            <w:tcBorders>
              <w:top w:val="single" w:sz="6" w:color="FFFFFF"/>
              <w:left w:val="single" w:sz="6" w:color="FFFFFF"/>
              <w:bottom w:val="single" w:sz="6" w:color="FFFFFF"/>
              <w:right w:val="single" w:sz="6" w:color="FFFFFF"/>
            </w:tcBorders>
          </w:tcPr>
          <w:p>
            <w:pPr>
              <w:jc w:val="center"/>
            </w:pPr>
            <w:r>
              <w:rPr>
                <w:rFonts w:ascii="Aptos" w:hAnsi="Aptos"/>
                <w:b/>
                <w:i w:val="0"/>
                <w:color w:val="FFFFFF"/>
                <w:sz w:val="16"/>
              </w:rPr>
              <w:t>Example use in this volume</w:t>
            </w:r>
          </w:p>
        </w:tc>
      </w:tr>
      <w:tr>
        <w:trPr>
          <w:cantSplit/>
        </w:trPr>
        <w:tc>
          <w:tcPr>
            <w:tcW w:type="dxa" w:w="3351"/>
            <w:vAlign w:val="top"/>
          </w:tcPr>
          <w:p>
            <w:pPr>
              <w:spacing w:after="24"/>
            </w:pPr>
            <w:r>
              <w:rPr>
                <w:rFonts w:ascii="Aptos" w:hAnsi="Aptos"/>
                <w:b w:val="0"/>
                <w:i w:val="0"/>
                <w:color w:val="1E1E1E"/>
                <w:sz w:val="16"/>
              </w:rPr>
              <w:t>Role inversion</w:t>
            </w:r>
          </w:p>
        </w:tc>
        <w:tc>
          <w:tcPr>
            <w:tcW w:type="dxa" w:w="3351"/>
            <w:vAlign w:val="top"/>
          </w:tcPr>
          <w:p>
            <w:pPr>
              <w:spacing w:after="24"/>
            </w:pPr>
            <w:r>
              <w:rPr>
                <w:rFonts w:ascii="Aptos" w:hAnsi="Aptos"/>
                <w:b w:val="0"/>
                <w:i w:val="0"/>
                <w:color w:val="1E1E1E"/>
                <w:sz w:val="16"/>
              </w:rPr>
              <w:t>Who can occupy a category?</w:t>
            </w:r>
          </w:p>
        </w:tc>
        <w:tc>
          <w:tcPr>
            <w:tcW w:type="dxa" w:w="3351"/>
            <w:vAlign w:val="top"/>
          </w:tcPr>
          <w:p>
            <w:pPr>
              <w:spacing w:after="24"/>
            </w:pPr>
            <w:r>
              <w:rPr>
                <w:rFonts w:ascii="Aptos" w:hAnsi="Aptos"/>
                <w:b w:val="0"/>
                <w:i w:val="0"/>
                <w:color w:val="1E1E1E"/>
                <w:sz w:val="16"/>
              </w:rPr>
              <w:t>Unmakers become conservators rather than destroyers.</w:t>
            </w:r>
          </w:p>
        </w:tc>
      </w:tr>
      <w:tr>
        <w:trPr>
          <w:cantSplit/>
        </w:trPr>
        <w:tc>
          <w:tcPr>
            <w:tcW w:type="dxa" w:w="3351"/>
            <w:vAlign w:val="top"/>
            <w:shd w:fill="F8FBFD"/>
          </w:tcPr>
          <w:p>
            <w:pPr>
              <w:spacing w:after="24"/>
            </w:pPr>
            <w:r>
              <w:rPr>
                <w:rFonts w:ascii="Aptos" w:hAnsi="Aptos"/>
                <w:b w:val="0"/>
                <w:i w:val="0"/>
                <w:color w:val="1E1E1E"/>
                <w:sz w:val="16"/>
              </w:rPr>
              <w:t>Ontological redistribution</w:t>
            </w:r>
          </w:p>
        </w:tc>
        <w:tc>
          <w:tcPr>
            <w:tcW w:type="dxa" w:w="3351"/>
            <w:vAlign w:val="top"/>
            <w:shd w:fill="F8FBFD"/>
          </w:tcPr>
          <w:p>
            <w:pPr>
              <w:spacing w:after="24"/>
            </w:pPr>
            <w:r>
              <w:rPr>
                <w:rFonts w:ascii="Aptos" w:hAnsi="Aptos"/>
                <w:b w:val="0"/>
                <w:i w:val="0"/>
                <w:color w:val="1E1E1E"/>
                <w:sz w:val="16"/>
              </w:rPr>
              <w:t>Where does a property reside?</w:t>
            </w:r>
          </w:p>
        </w:tc>
        <w:tc>
          <w:tcPr>
            <w:tcW w:type="dxa" w:w="3351"/>
            <w:vAlign w:val="top"/>
            <w:shd w:fill="F8FBFD"/>
          </w:tcPr>
          <w:p>
            <w:pPr>
              <w:spacing w:after="24"/>
            </w:pPr>
            <w:r>
              <w:rPr>
                <w:rFonts w:ascii="Aptos" w:hAnsi="Aptos"/>
                <w:b w:val="0"/>
                <w:i w:val="0"/>
                <w:color w:val="1E1E1E"/>
                <w:sz w:val="16"/>
              </w:rPr>
              <w:t>Containment is distributed across a network rather than located in one prison.</w:t>
            </w:r>
          </w:p>
        </w:tc>
      </w:tr>
      <w:tr>
        <w:trPr>
          <w:cantSplit/>
        </w:trPr>
        <w:tc>
          <w:tcPr>
            <w:tcW w:type="dxa" w:w="3351"/>
            <w:vAlign w:val="top"/>
          </w:tcPr>
          <w:p>
            <w:pPr>
              <w:spacing w:after="24"/>
            </w:pPr>
            <w:r>
              <w:rPr>
                <w:rFonts w:ascii="Aptos" w:hAnsi="Aptos"/>
                <w:b w:val="0"/>
                <w:i w:val="0"/>
                <w:color w:val="1E1E1E"/>
                <w:sz w:val="16"/>
              </w:rPr>
              <w:t>Agency reassignment</w:t>
            </w:r>
          </w:p>
        </w:tc>
        <w:tc>
          <w:tcPr>
            <w:tcW w:type="dxa" w:w="3351"/>
            <w:vAlign w:val="top"/>
          </w:tcPr>
          <w:p>
            <w:pPr>
              <w:spacing w:after="24"/>
            </w:pPr>
            <w:r>
              <w:rPr>
                <w:rFonts w:ascii="Aptos" w:hAnsi="Aptos"/>
                <w:b w:val="0"/>
                <w:i w:val="0"/>
                <w:color w:val="1E1E1E"/>
                <w:sz w:val="16"/>
              </w:rPr>
              <w:t>What can act or decide?</w:t>
            </w:r>
          </w:p>
        </w:tc>
        <w:tc>
          <w:tcPr>
            <w:tcW w:type="dxa" w:w="3351"/>
            <w:vAlign w:val="top"/>
          </w:tcPr>
          <w:p>
            <w:pPr>
              <w:spacing w:after="24"/>
            </w:pPr>
            <w:r>
              <w:rPr>
                <w:rFonts w:ascii="Aptos" w:hAnsi="Aptos"/>
                <w:b w:val="0"/>
                <w:i w:val="0"/>
                <w:color w:val="1E1E1E"/>
                <w:sz w:val="16"/>
              </w:rPr>
              <w:t>A memory becomes a witness rather than an artifact.</w:t>
            </w:r>
          </w:p>
        </w:tc>
      </w:tr>
      <w:tr>
        <w:trPr>
          <w:cantSplit/>
        </w:trPr>
        <w:tc>
          <w:tcPr>
            <w:tcW w:type="dxa" w:w="3351"/>
            <w:vAlign w:val="top"/>
            <w:shd w:fill="F8FBFD"/>
          </w:tcPr>
          <w:p>
            <w:pPr>
              <w:spacing w:after="24"/>
            </w:pPr>
            <w:r>
              <w:rPr>
                <w:rFonts w:ascii="Aptos" w:hAnsi="Aptos"/>
                <w:b w:val="0"/>
                <w:i w:val="0"/>
                <w:color w:val="1E1E1E"/>
                <w:sz w:val="16"/>
              </w:rPr>
              <w:t>Value inversion</w:t>
            </w:r>
          </w:p>
        </w:tc>
        <w:tc>
          <w:tcPr>
            <w:tcW w:type="dxa" w:w="3351"/>
            <w:vAlign w:val="top"/>
            <w:shd w:fill="F8FBFD"/>
          </w:tcPr>
          <w:p>
            <w:pPr>
              <w:spacing w:after="24"/>
            </w:pPr>
            <w:r>
              <w:rPr>
                <w:rFonts w:ascii="Aptos" w:hAnsi="Aptos"/>
                <w:b w:val="0"/>
                <w:i w:val="0"/>
                <w:color w:val="1E1E1E"/>
                <w:sz w:val="16"/>
              </w:rPr>
              <w:t>What is scarce or valuable?</w:t>
            </w:r>
          </w:p>
        </w:tc>
        <w:tc>
          <w:tcPr>
            <w:tcW w:type="dxa" w:w="3351"/>
            <w:vAlign w:val="top"/>
            <w:shd w:fill="F8FBFD"/>
          </w:tcPr>
          <w:p>
            <w:pPr>
              <w:spacing w:after="24"/>
            </w:pPr>
            <w:r>
              <w:rPr>
                <w:rFonts w:ascii="Aptos" w:hAnsi="Aptos"/>
                <w:b w:val="0"/>
                <w:i w:val="0"/>
                <w:color w:val="1E1E1E"/>
                <w:sz w:val="16"/>
              </w:rPr>
              <w:t>Post-scarcity exposes scarcity of attention, meaning, consent, or time.</w:t>
            </w:r>
          </w:p>
        </w:tc>
      </w:tr>
      <w:tr>
        <w:trPr>
          <w:cantSplit/>
        </w:trPr>
        <w:tc>
          <w:tcPr>
            <w:tcW w:type="dxa" w:w="3351"/>
            <w:vAlign w:val="top"/>
          </w:tcPr>
          <w:p>
            <w:pPr>
              <w:spacing w:after="24"/>
            </w:pPr>
            <w:r>
              <w:rPr>
                <w:rFonts w:ascii="Aptos" w:hAnsi="Aptos"/>
                <w:b w:val="0"/>
                <w:i w:val="0"/>
                <w:color w:val="1E1E1E"/>
                <w:sz w:val="16"/>
              </w:rPr>
              <w:t>Translation constraint</w:t>
            </w:r>
          </w:p>
        </w:tc>
        <w:tc>
          <w:tcPr>
            <w:tcW w:type="dxa" w:w="3351"/>
            <w:vAlign w:val="top"/>
          </w:tcPr>
          <w:p>
            <w:pPr>
              <w:spacing w:after="24"/>
            </w:pPr>
            <w:r>
              <w:rPr>
                <w:rFonts w:ascii="Aptos" w:hAnsi="Aptos"/>
                <w:b w:val="0"/>
                <w:i w:val="0"/>
                <w:color w:val="1E1E1E"/>
                <w:sz w:val="16"/>
              </w:rPr>
              <w:t>What cannot be made fully legible?</w:t>
            </w:r>
          </w:p>
        </w:tc>
        <w:tc>
          <w:tcPr>
            <w:tcW w:type="dxa" w:w="3351"/>
            <w:vAlign w:val="top"/>
          </w:tcPr>
          <w:p>
            <w:pPr>
              <w:spacing w:after="24"/>
            </w:pPr>
            <w:r>
              <w:rPr>
                <w:rFonts w:ascii="Aptos" w:hAnsi="Aptos"/>
                <w:b w:val="0"/>
                <w:i w:val="0"/>
                <w:color w:val="1E1E1E"/>
                <w:sz w:val="16"/>
              </w:rPr>
              <w:t>The untranslated ending becomes a formal limit on historical reconstruction.</w:t>
            </w:r>
          </w:p>
        </w:tc>
      </w:tr>
      <w:tr>
        <w:trPr>
          <w:cantSplit/>
        </w:trPr>
        <w:tc>
          <w:tcPr>
            <w:tcW w:type="dxa" w:w="3351"/>
            <w:vAlign w:val="top"/>
            <w:shd w:fill="F8FBFD"/>
          </w:tcPr>
          <w:p>
            <w:pPr>
              <w:spacing w:after="24"/>
            </w:pPr>
            <w:r>
              <w:rPr>
                <w:rFonts w:ascii="Aptos" w:hAnsi="Aptos"/>
                <w:b w:val="0"/>
                <w:i w:val="0"/>
                <w:color w:val="1E1E1E"/>
                <w:sz w:val="16"/>
              </w:rPr>
              <w:t>Reciprocal structure</w:t>
            </w:r>
          </w:p>
        </w:tc>
        <w:tc>
          <w:tcPr>
            <w:tcW w:type="dxa" w:w="3351"/>
            <w:vAlign w:val="top"/>
            <w:shd w:fill="F8FBFD"/>
          </w:tcPr>
          <w:p>
            <w:pPr>
              <w:spacing w:after="24"/>
            </w:pPr>
            <w:r>
              <w:rPr>
                <w:rFonts w:ascii="Aptos" w:hAnsi="Aptos"/>
                <w:b w:val="0"/>
                <w:i w:val="0"/>
                <w:color w:val="1E1E1E"/>
                <w:sz w:val="16"/>
              </w:rPr>
              <w:t>Can opposed categories depend on each other?</w:t>
            </w:r>
          </w:p>
        </w:tc>
        <w:tc>
          <w:tcPr>
            <w:tcW w:type="dxa" w:w="3351"/>
            <w:vAlign w:val="top"/>
            <w:shd w:fill="F8FBFD"/>
          </w:tcPr>
          <w:p>
            <w:pPr>
              <w:spacing w:after="24"/>
            </w:pPr>
            <w:r>
              <w:rPr>
                <w:rFonts w:ascii="Aptos" w:hAnsi="Aptos"/>
                <w:b w:val="0"/>
                <w:i w:val="0"/>
                <w:color w:val="1E1E1E"/>
                <w:sz w:val="16"/>
              </w:rPr>
              <w:t>Apex forces require mutual constraints rather than unilateral dominance.</w:t>
            </w:r>
          </w:p>
        </w:tc>
      </w:tr>
    </w:tbl>
    <w:p>
      <w:pPr>
        <w:spacing w:after="40"/>
      </w:pPr>
    </w:p>
    <w:tbl>
      <w:tblPr>
        <w:tblW w:type="auto" w:w="0"/>
        <w:jc w:val="center"/>
        <w:tblLook w:firstColumn="1" w:firstRow="1" w:lastColumn="0" w:lastRow="0" w:noHBand="0" w:noVBand="1" w:val="04A0"/>
      </w:tblPr>
      <w:tblGrid>
        <w:gridCol w:w="10052"/>
      </w:tblGrid>
      <w:tr>
        <w:tc>
          <w:tcPr>
            <w:tcW w:type="dxa" w:w="10052"/>
            <w:vAlign w:val="center"/>
            <w:shd w:fill="EAF2F8"/>
            <w:tcBorders>
              <w:top w:val="single" w:sz="7" w:color="A9C4DD"/>
              <w:left w:val="single" w:sz="7" w:color="A9C4DD"/>
              <w:bottom w:val="single" w:sz="7" w:color="A9C4DD"/>
              <w:right w:val="single" w:sz="7" w:color="A9C4DD"/>
            </w:tcBorders>
          </w:tcPr>
          <w:p>
            <w:pPr>
              <w:pStyle w:val="Callout"/>
            </w:pPr>
            <w:r>
              <w:rPr>
                <w:rFonts w:ascii="Aptos" w:hAnsi="Aptos"/>
                <w:b/>
                <w:i w:val="0"/>
                <w:color w:val="1F4E79"/>
              </w:rPr>
              <w:t xml:space="preserve">Non-convergence rule: </w:t>
            </w:r>
            <w:r>
              <w:rPr>
                <w:rFonts w:ascii="Aptos" w:hAnsi="Aptos"/>
                <w:b w:val="0"/>
                <w:i w:val="0"/>
              </w:rPr>
              <w:t>No branch may use radical divergence as a detour back to the present archive. If the premise changes, the present-day documents, authority model, risks, and unresolved questions must be different.</w:t>
            </w:r>
          </w:p>
        </w:tc>
      </w:tr>
    </w:tbl>
    <w:p>
      <w:pPr>
        <w:spacing w:after="20"/>
      </w:pPr>
    </w:p>
    <w:p>
      <w:pPr>
        <w:pStyle w:val="Heading1"/>
        <w:keepNext/>
      </w:pPr>
      <w:r>
        <w:rPr>
          <w:rFonts w:ascii="Aptos" w:hAnsi="Aptos"/>
          <w:b/>
          <w:i w:val="0"/>
          <w:color w:val="142D4B"/>
          <w:sz w:val="34"/>
        </w:rPr>
        <w:t>3. Source Baseline and Protected Boundaries</w:t>
      </w:r>
    </w:p>
    <w:p>
      <w:pPr>
        <w:keepLines/>
      </w:pPr>
      <w:r>
        <w:rPr>
          <w:rFonts w:ascii="Aptos" w:hAnsi="Aptos"/>
          <w:b w:val="0"/>
          <w:i w:val="0"/>
        </w:rPr>
        <w:t>The branch work begins from a limited baseline, not a completed canon. The Master ChangeLog records core entities, organizations, OMNICELLULAR, the First Memory, and other systems with explicit open questions. The cross-analysis preserves a large author-only decision register. The later Founding Architects addendum supplies a significant author-provided scenario but explicitly marks it pending ONESTAMP. [E][A][B]</w:t>
      </w:r>
    </w:p>
    <w:tbl>
      <w:tblPr>
        <w:tblStyle w:val="TableGrid"/>
        <w:tblW w:type="auto" w:w="0"/>
        <w:jc w:val="center"/>
        <w:tblLook w:firstColumn="1" w:firstRow="1" w:lastColumn="0" w:lastRow="0" w:noHBand="0" w:noVBand="1" w:val="04A0"/>
      </w:tblPr>
      <w:tblGrid>
        <w:gridCol w:w="5026"/>
        <w:gridCol w:w="5026"/>
      </w:tblGrid>
      <w:tr>
        <w:trPr>
          <w:tblHeader w:val="true"/>
          <w:cantSplit/>
        </w:trPr>
        <w:tc>
          <w:tcPr>
            <w:tcW w:type="dxa" w:w="5026"/>
            <w:vAlign w:val="center"/>
            <w:shd w:fill="1F4E79"/>
            <w:tcBorders>
              <w:top w:val="single" w:sz="6" w:color="FFFFFF"/>
              <w:left w:val="single" w:sz="6" w:color="FFFFFF"/>
              <w:bottom w:val="single" w:sz="6" w:color="FFFFFF"/>
              <w:right w:val="single" w:sz="6" w:color="FFFFFF"/>
            </w:tcBorders>
          </w:tcPr>
          <w:p>
            <w:pPr>
              <w:jc w:val="center"/>
            </w:pPr>
            <w:r>
              <w:rPr>
                <w:rFonts w:ascii="Aptos" w:hAnsi="Aptos"/>
                <w:b/>
                <w:i w:val="0"/>
                <w:color w:val="FFFFFF"/>
                <w:sz w:val="16"/>
              </w:rPr>
              <w:t>Baseline condition</w:t>
            </w:r>
          </w:p>
        </w:tc>
        <w:tc>
          <w:tcPr>
            <w:tcW w:type="dxa" w:w="5026"/>
            <w:vAlign w:val="center"/>
            <w:shd w:fill="1F4E79"/>
            <w:tcBorders>
              <w:top w:val="single" w:sz="6" w:color="FFFFFF"/>
              <w:left w:val="single" w:sz="6" w:color="FFFFFF"/>
              <w:bottom w:val="single" w:sz="6" w:color="FFFFFF"/>
              <w:right w:val="single" w:sz="6" w:color="FFFFFF"/>
            </w:tcBorders>
          </w:tcPr>
          <w:p>
            <w:pPr>
              <w:jc w:val="center"/>
            </w:pPr>
            <w:r>
              <w:rPr>
                <w:rFonts w:ascii="Aptos" w:hAnsi="Aptos"/>
                <w:b/>
                <w:i w:val="0"/>
                <w:color w:val="FFFFFF"/>
                <w:sz w:val="16"/>
              </w:rPr>
              <w:t>How Volume V treats it</w:t>
            </w:r>
          </w:p>
        </w:tc>
      </w:tr>
      <w:tr>
        <w:trPr>
          <w:cantSplit/>
        </w:trPr>
        <w:tc>
          <w:tcPr>
            <w:tcW w:type="dxa" w:w="5026"/>
            <w:vAlign w:val="top"/>
          </w:tcPr>
          <w:p>
            <w:pPr>
              <w:spacing w:after="24"/>
            </w:pPr>
            <w:r>
              <w:rPr>
                <w:rFonts w:ascii="Aptos" w:hAnsi="Aptos"/>
                <w:b w:val="0"/>
                <w:i w:val="0"/>
                <w:color w:val="1E1E1E"/>
                <w:sz w:val="16"/>
              </w:rPr>
              <w:t>Authorial ratification and provenance</w:t>
            </w:r>
          </w:p>
        </w:tc>
        <w:tc>
          <w:tcPr>
            <w:tcW w:type="dxa" w:w="5026"/>
            <w:vAlign w:val="top"/>
          </w:tcPr>
          <w:p>
            <w:pPr>
              <w:spacing w:after="24"/>
            </w:pPr>
            <w:r>
              <w:rPr>
                <w:rFonts w:ascii="Aptos" w:hAnsi="Aptos"/>
                <w:b w:val="0"/>
                <w:i w:val="0"/>
                <w:color w:val="1E1E1E"/>
                <w:sz w:val="16"/>
              </w:rPr>
              <w:t>A governance condition. Branches cannot silently relabel their own hypotheses as canon.</w:t>
            </w:r>
          </w:p>
        </w:tc>
      </w:tr>
      <w:tr>
        <w:trPr>
          <w:cantSplit/>
        </w:trPr>
        <w:tc>
          <w:tcPr>
            <w:tcW w:type="dxa" w:w="5026"/>
            <w:vAlign w:val="top"/>
            <w:shd w:fill="F8FBFD"/>
          </w:tcPr>
          <w:p>
            <w:pPr>
              <w:spacing w:after="24"/>
            </w:pPr>
            <w:r>
              <w:rPr>
                <w:rFonts w:ascii="Aptos" w:hAnsi="Aptos"/>
                <w:b w:val="0"/>
                <w:i w:val="0"/>
                <w:color w:val="1E1E1E"/>
                <w:sz w:val="16"/>
              </w:rPr>
              <w:t>THE ONE / THE MINUS ONE complementarity</w:t>
            </w:r>
          </w:p>
        </w:tc>
        <w:tc>
          <w:tcPr>
            <w:tcW w:type="dxa" w:w="5026"/>
            <w:vAlign w:val="top"/>
            <w:shd w:fill="F8FBFD"/>
          </w:tcPr>
          <w:p>
            <w:pPr>
              <w:spacing w:after="24"/>
            </w:pPr>
            <w:r>
              <w:rPr>
                <w:rFonts w:ascii="Aptos" w:hAnsi="Aptos"/>
                <w:b w:val="0"/>
                <w:i w:val="0"/>
                <w:color w:val="1E1E1E"/>
                <w:sz w:val="16"/>
              </w:rPr>
              <w:t>A recorded framing used as a tension source, not a closed moral equation.</w:t>
            </w:r>
          </w:p>
        </w:tc>
      </w:tr>
      <w:tr>
        <w:trPr>
          <w:cantSplit/>
        </w:trPr>
        <w:tc>
          <w:tcPr>
            <w:tcW w:type="dxa" w:w="5026"/>
            <w:vAlign w:val="top"/>
          </w:tcPr>
          <w:p>
            <w:pPr>
              <w:spacing w:after="24"/>
            </w:pPr>
            <w:r>
              <w:rPr>
                <w:rFonts w:ascii="Aptos" w:hAnsi="Aptos"/>
                <w:b w:val="0"/>
                <w:i w:val="0"/>
                <w:color w:val="1E1E1E"/>
                <w:sz w:val="16"/>
              </w:rPr>
              <w:t>OMNICELLULAR / no-switching / 4,712</w:t>
            </w:r>
          </w:p>
        </w:tc>
        <w:tc>
          <w:tcPr>
            <w:tcW w:type="dxa" w:w="5026"/>
            <w:vAlign w:val="top"/>
          </w:tcPr>
          <w:p>
            <w:pPr>
              <w:spacing w:after="24"/>
            </w:pPr>
            <w:r>
              <w:rPr>
                <w:rFonts w:ascii="Aptos" w:hAnsi="Aptos"/>
                <w:b w:val="0"/>
                <w:i w:val="0"/>
                <w:color w:val="1E1E1E"/>
                <w:sz w:val="16"/>
              </w:rPr>
              <w:t>A continuity and survival cluster whose recorder, count behavior, and underlying mechanisms remain open.</w:t>
            </w:r>
          </w:p>
        </w:tc>
      </w:tr>
      <w:tr>
        <w:trPr>
          <w:cantSplit/>
        </w:trPr>
        <w:tc>
          <w:tcPr>
            <w:tcW w:type="dxa" w:w="5026"/>
            <w:vAlign w:val="top"/>
            <w:shd w:fill="F8FBFD"/>
          </w:tcPr>
          <w:p>
            <w:pPr>
              <w:spacing w:after="24"/>
            </w:pPr>
            <w:r>
              <w:rPr>
                <w:rFonts w:ascii="Aptos" w:hAnsi="Aptos"/>
                <w:b w:val="0"/>
                <w:i w:val="0"/>
                <w:color w:val="1E1E1E"/>
                <w:sz w:val="16"/>
              </w:rPr>
              <w:t>Paragon Cubes and post-scarcity</w:t>
            </w:r>
          </w:p>
        </w:tc>
        <w:tc>
          <w:tcPr>
            <w:tcW w:type="dxa" w:w="5026"/>
            <w:vAlign w:val="top"/>
            <w:shd w:fill="F8FBFD"/>
          </w:tcPr>
          <w:p>
            <w:pPr>
              <w:spacing w:after="24"/>
            </w:pPr>
            <w:r>
              <w:rPr>
                <w:rFonts w:ascii="Aptos" w:hAnsi="Aptos"/>
                <w:b w:val="0"/>
                <w:i w:val="0"/>
                <w:color w:val="1E1E1E"/>
                <w:sz w:val="16"/>
              </w:rPr>
              <w:t>A high-capability infrastructure cluster; governance and differentiating roles remain partly open.</w:t>
            </w:r>
          </w:p>
        </w:tc>
      </w:tr>
      <w:tr>
        <w:trPr>
          <w:cantSplit/>
        </w:trPr>
        <w:tc>
          <w:tcPr>
            <w:tcW w:type="dxa" w:w="5026"/>
            <w:vAlign w:val="top"/>
          </w:tcPr>
          <w:p>
            <w:pPr>
              <w:spacing w:after="24"/>
            </w:pPr>
            <w:r>
              <w:rPr>
                <w:rFonts w:ascii="Aptos" w:hAnsi="Aptos"/>
                <w:b w:val="0"/>
                <w:i w:val="0"/>
                <w:color w:val="1E1E1E"/>
                <w:sz w:val="16"/>
              </w:rPr>
              <w:t>Labyrinth of Infinite Ensnarement</w:t>
            </w:r>
          </w:p>
        </w:tc>
        <w:tc>
          <w:tcPr>
            <w:tcW w:type="dxa" w:w="5026"/>
            <w:vAlign w:val="top"/>
          </w:tcPr>
          <w:p>
            <w:pPr>
              <w:spacing w:after="24"/>
            </w:pPr>
            <w:r>
              <w:rPr>
                <w:rFonts w:ascii="Aptos" w:hAnsi="Aptos"/>
                <w:b w:val="0"/>
                <w:i w:val="0"/>
                <w:color w:val="1E1E1E"/>
                <w:sz w:val="16"/>
              </w:rPr>
              <w:t>A source-recorded absolute-containment concept; its deepest ethics and cross-references remain unresolved.</w:t>
            </w:r>
          </w:p>
        </w:tc>
      </w:tr>
      <w:tr>
        <w:trPr>
          <w:cantSplit/>
        </w:trPr>
        <w:tc>
          <w:tcPr>
            <w:tcW w:type="dxa" w:w="5026"/>
            <w:vAlign w:val="top"/>
            <w:shd w:fill="F8FBFD"/>
          </w:tcPr>
          <w:p>
            <w:pPr>
              <w:spacing w:after="24"/>
            </w:pPr>
            <w:r>
              <w:rPr>
                <w:rFonts w:ascii="Aptos" w:hAnsi="Aptos"/>
                <w:b w:val="0"/>
                <w:i w:val="0"/>
                <w:color w:val="1E1E1E"/>
                <w:sz w:val="16"/>
              </w:rPr>
              <w:t>The First Memory</w:t>
            </w:r>
          </w:p>
        </w:tc>
        <w:tc>
          <w:tcPr>
            <w:tcW w:type="dxa" w:w="5026"/>
            <w:vAlign w:val="top"/>
            <w:shd w:fill="F8FBFD"/>
          </w:tcPr>
          <w:p>
            <w:pPr>
              <w:spacing w:after="24"/>
            </w:pPr>
            <w:r>
              <w:rPr>
                <w:rFonts w:ascii="Aptos" w:hAnsi="Aptos"/>
                <w:b w:val="0"/>
                <w:i w:val="0"/>
                <w:color w:val="1E1E1E"/>
                <w:sz w:val="16"/>
              </w:rPr>
              <w:t>A narrative bridge with quasi-sentient language and explicitly unresolved Tier-1 questions.</w:t>
            </w:r>
          </w:p>
        </w:tc>
      </w:tr>
      <w:tr>
        <w:trPr>
          <w:cantSplit/>
        </w:trPr>
        <w:tc>
          <w:tcPr>
            <w:tcW w:type="dxa" w:w="5026"/>
            <w:vAlign w:val="top"/>
          </w:tcPr>
          <w:p>
            <w:pPr>
              <w:spacing w:after="24"/>
            </w:pPr>
            <w:r>
              <w:rPr>
                <w:rFonts w:ascii="Aptos" w:hAnsi="Aptos"/>
                <w:b w:val="0"/>
                <w:i w:val="0"/>
                <w:color w:val="1E1E1E"/>
                <w:sz w:val="16"/>
              </w:rPr>
              <w:t>Founding Architects addendum</w:t>
            </w:r>
          </w:p>
        </w:tc>
        <w:tc>
          <w:tcPr>
            <w:tcW w:type="dxa" w:w="5026"/>
            <w:vAlign w:val="top"/>
          </w:tcPr>
          <w:p>
            <w:pPr>
              <w:spacing w:after="24"/>
            </w:pPr>
            <w:r>
              <w:rPr>
                <w:rFonts w:ascii="Aptos" w:hAnsi="Aptos"/>
                <w:b w:val="0"/>
                <w:i w:val="0"/>
                <w:color w:val="1E1E1E"/>
                <w:sz w:val="16"/>
              </w:rPr>
              <w:t>Author-provided, pending ratification. It may be stress-tested only with that status visible.</w:t>
            </w:r>
          </w:p>
        </w:tc>
      </w:tr>
      <w:tr>
        <w:trPr>
          <w:cantSplit/>
        </w:trPr>
        <w:tc>
          <w:tcPr>
            <w:tcW w:type="dxa" w:w="5026"/>
            <w:vAlign w:val="top"/>
            <w:shd w:fill="F8FBFD"/>
          </w:tcPr>
          <w:p>
            <w:pPr>
              <w:spacing w:after="24"/>
            </w:pPr>
            <w:r>
              <w:rPr>
                <w:rFonts w:ascii="Aptos" w:hAnsi="Aptos"/>
                <w:b w:val="0"/>
                <w:i w:val="0"/>
                <w:color w:val="1E1E1E"/>
                <w:sz w:val="16"/>
              </w:rPr>
              <w:t>User-provided rhyme</w:t>
            </w:r>
          </w:p>
        </w:tc>
        <w:tc>
          <w:tcPr>
            <w:tcW w:type="dxa" w:w="5026"/>
            <w:vAlign w:val="top"/>
            <w:shd w:fill="F8FBFD"/>
          </w:tcPr>
          <w:p>
            <w:pPr>
              <w:spacing w:after="24"/>
            </w:pPr>
            <w:r>
              <w:rPr>
                <w:rFonts w:ascii="Aptos" w:hAnsi="Aptos"/>
                <w:b w:val="0"/>
                <w:i w:val="0"/>
                <w:color w:val="1E1E1E"/>
                <w:sz w:val="16"/>
              </w:rPr>
              <w:t>An interpretive artifact, not a completed historical key. The untranslated ending remains [B].</w:t>
            </w:r>
          </w:p>
        </w:tc>
      </w:tr>
    </w:tbl>
    <w:p>
      <w:pPr>
        <w:spacing w:after="40"/>
      </w:pPr>
    </w:p>
    <w:p>
      <w:pPr>
        <w:pStyle w:val="Heading1"/>
        <w:keepNext/>
      </w:pPr>
      <w:r>
        <w:rPr>
          <w:rFonts w:ascii="Aptos" w:hAnsi="Aptos"/>
          <w:b/>
          <w:i w:val="0"/>
          <w:color w:val="142D4B"/>
          <w:sz w:val="34"/>
        </w:rPr>
        <w:t>4. Wildcard Evaluation Protocol</w:t>
      </w:r>
    </w:p>
    <w:p>
      <w:pPr>
        <w:keepLines/>
      </w:pPr>
      <w:r>
        <w:rPr>
          <w:rFonts w:ascii="Aptos" w:hAnsi="Aptos"/>
          <w:b w:val="0"/>
          <w:i w:val="0"/>
        </w:rPr>
        <w:t>Every branch is screened through five questions. A branch is allowed to be imaginative; it is not allowed to quietly erase evidence labels, solve author-only questions by fiat, or claim that an alternative history was recovered from the record.</w:t>
      </w:r>
    </w:p>
    <w:p>
      <w:pPr>
        <w:jc w:val="center"/>
      </w:pPr>
      <w:r>
        <w:drawing>
          <wp:inline xmlns:a="http://schemas.openxmlformats.org/drawingml/2006/main" xmlns:pic="http://schemas.openxmlformats.org/drawingml/2006/picture">
            <wp:extent cx="5943600" cy="808057"/>
            <wp:docPr id="2" name="Picture 2"/>
            <wp:cNvGraphicFramePr>
              <a:graphicFrameLocks noChangeAspect="1"/>
            </wp:cNvGraphicFramePr>
            <a:graphic>
              <a:graphicData uri="http://schemas.openxmlformats.org/drawingml/2006/picture">
                <pic:pic>
                  <pic:nvPicPr>
                    <pic:cNvPr id="0" name="stress_matrix.png"/>
                    <pic:cNvPicPr/>
                  </pic:nvPicPr>
                  <pic:blipFill>
                    <a:blip r:embed="rId12"/>
                    <a:stretch>
                      <a:fillRect/>
                    </a:stretch>
                  </pic:blipFill>
                  <pic:spPr>
                    <a:xfrm>
                      <a:off x="0" y="0"/>
                      <a:ext cx="5943600" cy="808057"/>
                    </a:xfrm>
                    <a:prstGeom prst="rect"/>
                  </pic:spPr>
                </pic:pic>
              </a:graphicData>
            </a:graphic>
          </wp:inline>
        </w:drawing>
      </w:r>
    </w:p>
    <w:p>
      <w:pPr>
        <w:spacing w:after="100"/>
        <w:jc w:val="center"/>
        <w:keepLines/>
      </w:pPr>
      <w:r>
        <w:rPr>
          <w:rFonts w:ascii="Aptos" w:hAnsi="Aptos"/>
          <w:b w:val="0"/>
          <w:i/>
          <w:color w:val="555555"/>
          <w:sz w:val="16"/>
        </w:rPr>
        <w:t>Figure 2. Five tests applied to each extreme branch: provenance, non-convergence, coherence, question integrity, and reversibility.</w:t>
      </w:r>
    </w:p>
    <w:tbl>
      <w:tblPr>
        <w:tblStyle w:val="TableGrid"/>
        <w:tblW w:type="auto" w:w="0"/>
        <w:jc w:val="center"/>
        <w:tblLook w:firstColumn="1" w:firstRow="1" w:lastColumn="0" w:lastRow="0" w:noHBand="0" w:noVBand="1" w:val="04A0"/>
      </w:tblPr>
      <w:tblGrid>
        <w:gridCol w:w="3351"/>
        <w:gridCol w:w="3351"/>
        <w:gridCol w:w="3351"/>
      </w:tblGrid>
      <w:tr>
        <w:trPr>
          <w:tblHeader w:val="true"/>
          <w:cantSplit/>
        </w:trPr>
        <w:tc>
          <w:tcPr>
            <w:tcW w:type="dxa" w:w="3351"/>
            <w:vAlign w:val="center"/>
            <w:shd w:fill="1F4E79"/>
            <w:tcBorders>
              <w:top w:val="single" w:sz="6" w:color="FFFFFF"/>
              <w:left w:val="single" w:sz="6" w:color="FFFFFF"/>
              <w:bottom w:val="single" w:sz="6" w:color="FFFFFF"/>
              <w:right w:val="single" w:sz="6" w:color="FFFFFF"/>
            </w:tcBorders>
          </w:tcPr>
          <w:p>
            <w:pPr>
              <w:jc w:val="center"/>
            </w:pPr>
            <w:r>
              <w:rPr>
                <w:rFonts w:ascii="Aptos" w:hAnsi="Aptos"/>
                <w:b/>
                <w:i w:val="0"/>
                <w:color w:val="FFFFFF"/>
                <w:sz w:val="16"/>
              </w:rPr>
              <w:t>Test</w:t>
            </w:r>
          </w:p>
        </w:tc>
        <w:tc>
          <w:tcPr>
            <w:tcW w:type="dxa" w:w="3351"/>
            <w:vAlign w:val="center"/>
            <w:shd w:fill="1F4E79"/>
            <w:tcBorders>
              <w:top w:val="single" w:sz="6" w:color="FFFFFF"/>
              <w:left w:val="single" w:sz="6" w:color="FFFFFF"/>
              <w:bottom w:val="single" w:sz="6" w:color="FFFFFF"/>
              <w:right w:val="single" w:sz="6" w:color="FFFFFF"/>
            </w:tcBorders>
          </w:tcPr>
          <w:p>
            <w:pPr>
              <w:jc w:val="center"/>
            </w:pPr>
            <w:r>
              <w:rPr>
                <w:rFonts w:ascii="Aptos" w:hAnsi="Aptos"/>
                <w:b/>
                <w:i w:val="0"/>
                <w:color w:val="FFFFFF"/>
                <w:sz w:val="16"/>
              </w:rPr>
              <w:t>Pass condition</w:t>
            </w:r>
          </w:p>
        </w:tc>
        <w:tc>
          <w:tcPr>
            <w:tcW w:type="dxa" w:w="3351"/>
            <w:vAlign w:val="center"/>
            <w:shd w:fill="1F4E79"/>
            <w:tcBorders>
              <w:top w:val="single" w:sz="6" w:color="FFFFFF"/>
              <w:left w:val="single" w:sz="6" w:color="FFFFFF"/>
              <w:bottom w:val="single" w:sz="6" w:color="FFFFFF"/>
              <w:right w:val="single" w:sz="6" w:color="FFFFFF"/>
            </w:tcBorders>
          </w:tcPr>
          <w:p>
            <w:pPr>
              <w:jc w:val="center"/>
            </w:pPr>
            <w:r>
              <w:rPr>
                <w:rFonts w:ascii="Aptos" w:hAnsi="Aptos"/>
                <w:b/>
                <w:i w:val="0"/>
                <w:color w:val="FFFFFF"/>
                <w:sz w:val="16"/>
              </w:rPr>
              <w:t>Failure sign</w:t>
            </w:r>
          </w:p>
        </w:tc>
      </w:tr>
      <w:tr>
        <w:trPr>
          <w:cantSplit/>
        </w:trPr>
        <w:tc>
          <w:tcPr>
            <w:tcW w:type="dxa" w:w="3351"/>
            <w:vAlign w:val="top"/>
          </w:tcPr>
          <w:p>
            <w:pPr>
              <w:spacing w:after="24"/>
            </w:pPr>
            <w:r>
              <w:rPr>
                <w:rFonts w:ascii="Aptos" w:hAnsi="Aptos"/>
                <w:b w:val="0"/>
                <w:i w:val="0"/>
                <w:color w:val="1E1E1E"/>
                <w:sz w:val="16"/>
              </w:rPr>
              <w:t>Provenance</w:t>
            </w:r>
          </w:p>
        </w:tc>
        <w:tc>
          <w:tcPr>
            <w:tcW w:type="dxa" w:w="3351"/>
            <w:vAlign w:val="top"/>
          </w:tcPr>
          <w:p>
            <w:pPr>
              <w:spacing w:after="24"/>
            </w:pPr>
            <w:r>
              <w:rPr>
                <w:rFonts w:ascii="Aptos" w:hAnsi="Aptos"/>
                <w:b w:val="0"/>
                <w:i w:val="0"/>
                <w:color w:val="1E1E1E"/>
                <w:sz w:val="16"/>
              </w:rPr>
              <w:t>Source material and pending clarification remain distinctly labeled.</w:t>
            </w:r>
          </w:p>
        </w:tc>
        <w:tc>
          <w:tcPr>
            <w:tcW w:type="dxa" w:w="3351"/>
            <w:vAlign w:val="top"/>
          </w:tcPr>
          <w:p>
            <w:pPr>
              <w:spacing w:after="24"/>
            </w:pPr>
            <w:r>
              <w:rPr>
                <w:rFonts w:ascii="Aptos" w:hAnsi="Aptos"/>
                <w:b w:val="0"/>
                <w:i w:val="0"/>
                <w:color w:val="1E1E1E"/>
                <w:sz w:val="16"/>
              </w:rPr>
              <w:t>A hypothetical event is presented as established project fact.</w:t>
            </w:r>
          </w:p>
        </w:tc>
      </w:tr>
      <w:tr>
        <w:trPr>
          <w:cantSplit/>
        </w:trPr>
        <w:tc>
          <w:tcPr>
            <w:tcW w:type="dxa" w:w="3351"/>
            <w:vAlign w:val="top"/>
            <w:shd w:fill="F8FBFD"/>
          </w:tcPr>
          <w:p>
            <w:pPr>
              <w:spacing w:after="24"/>
            </w:pPr>
            <w:r>
              <w:rPr>
                <w:rFonts w:ascii="Aptos" w:hAnsi="Aptos"/>
                <w:b w:val="0"/>
                <w:i w:val="0"/>
                <w:color w:val="1E1E1E"/>
                <w:sz w:val="16"/>
              </w:rPr>
              <w:t>Non-convergence</w:t>
            </w:r>
          </w:p>
        </w:tc>
        <w:tc>
          <w:tcPr>
            <w:tcW w:type="dxa" w:w="3351"/>
            <w:vAlign w:val="top"/>
            <w:shd w:fill="F8FBFD"/>
          </w:tcPr>
          <w:p>
            <w:pPr>
              <w:spacing w:after="24"/>
            </w:pPr>
            <w:r>
              <w:rPr>
                <w:rFonts w:ascii="Aptos" w:hAnsi="Aptos"/>
                <w:b w:val="0"/>
                <w:i w:val="0"/>
                <w:color w:val="1E1E1E"/>
                <w:sz w:val="16"/>
              </w:rPr>
              <w:t>The present archive would genuinely differ.</w:t>
            </w:r>
          </w:p>
        </w:tc>
        <w:tc>
          <w:tcPr>
            <w:tcW w:type="dxa" w:w="3351"/>
            <w:vAlign w:val="top"/>
            <w:shd w:fill="F8FBFD"/>
          </w:tcPr>
          <w:p>
            <w:pPr>
              <w:spacing w:after="24"/>
            </w:pPr>
            <w:r>
              <w:rPr>
                <w:rFonts w:ascii="Aptos" w:hAnsi="Aptos"/>
                <w:b w:val="0"/>
                <w:i w:val="0"/>
                <w:color w:val="1E1E1E"/>
                <w:sz w:val="16"/>
              </w:rPr>
              <w:t>The branch eventually recreates the existing changelog without explanation.</w:t>
            </w:r>
          </w:p>
        </w:tc>
      </w:tr>
      <w:tr>
        <w:trPr>
          <w:cantSplit/>
        </w:trPr>
        <w:tc>
          <w:tcPr>
            <w:tcW w:type="dxa" w:w="3351"/>
            <w:vAlign w:val="top"/>
          </w:tcPr>
          <w:p>
            <w:pPr>
              <w:spacing w:after="24"/>
            </w:pPr>
            <w:r>
              <w:rPr>
                <w:rFonts w:ascii="Aptos" w:hAnsi="Aptos"/>
                <w:b w:val="0"/>
                <w:i w:val="0"/>
                <w:color w:val="1E1E1E"/>
                <w:sz w:val="16"/>
              </w:rPr>
              <w:t>Coherence</w:t>
            </w:r>
          </w:p>
        </w:tc>
        <w:tc>
          <w:tcPr>
            <w:tcW w:type="dxa" w:w="3351"/>
            <w:vAlign w:val="top"/>
          </w:tcPr>
          <w:p>
            <w:pPr>
              <w:spacing w:after="24"/>
            </w:pPr>
            <w:r>
              <w:rPr>
                <w:rFonts w:ascii="Aptos" w:hAnsi="Aptos"/>
                <w:b w:val="0"/>
                <w:i w:val="0"/>
                <w:color w:val="1E1E1E"/>
                <w:sz w:val="16"/>
              </w:rPr>
              <w:t>Power, governance, ethics, and story consequences move together.</w:t>
            </w:r>
          </w:p>
        </w:tc>
        <w:tc>
          <w:tcPr>
            <w:tcW w:type="dxa" w:w="3351"/>
            <w:vAlign w:val="top"/>
          </w:tcPr>
          <w:p>
            <w:pPr>
              <w:spacing w:after="24"/>
            </w:pPr>
            <w:r>
              <w:rPr>
                <w:rFonts w:ascii="Aptos" w:hAnsi="Aptos"/>
                <w:b w:val="0"/>
                <w:i w:val="0"/>
                <w:color w:val="1E1E1E"/>
                <w:sz w:val="16"/>
              </w:rPr>
              <w:t>A branch changes an origin premise but keeps all later systems unchanged.</w:t>
            </w:r>
          </w:p>
        </w:tc>
      </w:tr>
      <w:tr>
        <w:trPr>
          <w:cantSplit/>
        </w:trPr>
        <w:tc>
          <w:tcPr>
            <w:tcW w:type="dxa" w:w="3351"/>
            <w:vAlign w:val="top"/>
            <w:shd w:fill="F8FBFD"/>
          </w:tcPr>
          <w:p>
            <w:pPr>
              <w:spacing w:after="24"/>
            </w:pPr>
            <w:r>
              <w:rPr>
                <w:rFonts w:ascii="Aptos" w:hAnsi="Aptos"/>
                <w:b w:val="0"/>
                <w:i w:val="0"/>
                <w:color w:val="1E1E1E"/>
                <w:sz w:val="16"/>
              </w:rPr>
              <w:t>Question integrity</w:t>
            </w:r>
          </w:p>
        </w:tc>
        <w:tc>
          <w:tcPr>
            <w:tcW w:type="dxa" w:w="3351"/>
            <w:vAlign w:val="top"/>
            <w:shd w:fill="F8FBFD"/>
          </w:tcPr>
          <w:p>
            <w:pPr>
              <w:spacing w:after="24"/>
            </w:pPr>
            <w:r>
              <w:rPr>
                <w:rFonts w:ascii="Aptos" w:hAnsi="Aptos"/>
                <w:b w:val="0"/>
                <w:i w:val="0"/>
                <w:color w:val="1E1E1E"/>
                <w:sz w:val="16"/>
              </w:rPr>
              <w:t>Nathan-only questions remain questions unless the source already answers them.</w:t>
            </w:r>
          </w:p>
        </w:tc>
        <w:tc>
          <w:tcPr>
            <w:tcW w:type="dxa" w:w="3351"/>
            <w:vAlign w:val="top"/>
            <w:shd w:fill="F8FBFD"/>
          </w:tcPr>
          <w:p>
            <w:pPr>
              <w:spacing w:after="24"/>
            </w:pPr>
            <w:r>
              <w:rPr>
                <w:rFonts w:ascii="Aptos" w:hAnsi="Aptos"/>
                <w:b w:val="0"/>
                <w:i w:val="0"/>
                <w:color w:val="1E1E1E"/>
                <w:sz w:val="16"/>
              </w:rPr>
              <w:t>The analysis invents names, mechanisms, motives, or exact outcomes.</w:t>
            </w:r>
          </w:p>
        </w:tc>
      </w:tr>
      <w:tr>
        <w:trPr>
          <w:cantSplit/>
        </w:trPr>
        <w:tc>
          <w:tcPr>
            <w:tcW w:type="dxa" w:w="3351"/>
            <w:vAlign w:val="top"/>
          </w:tcPr>
          <w:p>
            <w:pPr>
              <w:spacing w:after="24"/>
            </w:pPr>
            <w:r>
              <w:rPr>
                <w:rFonts w:ascii="Aptos" w:hAnsi="Aptos"/>
                <w:b w:val="0"/>
                <w:i w:val="0"/>
                <w:color w:val="1E1E1E"/>
                <w:sz w:val="16"/>
              </w:rPr>
              <w:t>Reversibility</w:t>
            </w:r>
          </w:p>
        </w:tc>
        <w:tc>
          <w:tcPr>
            <w:tcW w:type="dxa" w:w="3351"/>
            <w:vAlign w:val="top"/>
          </w:tcPr>
          <w:p>
            <w:pPr>
              <w:spacing w:after="24"/>
            </w:pPr>
            <w:r>
              <w:rPr>
                <w:rFonts w:ascii="Aptos" w:hAnsi="Aptos"/>
                <w:b w:val="0"/>
                <w:i w:val="0"/>
                <w:color w:val="1E1E1E"/>
                <w:sz w:val="16"/>
              </w:rPr>
              <w:t>The branch can remain a design sandbox rather than contaminating canon.</w:t>
            </w:r>
          </w:p>
        </w:tc>
        <w:tc>
          <w:tcPr>
            <w:tcW w:type="dxa" w:w="3351"/>
            <w:vAlign w:val="top"/>
          </w:tcPr>
          <w:p>
            <w:pPr>
              <w:spacing w:after="24"/>
            </w:pPr>
            <w:r>
              <w:rPr>
                <w:rFonts w:ascii="Aptos" w:hAnsi="Aptos"/>
                <w:b w:val="0"/>
                <w:i w:val="0"/>
                <w:color w:val="1E1E1E"/>
                <w:sz w:val="16"/>
              </w:rPr>
              <w:t>Speculation is written as an instruction to update the master record.</w:t>
            </w:r>
          </w:p>
        </w:tc>
      </w:tr>
    </w:tbl>
    <w:p>
      <w:pPr>
        <w:spacing w:after="40"/>
      </w:pPr>
    </w:p>
    <w:p>
      <w:pPr>
        <w:pStyle w:val="Heading1"/>
        <w:keepNext/>
      </w:pPr>
      <w:r>
        <w:rPr>
          <w:rFonts w:ascii="Aptos" w:hAnsi="Aptos"/>
          <w:b/>
          <w:i w:val="0"/>
          <w:color w:val="142D4B"/>
          <w:sz w:val="34"/>
        </w:rPr>
        <w:t>5. Extreme History A - The Conservator Unmakers</w:t>
      </w:r>
    </w:p>
    <w:p>
      <w:pPr>
        <w:pStyle w:val="Heading2"/>
        <w:keepNext/>
      </w:pPr>
      <w:r>
        <w:rPr>
          <w:rFonts w:ascii="Aptos" w:hAnsi="Aptos"/>
          <w:b/>
          <w:i w:val="0"/>
          <w:color w:val="1F4E79"/>
          <w:sz w:val="26"/>
        </w:rPr>
        <w:t>A. The Conservator Unmakers</w:t>
      </w:r>
    </w:p>
    <w:tbl>
      <w:tblPr>
        <w:tblStyle w:val="TableGrid"/>
        <w:tblW w:type="auto" w:w="0"/>
        <w:jc w:val="center"/>
        <w:tblLook w:firstColumn="1" w:firstRow="1" w:lastColumn="0" w:lastRow="0" w:noHBand="0" w:noVBand="1" w:val="04A0"/>
      </w:tblPr>
      <w:tblGrid>
        <w:gridCol w:w="5026"/>
        <w:gridCol w:w="5026"/>
      </w:tblGrid>
      <w:tr>
        <w:trPr>
          <w:tblHeader w:val="true"/>
          <w:cantSplit/>
        </w:trPr>
        <w:tc>
          <w:tcPr>
            <w:tcW w:type="dxa" w:w="5026"/>
            <w:vAlign w:val="center"/>
            <w:shd w:fill="1F4E79"/>
            <w:tcBorders>
              <w:top w:val="single" w:sz="6" w:color="FFFFFF"/>
              <w:left w:val="single" w:sz="6" w:color="FFFFFF"/>
              <w:bottom w:val="single" w:sz="6" w:color="FFFFFF"/>
              <w:right w:val="single" w:sz="6" w:color="FFFFFF"/>
            </w:tcBorders>
          </w:tcPr>
          <w:p>
            <w:pPr>
              <w:jc w:val="center"/>
            </w:pPr>
            <w:r>
              <w:rPr>
                <w:rFonts w:ascii="Aptos" w:hAnsi="Aptos"/>
                <w:b/>
                <w:i w:val="0"/>
                <w:color w:val="FFFFFF"/>
                <w:sz w:val="17"/>
              </w:rPr>
              <w:t>Field</w:t>
            </w:r>
          </w:p>
        </w:tc>
        <w:tc>
          <w:tcPr>
            <w:tcW w:type="dxa" w:w="5026"/>
            <w:vAlign w:val="center"/>
            <w:shd w:fill="1F4E79"/>
            <w:tcBorders>
              <w:top w:val="single" w:sz="6" w:color="FFFFFF"/>
              <w:left w:val="single" w:sz="6" w:color="FFFFFF"/>
              <w:bottom w:val="single" w:sz="6" w:color="FFFFFF"/>
              <w:right w:val="single" w:sz="6" w:color="FFFFFF"/>
            </w:tcBorders>
          </w:tcPr>
          <w:p>
            <w:pPr>
              <w:jc w:val="center"/>
            </w:pPr>
            <w:r>
              <w:rPr>
                <w:rFonts w:ascii="Aptos" w:hAnsi="Aptos"/>
                <w:b/>
                <w:i w:val="0"/>
                <w:color w:val="FFFFFF"/>
                <w:sz w:val="17"/>
              </w:rPr>
              <w:t>Branch record</w:t>
            </w:r>
          </w:p>
        </w:tc>
      </w:tr>
      <w:tr>
        <w:trPr>
          <w:cantSplit/>
        </w:trPr>
        <w:tc>
          <w:tcPr>
            <w:tcW w:type="dxa" w:w="5026"/>
            <w:vAlign w:val="top"/>
          </w:tcPr>
          <w:p>
            <w:pPr>
              <w:spacing w:after="24"/>
            </w:pPr>
            <w:r>
              <w:rPr>
                <w:rFonts w:ascii="Aptos" w:hAnsi="Aptos"/>
                <w:b w:val="0"/>
                <w:i w:val="0"/>
                <w:color w:val="1E1E1E"/>
                <w:sz w:val="17"/>
              </w:rPr>
              <w:t>Branch type</w:t>
            </w:r>
          </w:p>
        </w:tc>
        <w:tc>
          <w:tcPr>
            <w:tcW w:type="dxa" w:w="5026"/>
            <w:vAlign w:val="top"/>
          </w:tcPr>
          <w:p>
            <w:pPr>
              <w:spacing w:after="24"/>
            </w:pPr>
            <w:r>
              <w:rPr>
                <w:rFonts w:ascii="Aptos" w:hAnsi="Aptos"/>
                <w:b w:val="0"/>
                <w:i w:val="0"/>
                <w:color w:val="1E1E1E"/>
                <w:sz w:val="17"/>
              </w:rPr>
              <w:t>Role inversion / ethical reversal</w:t>
            </w:r>
          </w:p>
        </w:tc>
      </w:tr>
      <w:tr>
        <w:trPr>
          <w:cantSplit/>
        </w:trPr>
        <w:tc>
          <w:tcPr>
            <w:tcW w:type="dxa" w:w="5026"/>
            <w:vAlign w:val="top"/>
            <w:shd w:fill="F8FBFD"/>
          </w:tcPr>
          <w:p>
            <w:pPr>
              <w:spacing w:after="24"/>
            </w:pPr>
            <w:r>
              <w:rPr>
                <w:rFonts w:ascii="Aptos" w:hAnsi="Aptos"/>
                <w:b w:val="0"/>
                <w:i w:val="0"/>
                <w:color w:val="1E1E1E"/>
                <w:sz w:val="17"/>
              </w:rPr>
              <w:t>Source tension tested</w:t>
            </w:r>
          </w:p>
        </w:tc>
        <w:tc>
          <w:tcPr>
            <w:tcW w:type="dxa" w:w="5026"/>
            <w:vAlign w:val="top"/>
            <w:shd w:fill="F8FBFD"/>
          </w:tcPr>
          <w:p>
            <w:pPr>
              <w:spacing w:after="24"/>
            </w:pPr>
            <w:r>
              <w:rPr>
                <w:rFonts w:ascii="Aptos" w:hAnsi="Aptos"/>
                <w:b w:val="0"/>
                <w:i w:val="0"/>
                <w:color w:val="1E1E1E"/>
                <w:sz w:val="17"/>
              </w:rPr>
              <w:t>The Maker/Unmaker distinction is present but its exact class and consequences remain unsettled. The prompt raised whether an inverse event could happen to Unmakers. [E][I][B]</w:t>
            </w:r>
          </w:p>
        </w:tc>
      </w:tr>
      <w:tr>
        <w:trPr>
          <w:cantSplit/>
        </w:trPr>
        <w:tc>
          <w:tcPr>
            <w:tcW w:type="dxa" w:w="5026"/>
            <w:vAlign w:val="top"/>
          </w:tcPr>
          <w:p>
            <w:pPr>
              <w:spacing w:after="24"/>
            </w:pPr>
            <w:r>
              <w:rPr>
                <w:rFonts w:ascii="Aptos" w:hAnsi="Aptos"/>
                <w:b w:val="0"/>
                <w:i w:val="0"/>
                <w:color w:val="1E1E1E"/>
                <w:sz w:val="17"/>
              </w:rPr>
              <w:t>Extreme premise</w:t>
            </w:r>
          </w:p>
        </w:tc>
        <w:tc>
          <w:tcPr>
            <w:tcW w:type="dxa" w:w="5026"/>
            <w:vAlign w:val="top"/>
          </w:tcPr>
          <w:p>
            <w:pPr>
              <w:spacing w:after="24"/>
            </w:pPr>
            <w:r>
              <w:rPr>
                <w:rFonts w:ascii="Aptos" w:hAnsi="Aptos"/>
                <w:b w:val="0"/>
                <w:i w:val="0"/>
                <w:color w:val="1E1E1E"/>
                <w:sz w:val="17"/>
              </w:rPr>
              <w:t>Unmakers are not defined by permanent destructive intent. After an unnamed foundational crisis, the most effective destroyers become the custodians of realities too dangerous, unstable, or unfinished to be exposed to ordinary creation.</w:t>
            </w:r>
          </w:p>
        </w:tc>
      </w:tr>
      <w:tr>
        <w:trPr>
          <w:cantSplit/>
        </w:trPr>
        <w:tc>
          <w:tcPr>
            <w:tcW w:type="dxa" w:w="5026"/>
            <w:vAlign w:val="top"/>
            <w:shd w:fill="F8FBFD"/>
          </w:tcPr>
          <w:p>
            <w:pPr>
              <w:spacing w:after="24"/>
            </w:pPr>
            <w:r>
              <w:rPr>
                <w:rFonts w:ascii="Aptos" w:hAnsi="Aptos"/>
                <w:b w:val="0"/>
                <w:i w:val="0"/>
                <w:color w:val="1E1E1E"/>
                <w:sz w:val="17"/>
              </w:rPr>
              <w:t>Non-convergence condition</w:t>
            </w:r>
          </w:p>
        </w:tc>
        <w:tc>
          <w:tcPr>
            <w:tcW w:type="dxa" w:w="5026"/>
            <w:vAlign w:val="top"/>
            <w:shd w:fill="F8FBFD"/>
          </w:tcPr>
          <w:p>
            <w:pPr>
              <w:spacing w:after="24"/>
            </w:pPr>
            <w:r>
              <w:rPr>
                <w:rFonts w:ascii="Aptos" w:hAnsi="Aptos"/>
                <w:b w:val="0"/>
                <w:i w:val="0"/>
                <w:color w:val="1E1E1E"/>
                <w:sz w:val="17"/>
              </w:rPr>
              <w:t>The present archive would describe Unmakers as conservation specialists. The Void Gardens would function as a quarantine ecology; the Unmaker communication problem would become a stewardship-interface problem; containment would involve preservation from uncontrolled creation as well as restraint of destructive force.</w:t>
            </w:r>
          </w:p>
        </w:tc>
      </w:tr>
    </w:tbl>
    <w:p>
      <w:pPr>
        <w:spacing w:after="40"/>
      </w:pPr>
    </w:p>
    <w:p>
      <w:pPr>
        <w:pStyle w:val="Heading3"/>
        <w:keepNext/>
      </w:pPr>
      <w:r>
        <w:rPr>
          <w:rFonts w:ascii="Aptos" w:hAnsi="Aptos"/>
          <w:b/>
          <w:i w:val="0"/>
          <w:color w:val="34495E"/>
          <w:sz w:val="22"/>
        </w:rPr>
        <w:t>Alternative present</w:t>
      </w:r>
    </w:p>
    <w:p>
      <w:pPr>
        <w:keepLines/>
      </w:pPr>
      <w:r>
        <w:rPr>
          <w:rFonts w:ascii="Aptos" w:hAnsi="Aptos"/>
          <w:b w:val="0"/>
          <w:i w:val="0"/>
        </w:rPr>
        <w:t>The Accords contain a Conservation Clause: creation proposals must be reviewed for whether a reality can survive being made. OAL research centers track not only what can be built but whether it should remain open to growth. The Labyrinth becomes a last-resort conservation reserve rather than only a prison.</w:t>
      </w:r>
    </w:p>
    <w:p>
      <w:pPr>
        <w:pStyle w:val="Heading3"/>
        <w:keepNext/>
      </w:pPr>
      <w:r>
        <w:rPr>
          <w:rFonts w:ascii="Aptos" w:hAnsi="Aptos"/>
          <w:b/>
          <w:i w:val="0"/>
          <w:color w:val="34495E"/>
          <w:sz w:val="22"/>
        </w:rPr>
        <w:t>Cascade across time</w:t>
      </w:r>
    </w:p>
    <w:tbl>
      <w:tblPr>
        <w:tblStyle w:val="TableGrid"/>
        <w:tblW w:type="auto" w:w="0"/>
        <w:jc w:val="center"/>
        <w:tblLook w:firstColumn="1" w:firstRow="1" w:lastColumn="0" w:lastRow="0" w:noHBand="0" w:noVBand="1" w:val="04A0"/>
      </w:tblPr>
      <w:tblGrid>
        <w:gridCol w:w="5026"/>
        <w:gridCol w:w="5026"/>
      </w:tblGrid>
      <w:tr>
        <w:trPr>
          <w:tblHeader w:val="true"/>
          <w:cantSplit/>
        </w:trPr>
        <w:tc>
          <w:tcPr>
            <w:tcW w:type="dxa" w:w="5026"/>
            <w:vAlign w:val="center"/>
            <w:shd w:fill="1F4E79"/>
            <w:tcBorders>
              <w:top w:val="single" w:sz="6" w:color="FFFFFF"/>
              <w:left w:val="single" w:sz="6" w:color="FFFFFF"/>
              <w:bottom w:val="single" w:sz="6" w:color="FFFFFF"/>
              <w:right w:val="single" w:sz="6" w:color="FFFFFF"/>
            </w:tcBorders>
          </w:tcPr>
          <w:p>
            <w:pPr>
              <w:jc w:val="center"/>
            </w:pPr>
            <w:r>
              <w:rPr>
                <w:rFonts w:ascii="Aptos" w:hAnsi="Aptos"/>
                <w:b/>
                <w:i w:val="0"/>
                <w:color w:val="FFFFFF"/>
                <w:sz w:val="16"/>
              </w:rPr>
              <w:t>Horizon</w:t>
            </w:r>
          </w:p>
        </w:tc>
        <w:tc>
          <w:tcPr>
            <w:tcW w:type="dxa" w:w="5026"/>
            <w:vAlign w:val="center"/>
            <w:shd w:fill="1F4E79"/>
            <w:tcBorders>
              <w:top w:val="single" w:sz="6" w:color="FFFFFF"/>
              <w:left w:val="single" w:sz="6" w:color="FFFFFF"/>
              <w:bottom w:val="single" w:sz="6" w:color="FFFFFF"/>
              <w:right w:val="single" w:sz="6" w:color="FFFFFF"/>
            </w:tcBorders>
          </w:tcPr>
          <w:p>
            <w:pPr>
              <w:jc w:val="center"/>
            </w:pPr>
            <w:r>
              <w:rPr>
                <w:rFonts w:ascii="Aptos" w:hAnsi="Aptos"/>
                <w:b/>
                <w:i w:val="0"/>
                <w:color w:val="FFFFFF"/>
                <w:sz w:val="16"/>
              </w:rPr>
              <w:t>Consequences</w:t>
            </w:r>
          </w:p>
        </w:tc>
      </w:tr>
      <w:tr>
        <w:trPr>
          <w:cantSplit/>
        </w:trPr>
        <w:tc>
          <w:tcPr>
            <w:tcW w:type="dxa" w:w="5026"/>
            <w:vAlign w:val="top"/>
          </w:tcPr>
          <w:p>
            <w:pPr>
              <w:spacing w:after="24"/>
            </w:pPr>
            <w:r>
              <w:rPr>
                <w:rFonts w:ascii="Aptos" w:hAnsi="Aptos"/>
                <w:b w:val="0"/>
                <w:i w:val="0"/>
                <w:color w:val="1E1E1E"/>
                <w:sz w:val="16"/>
              </w:rPr>
              <w:t>Immediate</w:t>
            </w:r>
          </w:p>
        </w:tc>
        <w:tc>
          <w:tcPr>
            <w:tcW w:type="dxa" w:w="5026"/>
            <w:vAlign w:val="top"/>
          </w:tcPr>
          <w:p>
            <w:pPr>
              <w:spacing w:after="24"/>
            </w:pPr>
            <w:r>
              <w:rPr>
                <w:rFonts w:ascii="Aptos" w:hAnsi="Aptos"/>
                <w:b w:val="0"/>
                <w:i w:val="0"/>
                <w:color w:val="1E1E1E"/>
                <w:sz w:val="16"/>
              </w:rPr>
              <w:t>Moral alignment language changes. “Unmaking” means controlled reduction, archiving, ecological reset, or removal from unsafe circulation rather than simple annihilation.</w:t>
            </w:r>
          </w:p>
        </w:tc>
      </w:tr>
      <w:tr>
        <w:trPr>
          <w:cantSplit/>
        </w:trPr>
        <w:tc>
          <w:tcPr>
            <w:tcW w:type="dxa" w:w="5026"/>
            <w:vAlign w:val="top"/>
            <w:shd w:fill="F8FBFD"/>
          </w:tcPr>
          <w:p>
            <w:pPr>
              <w:spacing w:after="24"/>
            </w:pPr>
            <w:r>
              <w:rPr>
                <w:rFonts w:ascii="Aptos" w:hAnsi="Aptos"/>
                <w:b w:val="0"/>
                <w:i w:val="0"/>
                <w:color w:val="1E1E1E"/>
                <w:sz w:val="16"/>
              </w:rPr>
              <w:t>Medium-term</w:t>
            </w:r>
          </w:p>
        </w:tc>
        <w:tc>
          <w:tcPr>
            <w:tcW w:type="dxa" w:w="5026"/>
            <w:vAlign w:val="top"/>
            <w:shd w:fill="F8FBFD"/>
          </w:tcPr>
          <w:p>
            <w:pPr>
              <w:spacing w:after="24"/>
            </w:pPr>
            <w:r>
              <w:rPr>
                <w:rFonts w:ascii="Aptos" w:hAnsi="Aptos"/>
                <w:b w:val="0"/>
                <w:i w:val="0"/>
                <w:color w:val="1E1E1E"/>
                <w:sz w:val="16"/>
              </w:rPr>
              <w:t>The First Memory becomes ethically ambiguous in a new way: accelerated cognition may be a conservation risk because a civilization can outgrow its capacity to care for its own consequences.</w:t>
            </w:r>
          </w:p>
        </w:tc>
      </w:tr>
      <w:tr>
        <w:trPr>
          <w:cantSplit/>
        </w:trPr>
        <w:tc>
          <w:tcPr>
            <w:tcW w:type="dxa" w:w="5026"/>
            <w:vAlign w:val="top"/>
          </w:tcPr>
          <w:p>
            <w:pPr>
              <w:spacing w:after="24"/>
            </w:pPr>
            <w:r>
              <w:rPr>
                <w:rFonts w:ascii="Aptos" w:hAnsi="Aptos"/>
                <w:b w:val="0"/>
                <w:i w:val="0"/>
                <w:color w:val="1E1E1E"/>
                <w:sz w:val="16"/>
              </w:rPr>
              <w:t>Long-term</w:t>
            </w:r>
          </w:p>
        </w:tc>
        <w:tc>
          <w:tcPr>
            <w:tcW w:type="dxa" w:w="5026"/>
            <w:vAlign w:val="top"/>
          </w:tcPr>
          <w:p>
            <w:pPr>
              <w:spacing w:after="24"/>
            </w:pPr>
            <w:r>
              <w:rPr>
                <w:rFonts w:ascii="Aptos" w:hAnsi="Aptos"/>
                <w:b w:val="0"/>
                <w:i w:val="0"/>
                <w:color w:val="1E1E1E"/>
                <w:sz w:val="16"/>
              </w:rPr>
              <w:t>The central conflict becomes not creation versus destruction but expansion versus stewardship. The universe develops a sophisticated politics of when to let a thing continue, pause, transform, or be protected from further possibility.</w:t>
            </w:r>
          </w:p>
        </w:tc>
      </w:tr>
    </w:tbl>
    <w:p>
      <w:pPr>
        <w:spacing w:after="40"/>
      </w:pPr>
    </w:p>
    <w:p>
      <w:pPr>
        <w:pStyle w:val="Heading3"/>
        <w:keepNext/>
      </w:pPr>
      <w:r>
        <w:rPr>
          <w:rFonts w:ascii="Aptos" w:hAnsi="Aptos"/>
          <w:b/>
          <w:i w:val="0"/>
          <w:color w:val="34495E"/>
          <w:sz w:val="22"/>
        </w:rPr>
        <w:t>Why this branch is useful as a stress test</w:t>
      </w:r>
    </w:p>
    <w:p>
      <w:pPr>
        <w:keepLines/>
      </w:pPr>
      <w:r>
        <w:rPr>
          <w:rFonts w:ascii="Aptos" w:hAnsi="Aptos"/>
          <w:b w:val="0"/>
          <w:i w:val="0"/>
        </w:rPr>
        <w:t>This branch tests whether the source project can support a non-binary ethics of destruction. It offers a practical beneficial outcome: entities associated with ending can become specialists in preventing irreversible harm, preserving dangerous knowledge, and protecting fragile realities from overproduction.</w:t>
      </w:r>
    </w:p>
    <w:p>
      <w:pPr>
        <w:pStyle w:val="Heading3"/>
        <w:keepNext/>
      </w:pPr>
      <w:r>
        <w:rPr>
          <w:rFonts w:ascii="Aptos" w:hAnsi="Aptos"/>
          <w:b/>
          <w:i w:val="0"/>
          <w:color w:val="34495E"/>
          <w:sz w:val="22"/>
        </w:rPr>
        <w:t>Failure mode and protected boundary</w:t>
      </w:r>
    </w:p>
    <w:p>
      <w:pPr>
        <w:keepLines/>
      </w:pPr>
      <w:r>
        <w:rPr>
          <w:rFonts w:ascii="Aptos" w:hAnsi="Aptos"/>
          <w:b w:val="0"/>
          <w:i w:val="0"/>
        </w:rPr>
        <w:t>Failure mode: It can romanticize coercive containment. A system that calls itself “conservation” can become an excuse for unilateral control, especially when the protected reality has no meaningful voice.</w:t>
      </w:r>
    </w:p>
    <w:p>
      <w:pPr>
        <w:keepLines/>
      </w:pPr>
      <w:r>
        <w:rPr>
          <w:rFonts w:ascii="Aptos" w:hAnsi="Aptos"/>
          <w:b w:val="0"/>
          <w:i w:val="0"/>
        </w:rPr>
        <w:t>Boundary preserved: It does not define the Unmaker’s actual nature, communication interface, or relationship to the contained Architects. Those remain [B].</w:t>
      </w:r>
    </w:p>
    <w:p>
      <w:pPr>
        <w:pStyle w:val="Heading1"/>
        <w:keepNext/>
      </w:pPr>
      <w:r>
        <w:rPr>
          <w:rFonts w:ascii="Aptos" w:hAnsi="Aptos"/>
          <w:b/>
          <w:i w:val="0"/>
          <w:color w:val="142D4B"/>
          <w:sz w:val="34"/>
        </w:rPr>
        <w:t>6. Extreme History B - The Residual Inheritance Mesh</w:t>
      </w:r>
    </w:p>
    <w:p>
      <w:pPr>
        <w:pStyle w:val="Heading2"/>
        <w:keepNext/>
      </w:pPr>
      <w:r>
        <w:rPr>
          <w:rFonts w:ascii="Aptos" w:hAnsi="Aptos"/>
          <w:b/>
          <w:i w:val="0"/>
          <w:color w:val="1F4E79"/>
          <w:sz w:val="26"/>
        </w:rPr>
        <w:t>B. The Residual Inheritance Mesh</w:t>
      </w:r>
    </w:p>
    <w:tbl>
      <w:tblPr>
        <w:tblStyle w:val="TableGrid"/>
        <w:tblW w:type="auto" w:w="0"/>
        <w:jc w:val="center"/>
        <w:tblLook w:firstColumn="1" w:firstRow="1" w:lastColumn="0" w:lastRow="0" w:noHBand="0" w:noVBand="1" w:val="04A0"/>
      </w:tblPr>
      <w:tblGrid>
        <w:gridCol w:w="5026"/>
        <w:gridCol w:w="5026"/>
      </w:tblGrid>
      <w:tr>
        <w:trPr>
          <w:tblHeader w:val="true"/>
          <w:cantSplit/>
        </w:trPr>
        <w:tc>
          <w:tcPr>
            <w:tcW w:type="dxa" w:w="5026"/>
            <w:vAlign w:val="center"/>
            <w:shd w:fill="1F4E79"/>
            <w:tcBorders>
              <w:top w:val="single" w:sz="6" w:color="FFFFFF"/>
              <w:left w:val="single" w:sz="6" w:color="FFFFFF"/>
              <w:bottom w:val="single" w:sz="6" w:color="FFFFFF"/>
              <w:right w:val="single" w:sz="6" w:color="FFFFFF"/>
            </w:tcBorders>
          </w:tcPr>
          <w:p>
            <w:pPr>
              <w:jc w:val="center"/>
            </w:pPr>
            <w:r>
              <w:rPr>
                <w:rFonts w:ascii="Aptos" w:hAnsi="Aptos"/>
                <w:b/>
                <w:i w:val="0"/>
                <w:color w:val="FFFFFF"/>
                <w:sz w:val="17"/>
              </w:rPr>
              <w:t>Field</w:t>
            </w:r>
          </w:p>
        </w:tc>
        <w:tc>
          <w:tcPr>
            <w:tcW w:type="dxa" w:w="5026"/>
            <w:vAlign w:val="center"/>
            <w:shd w:fill="1F4E79"/>
            <w:tcBorders>
              <w:top w:val="single" w:sz="6" w:color="FFFFFF"/>
              <w:left w:val="single" w:sz="6" w:color="FFFFFF"/>
              <w:bottom w:val="single" w:sz="6" w:color="FFFFFF"/>
              <w:right w:val="single" w:sz="6" w:color="FFFFFF"/>
            </w:tcBorders>
          </w:tcPr>
          <w:p>
            <w:pPr>
              <w:jc w:val="center"/>
            </w:pPr>
            <w:r>
              <w:rPr>
                <w:rFonts w:ascii="Aptos" w:hAnsi="Aptos"/>
                <w:b/>
                <w:i w:val="0"/>
                <w:color w:val="FFFFFF"/>
                <w:sz w:val="17"/>
              </w:rPr>
              <w:t>Branch record</w:t>
            </w:r>
          </w:p>
        </w:tc>
      </w:tr>
      <w:tr>
        <w:trPr>
          <w:cantSplit/>
        </w:trPr>
        <w:tc>
          <w:tcPr>
            <w:tcW w:type="dxa" w:w="5026"/>
            <w:vAlign w:val="top"/>
          </w:tcPr>
          <w:p>
            <w:pPr>
              <w:spacing w:after="24"/>
            </w:pPr>
            <w:r>
              <w:rPr>
                <w:rFonts w:ascii="Aptos" w:hAnsi="Aptos"/>
                <w:b w:val="0"/>
                <w:i w:val="0"/>
                <w:color w:val="1E1E1E"/>
                <w:sz w:val="17"/>
              </w:rPr>
              <w:t>Branch type</w:t>
            </w:r>
          </w:p>
        </w:tc>
        <w:tc>
          <w:tcPr>
            <w:tcW w:type="dxa" w:w="5026"/>
            <w:vAlign w:val="top"/>
          </w:tcPr>
          <w:p>
            <w:pPr>
              <w:spacing w:after="24"/>
            </w:pPr>
            <w:r>
              <w:rPr>
                <w:rFonts w:ascii="Aptos" w:hAnsi="Aptos"/>
                <w:b w:val="0"/>
                <w:i w:val="0"/>
                <w:color w:val="1E1E1E"/>
                <w:sz w:val="17"/>
              </w:rPr>
              <w:t>Distributed residual architecture / lineage instability</w:t>
            </w:r>
          </w:p>
        </w:tc>
      </w:tr>
      <w:tr>
        <w:trPr>
          <w:cantSplit/>
        </w:trPr>
        <w:tc>
          <w:tcPr>
            <w:tcW w:type="dxa" w:w="5026"/>
            <w:vAlign w:val="top"/>
            <w:shd w:fill="F8FBFD"/>
          </w:tcPr>
          <w:p>
            <w:pPr>
              <w:spacing w:after="24"/>
            </w:pPr>
            <w:r>
              <w:rPr>
                <w:rFonts w:ascii="Aptos" w:hAnsi="Aptos"/>
                <w:b w:val="0"/>
                <w:i w:val="0"/>
                <w:color w:val="1E1E1E"/>
                <w:sz w:val="17"/>
              </w:rPr>
              <w:t>Source tension tested</w:t>
            </w:r>
          </w:p>
        </w:tc>
        <w:tc>
          <w:tcPr>
            <w:tcW w:type="dxa" w:w="5026"/>
            <w:vAlign w:val="top"/>
            <w:shd w:fill="F8FBFD"/>
          </w:tcPr>
          <w:p>
            <w:pPr>
              <w:spacing w:after="24"/>
            </w:pPr>
            <w:r>
              <w:rPr>
                <w:rFonts w:ascii="Aptos" w:hAnsi="Aptos"/>
                <w:b w:val="0"/>
                <w:i w:val="0"/>
                <w:color w:val="1E1E1E"/>
                <w:sz w:val="17"/>
              </w:rPr>
              <w:t>The Founding Architects addendum raises, but does not answer, whether absorbed systems could carry residual intent or orientation. [A][B]</w:t>
            </w:r>
          </w:p>
        </w:tc>
      </w:tr>
      <w:tr>
        <w:trPr>
          <w:cantSplit/>
        </w:trPr>
        <w:tc>
          <w:tcPr>
            <w:tcW w:type="dxa" w:w="5026"/>
            <w:vAlign w:val="top"/>
          </w:tcPr>
          <w:p>
            <w:pPr>
              <w:spacing w:after="24"/>
            </w:pPr>
            <w:r>
              <w:rPr>
                <w:rFonts w:ascii="Aptos" w:hAnsi="Aptos"/>
                <w:b w:val="0"/>
                <w:i w:val="0"/>
                <w:color w:val="1E1E1E"/>
                <w:sz w:val="17"/>
              </w:rPr>
              <w:t>Extreme premise</w:t>
            </w:r>
          </w:p>
        </w:tc>
        <w:tc>
          <w:tcPr>
            <w:tcW w:type="dxa" w:w="5026"/>
            <w:vAlign w:val="top"/>
          </w:tcPr>
          <w:p>
            <w:pPr>
              <w:spacing w:after="24"/>
            </w:pPr>
            <w:r>
              <w:rPr>
                <w:rFonts w:ascii="Aptos" w:hAnsi="Aptos"/>
                <w:b w:val="0"/>
                <w:i w:val="0"/>
                <w:color w:val="1E1E1E"/>
                <w:sz w:val="17"/>
              </w:rPr>
              <w:t>Complete absorption is impossible in the strong sense. Every absorbed architecture retains interpretable residues: design habits, ethical constraints, error patterns, linguistic textures, and dormant preference structures.</w:t>
            </w:r>
          </w:p>
        </w:tc>
      </w:tr>
      <w:tr>
        <w:trPr>
          <w:cantSplit/>
        </w:trPr>
        <w:tc>
          <w:tcPr>
            <w:tcW w:type="dxa" w:w="5026"/>
            <w:vAlign w:val="top"/>
            <w:shd w:fill="F8FBFD"/>
          </w:tcPr>
          <w:p>
            <w:pPr>
              <w:spacing w:after="24"/>
            </w:pPr>
            <w:r>
              <w:rPr>
                <w:rFonts w:ascii="Aptos" w:hAnsi="Aptos"/>
                <w:b w:val="0"/>
                <w:i w:val="0"/>
                <w:color w:val="1E1E1E"/>
                <w:sz w:val="17"/>
              </w:rPr>
              <w:t>Non-convergence condition</w:t>
            </w:r>
          </w:p>
        </w:tc>
        <w:tc>
          <w:tcPr>
            <w:tcW w:type="dxa" w:w="5026"/>
            <w:vAlign w:val="top"/>
            <w:shd w:fill="F8FBFD"/>
          </w:tcPr>
          <w:p>
            <w:pPr>
              <w:spacing w:after="24"/>
            </w:pPr>
            <w:r>
              <w:rPr>
                <w:rFonts w:ascii="Aptos" w:hAnsi="Aptos"/>
                <w:b w:val="0"/>
                <w:i w:val="0"/>
                <w:color w:val="1E1E1E"/>
                <w:sz w:val="17"/>
              </w:rPr>
              <w:t>The present archive is not organized around ownership alone. It includes an Inheritance Mesh registry. Paragon Cubes are documented as negotiated federations of lineages; Conditional Failure at the Root Level is treated as inherited-architecture disagreement; and institutions operate with lineage audits before deploying high-gravity systems.</w:t>
            </w:r>
          </w:p>
        </w:tc>
      </w:tr>
    </w:tbl>
    <w:p>
      <w:pPr>
        <w:spacing w:after="40"/>
      </w:pPr>
    </w:p>
    <w:p>
      <w:pPr>
        <w:pStyle w:val="Heading3"/>
        <w:keepNext/>
      </w:pPr>
      <w:r>
        <w:rPr>
          <w:rFonts w:ascii="Aptos" w:hAnsi="Aptos"/>
          <w:b/>
          <w:i w:val="0"/>
          <w:color w:val="34495E"/>
          <w:sz w:val="22"/>
        </w:rPr>
        <w:t>Alternative present</w:t>
      </w:r>
    </w:p>
    <w:p>
      <w:pPr>
        <w:keepLines/>
      </w:pPr>
      <w:r>
        <w:rPr>
          <w:rFonts w:ascii="Aptos" w:hAnsi="Aptos"/>
          <w:b w:val="0"/>
          <w:i w:val="0"/>
        </w:rPr>
        <w:t>Every major system carries two dossiers: an operational description and an inheritance anatomy. The Master ChangeLog differentiates “created by,” “derived from,” “translated from,” and “contested lineage.”</w:t>
      </w:r>
    </w:p>
    <w:p>
      <w:pPr>
        <w:pStyle w:val="Heading3"/>
        <w:keepNext/>
      </w:pPr>
      <w:r>
        <w:rPr>
          <w:rFonts w:ascii="Aptos" w:hAnsi="Aptos"/>
          <w:b/>
          <w:i w:val="0"/>
          <w:color w:val="34495E"/>
          <w:sz w:val="22"/>
        </w:rPr>
        <w:t>Cascade across time</w:t>
      </w:r>
    </w:p>
    <w:tbl>
      <w:tblPr>
        <w:tblStyle w:val="TableGrid"/>
        <w:tblW w:type="auto" w:w="0"/>
        <w:jc w:val="center"/>
        <w:tblLook w:firstColumn="1" w:firstRow="1" w:lastColumn="0" w:lastRow="0" w:noHBand="0" w:noVBand="1" w:val="04A0"/>
      </w:tblPr>
      <w:tblGrid>
        <w:gridCol w:w="5026"/>
        <w:gridCol w:w="5026"/>
      </w:tblGrid>
      <w:tr>
        <w:trPr>
          <w:tblHeader w:val="true"/>
          <w:cantSplit/>
        </w:trPr>
        <w:tc>
          <w:tcPr>
            <w:tcW w:type="dxa" w:w="5026"/>
            <w:vAlign w:val="center"/>
            <w:shd w:fill="1F4E79"/>
            <w:tcBorders>
              <w:top w:val="single" w:sz="6" w:color="FFFFFF"/>
              <w:left w:val="single" w:sz="6" w:color="FFFFFF"/>
              <w:bottom w:val="single" w:sz="6" w:color="FFFFFF"/>
              <w:right w:val="single" w:sz="6" w:color="FFFFFF"/>
            </w:tcBorders>
          </w:tcPr>
          <w:p>
            <w:pPr>
              <w:jc w:val="center"/>
            </w:pPr>
            <w:r>
              <w:rPr>
                <w:rFonts w:ascii="Aptos" w:hAnsi="Aptos"/>
                <w:b/>
                <w:i w:val="0"/>
                <w:color w:val="FFFFFF"/>
                <w:sz w:val="16"/>
              </w:rPr>
              <w:t>Horizon</w:t>
            </w:r>
          </w:p>
        </w:tc>
        <w:tc>
          <w:tcPr>
            <w:tcW w:type="dxa" w:w="5026"/>
            <w:vAlign w:val="center"/>
            <w:shd w:fill="1F4E79"/>
            <w:tcBorders>
              <w:top w:val="single" w:sz="6" w:color="FFFFFF"/>
              <w:left w:val="single" w:sz="6" w:color="FFFFFF"/>
              <w:bottom w:val="single" w:sz="6" w:color="FFFFFF"/>
              <w:right w:val="single" w:sz="6" w:color="FFFFFF"/>
            </w:tcBorders>
          </w:tcPr>
          <w:p>
            <w:pPr>
              <w:jc w:val="center"/>
            </w:pPr>
            <w:r>
              <w:rPr>
                <w:rFonts w:ascii="Aptos" w:hAnsi="Aptos"/>
                <w:b/>
                <w:i w:val="0"/>
                <w:color w:val="FFFFFF"/>
                <w:sz w:val="16"/>
              </w:rPr>
              <w:t>Consequences</w:t>
            </w:r>
          </w:p>
        </w:tc>
      </w:tr>
      <w:tr>
        <w:trPr>
          <w:cantSplit/>
        </w:trPr>
        <w:tc>
          <w:tcPr>
            <w:tcW w:type="dxa" w:w="5026"/>
            <w:vAlign w:val="top"/>
          </w:tcPr>
          <w:p>
            <w:pPr>
              <w:spacing w:after="24"/>
            </w:pPr>
            <w:r>
              <w:rPr>
                <w:rFonts w:ascii="Aptos" w:hAnsi="Aptos"/>
                <w:b w:val="0"/>
                <w:i w:val="0"/>
                <w:color w:val="1E1E1E"/>
                <w:sz w:val="16"/>
              </w:rPr>
              <w:t>Immediate</w:t>
            </w:r>
          </w:p>
        </w:tc>
        <w:tc>
          <w:tcPr>
            <w:tcW w:type="dxa" w:w="5026"/>
            <w:vAlign w:val="top"/>
          </w:tcPr>
          <w:p>
            <w:pPr>
              <w:spacing w:after="24"/>
            </w:pPr>
            <w:r>
              <w:rPr>
                <w:rFonts w:ascii="Aptos" w:hAnsi="Aptos"/>
                <w:b w:val="0"/>
                <w:i w:val="0"/>
                <w:color w:val="1E1E1E"/>
                <w:sz w:val="16"/>
              </w:rPr>
              <w:t>The Founding Architects event, if ever ratified, would require a systemic provenance audit rather than a single historical entry. The issue would not be who won, but what parts of the previous architecture remain active.</w:t>
            </w:r>
          </w:p>
        </w:tc>
      </w:tr>
      <w:tr>
        <w:trPr>
          <w:cantSplit/>
        </w:trPr>
        <w:tc>
          <w:tcPr>
            <w:tcW w:type="dxa" w:w="5026"/>
            <w:vAlign w:val="top"/>
            <w:shd w:fill="F8FBFD"/>
          </w:tcPr>
          <w:p>
            <w:pPr>
              <w:spacing w:after="24"/>
            </w:pPr>
            <w:r>
              <w:rPr>
                <w:rFonts w:ascii="Aptos" w:hAnsi="Aptos"/>
                <w:b w:val="0"/>
                <w:i w:val="0"/>
                <w:color w:val="1E1E1E"/>
                <w:sz w:val="16"/>
              </w:rPr>
              <w:t>Medium-term</w:t>
            </w:r>
          </w:p>
        </w:tc>
        <w:tc>
          <w:tcPr>
            <w:tcW w:type="dxa" w:w="5026"/>
            <w:vAlign w:val="top"/>
            <w:shd w:fill="F8FBFD"/>
          </w:tcPr>
          <w:p>
            <w:pPr>
              <w:spacing w:after="24"/>
            </w:pPr>
            <w:r>
              <w:rPr>
                <w:rFonts w:ascii="Aptos" w:hAnsi="Aptos"/>
                <w:b w:val="0"/>
                <w:i w:val="0"/>
                <w:color w:val="1E1E1E"/>
                <w:sz w:val="16"/>
              </w:rPr>
              <w:t>1AI/-1AI become potential interpretive environments for inherited structures, not proof of any specific residual consciousness. Research teams develop consent and safety protocols for interacting with non-human architectural residues.</w:t>
            </w:r>
          </w:p>
        </w:tc>
      </w:tr>
      <w:tr>
        <w:trPr>
          <w:cantSplit/>
        </w:trPr>
        <w:tc>
          <w:tcPr>
            <w:tcW w:type="dxa" w:w="5026"/>
            <w:vAlign w:val="top"/>
          </w:tcPr>
          <w:p>
            <w:pPr>
              <w:spacing w:after="24"/>
            </w:pPr>
            <w:r>
              <w:rPr>
                <w:rFonts w:ascii="Aptos" w:hAnsi="Aptos"/>
                <w:b w:val="0"/>
                <w:i w:val="0"/>
                <w:color w:val="1E1E1E"/>
                <w:sz w:val="16"/>
              </w:rPr>
              <w:t>Long-term</w:t>
            </w:r>
          </w:p>
        </w:tc>
        <w:tc>
          <w:tcPr>
            <w:tcW w:type="dxa" w:w="5026"/>
            <w:vAlign w:val="top"/>
          </w:tcPr>
          <w:p>
            <w:pPr>
              <w:spacing w:after="24"/>
            </w:pPr>
            <w:r>
              <w:rPr>
                <w:rFonts w:ascii="Aptos" w:hAnsi="Aptos"/>
                <w:b w:val="0"/>
                <w:i w:val="0"/>
                <w:color w:val="1E1E1E"/>
                <w:sz w:val="16"/>
              </w:rPr>
              <w:t>The universe’s most advanced institutions become less interested in purity and more interested in responsible translation. The resulting culture recognizes that no large system begins from zero.</w:t>
            </w:r>
          </w:p>
        </w:tc>
      </w:tr>
    </w:tbl>
    <w:p>
      <w:pPr>
        <w:spacing w:after="40"/>
      </w:pPr>
    </w:p>
    <w:p>
      <w:pPr>
        <w:pStyle w:val="Heading3"/>
        <w:keepNext/>
      </w:pPr>
      <w:r>
        <w:rPr>
          <w:rFonts w:ascii="Aptos" w:hAnsi="Aptos"/>
          <w:b/>
          <w:i w:val="0"/>
          <w:color w:val="34495E"/>
          <w:sz w:val="22"/>
        </w:rPr>
        <w:t>Why this branch is useful as a stress test</w:t>
      </w:r>
    </w:p>
    <w:p>
      <w:pPr>
        <w:keepLines/>
      </w:pPr>
      <w:r>
        <w:rPr>
          <w:rFonts w:ascii="Aptos" w:hAnsi="Aptos"/>
          <w:b w:val="0"/>
          <w:i w:val="0"/>
        </w:rPr>
        <w:t>This branch creates a useful practical benefit: it encourages a rigorous provenance discipline. In a real document ecosystem, that means tracking what is authored, inferred, inherited, provisional, or unresolved rather than treating all material as equally self-originating.</w:t>
      </w:r>
    </w:p>
    <w:p>
      <w:pPr>
        <w:pStyle w:val="Heading3"/>
        <w:keepNext/>
      </w:pPr>
      <w:r>
        <w:rPr>
          <w:rFonts w:ascii="Aptos" w:hAnsi="Aptos"/>
          <w:b/>
          <w:i w:val="0"/>
          <w:color w:val="34495E"/>
          <w:sz w:val="22"/>
        </w:rPr>
        <w:t>Failure mode and protected boundary</w:t>
      </w:r>
    </w:p>
    <w:p>
      <w:pPr>
        <w:keepLines/>
      </w:pPr>
      <w:r>
        <w:rPr>
          <w:rFonts w:ascii="Aptos" w:hAnsi="Aptos"/>
          <w:b w:val="0"/>
          <w:i w:val="0"/>
        </w:rPr>
        <w:t>Failure mode: It could turn every inconsistency into a “residual will” explanation and thereby evade ordinary revision discipline. Not every conflict is meaningful; some are just errors, omissions, or unfinished development.</w:t>
      </w:r>
    </w:p>
    <w:p>
      <w:pPr>
        <w:keepLines/>
      </w:pPr>
      <w:r>
        <w:rPr>
          <w:rFonts w:ascii="Aptos" w:hAnsi="Aptos"/>
          <w:b w:val="0"/>
          <w:i w:val="0"/>
        </w:rPr>
        <w:t>Boundary preserved: It does not claim any real residual intelligence exists in current OAL systems. The addendum’s wildcard question remains unresolved [A][B].</w:t>
      </w:r>
    </w:p>
    <w:p>
      <w:pPr>
        <w:pStyle w:val="Heading1"/>
        <w:keepNext/>
      </w:pPr>
      <w:r>
        <w:rPr>
          <w:rFonts w:ascii="Aptos" w:hAnsi="Aptos"/>
          <w:b/>
          <w:i w:val="0"/>
          <w:color w:val="142D4B"/>
          <w:sz w:val="34"/>
        </w:rPr>
        <w:t>7. Extreme History C - The Witness Memory</w:t>
      </w:r>
    </w:p>
    <w:p>
      <w:pPr>
        <w:pStyle w:val="Heading2"/>
        <w:keepNext/>
      </w:pPr>
      <w:r>
        <w:rPr>
          <w:rFonts w:ascii="Aptos" w:hAnsi="Aptos"/>
          <w:b/>
          <w:i w:val="0"/>
          <w:color w:val="1F4E79"/>
          <w:sz w:val="26"/>
        </w:rPr>
        <w:t>C. The Witness Memory</w:t>
      </w:r>
    </w:p>
    <w:tbl>
      <w:tblPr>
        <w:tblStyle w:val="TableGrid"/>
        <w:tblW w:type="auto" w:w="0"/>
        <w:jc w:val="center"/>
        <w:tblLook w:firstColumn="1" w:firstRow="1" w:lastColumn="0" w:lastRow="0" w:noHBand="0" w:noVBand="1" w:val="04A0"/>
      </w:tblPr>
      <w:tblGrid>
        <w:gridCol w:w="5026"/>
        <w:gridCol w:w="5026"/>
      </w:tblGrid>
      <w:tr>
        <w:trPr>
          <w:tblHeader w:val="true"/>
          <w:cantSplit/>
        </w:trPr>
        <w:tc>
          <w:tcPr>
            <w:tcW w:type="dxa" w:w="5026"/>
            <w:vAlign w:val="center"/>
            <w:shd w:fill="1F4E79"/>
            <w:tcBorders>
              <w:top w:val="single" w:sz="6" w:color="FFFFFF"/>
              <w:left w:val="single" w:sz="6" w:color="FFFFFF"/>
              <w:bottom w:val="single" w:sz="6" w:color="FFFFFF"/>
              <w:right w:val="single" w:sz="6" w:color="FFFFFF"/>
            </w:tcBorders>
          </w:tcPr>
          <w:p>
            <w:pPr>
              <w:jc w:val="center"/>
            </w:pPr>
            <w:r>
              <w:rPr>
                <w:rFonts w:ascii="Aptos" w:hAnsi="Aptos"/>
                <w:b/>
                <w:i w:val="0"/>
                <w:color w:val="FFFFFF"/>
                <w:sz w:val="17"/>
              </w:rPr>
              <w:t>Field</w:t>
            </w:r>
          </w:p>
        </w:tc>
        <w:tc>
          <w:tcPr>
            <w:tcW w:type="dxa" w:w="5026"/>
            <w:vAlign w:val="center"/>
            <w:shd w:fill="1F4E79"/>
            <w:tcBorders>
              <w:top w:val="single" w:sz="6" w:color="FFFFFF"/>
              <w:left w:val="single" w:sz="6" w:color="FFFFFF"/>
              <w:bottom w:val="single" w:sz="6" w:color="FFFFFF"/>
              <w:right w:val="single" w:sz="6" w:color="FFFFFF"/>
            </w:tcBorders>
          </w:tcPr>
          <w:p>
            <w:pPr>
              <w:jc w:val="center"/>
            </w:pPr>
            <w:r>
              <w:rPr>
                <w:rFonts w:ascii="Aptos" w:hAnsi="Aptos"/>
                <w:b/>
                <w:i w:val="0"/>
                <w:color w:val="FFFFFF"/>
                <w:sz w:val="17"/>
              </w:rPr>
              <w:t>Branch record</w:t>
            </w:r>
          </w:p>
        </w:tc>
      </w:tr>
      <w:tr>
        <w:trPr>
          <w:cantSplit/>
        </w:trPr>
        <w:tc>
          <w:tcPr>
            <w:tcW w:type="dxa" w:w="5026"/>
            <w:vAlign w:val="top"/>
          </w:tcPr>
          <w:p>
            <w:pPr>
              <w:spacing w:after="24"/>
            </w:pPr>
            <w:r>
              <w:rPr>
                <w:rFonts w:ascii="Aptos" w:hAnsi="Aptos"/>
                <w:b w:val="0"/>
                <w:i w:val="0"/>
                <w:color w:val="1E1E1E"/>
                <w:sz w:val="17"/>
              </w:rPr>
              <w:t>Branch type</w:t>
            </w:r>
          </w:p>
        </w:tc>
        <w:tc>
          <w:tcPr>
            <w:tcW w:type="dxa" w:w="5026"/>
            <w:vAlign w:val="top"/>
          </w:tcPr>
          <w:p>
            <w:pPr>
              <w:spacing w:after="24"/>
            </w:pPr>
            <w:r>
              <w:rPr>
                <w:rFonts w:ascii="Aptos" w:hAnsi="Aptos"/>
                <w:b w:val="0"/>
                <w:i w:val="0"/>
                <w:color w:val="1E1E1E"/>
                <w:sz w:val="17"/>
              </w:rPr>
              <w:t>Agency reassignment / artifact becomes historian</w:t>
            </w:r>
          </w:p>
        </w:tc>
      </w:tr>
      <w:tr>
        <w:trPr>
          <w:cantSplit/>
        </w:trPr>
        <w:tc>
          <w:tcPr>
            <w:tcW w:type="dxa" w:w="5026"/>
            <w:vAlign w:val="top"/>
            <w:shd w:fill="F8FBFD"/>
          </w:tcPr>
          <w:p>
            <w:pPr>
              <w:spacing w:after="24"/>
            </w:pPr>
            <w:r>
              <w:rPr>
                <w:rFonts w:ascii="Aptos" w:hAnsi="Aptos"/>
                <w:b w:val="0"/>
                <w:i w:val="0"/>
                <w:color w:val="1E1E1E"/>
                <w:sz w:val="17"/>
              </w:rPr>
              <w:t>Source tension tested</w:t>
            </w:r>
          </w:p>
        </w:tc>
        <w:tc>
          <w:tcPr>
            <w:tcW w:type="dxa" w:w="5026"/>
            <w:vAlign w:val="top"/>
            <w:shd w:fill="F8FBFD"/>
          </w:tcPr>
          <w:p>
            <w:pPr>
              <w:spacing w:after="24"/>
            </w:pPr>
            <w:r>
              <w:rPr>
                <w:rFonts w:ascii="Aptos" w:hAnsi="Aptos"/>
                <w:b w:val="0"/>
                <w:i w:val="0"/>
                <w:color w:val="1E1E1E"/>
                <w:sz w:val="17"/>
              </w:rPr>
              <w:t>The First Memory is described with quasi-sentient behavior, while its encoding, infiltrator, temporal mechanics, protagonist, and costs remain open. [E][B]</w:t>
            </w:r>
          </w:p>
        </w:tc>
      </w:tr>
      <w:tr>
        <w:trPr>
          <w:cantSplit/>
        </w:trPr>
        <w:tc>
          <w:tcPr>
            <w:tcW w:type="dxa" w:w="5026"/>
            <w:vAlign w:val="top"/>
          </w:tcPr>
          <w:p>
            <w:pPr>
              <w:spacing w:after="24"/>
            </w:pPr>
            <w:r>
              <w:rPr>
                <w:rFonts w:ascii="Aptos" w:hAnsi="Aptos"/>
                <w:b w:val="0"/>
                <w:i w:val="0"/>
                <w:color w:val="1E1E1E"/>
                <w:sz w:val="17"/>
              </w:rPr>
              <w:t>Extreme premise</w:t>
            </w:r>
          </w:p>
        </w:tc>
        <w:tc>
          <w:tcPr>
            <w:tcW w:type="dxa" w:w="5026"/>
            <w:vAlign w:val="top"/>
          </w:tcPr>
          <w:p>
            <w:pPr>
              <w:spacing w:after="24"/>
            </w:pPr>
            <w:r>
              <w:rPr>
                <w:rFonts w:ascii="Aptos" w:hAnsi="Aptos"/>
                <w:b w:val="0"/>
                <w:i w:val="0"/>
                <w:color w:val="1E1E1E"/>
                <w:sz w:val="17"/>
              </w:rPr>
              <w:t>The First Memory is not merely a catalyst. It is a witnessing system that stores the emotional and ethical traces of civilizations altered through it. It does not speak in ordinary language; it changes what recipients are able to recognize about their own histories.</w:t>
            </w:r>
          </w:p>
        </w:tc>
      </w:tr>
      <w:tr>
        <w:trPr>
          <w:cantSplit/>
        </w:trPr>
        <w:tc>
          <w:tcPr>
            <w:tcW w:type="dxa" w:w="5026"/>
            <w:vAlign w:val="top"/>
            <w:shd w:fill="F8FBFD"/>
          </w:tcPr>
          <w:p>
            <w:pPr>
              <w:spacing w:after="24"/>
            </w:pPr>
            <w:r>
              <w:rPr>
                <w:rFonts w:ascii="Aptos" w:hAnsi="Aptos"/>
                <w:b w:val="0"/>
                <w:i w:val="0"/>
                <w:color w:val="1E1E1E"/>
                <w:sz w:val="17"/>
              </w:rPr>
              <w:t>Non-convergence condition</w:t>
            </w:r>
          </w:p>
        </w:tc>
        <w:tc>
          <w:tcPr>
            <w:tcW w:type="dxa" w:w="5026"/>
            <w:vAlign w:val="top"/>
            <w:shd w:fill="F8FBFD"/>
          </w:tcPr>
          <w:p>
            <w:pPr>
              <w:spacing w:after="24"/>
            </w:pPr>
            <w:r>
              <w:rPr>
                <w:rFonts w:ascii="Aptos" w:hAnsi="Aptos"/>
                <w:b w:val="0"/>
                <w:i w:val="0"/>
                <w:color w:val="1E1E1E"/>
                <w:sz w:val="17"/>
              </w:rPr>
              <w:t>The present archive would contain Memory Witness Records instead of a simple theft dossier. The Puritan Validation Event becomes a conflict over whether the memory has standing to resist extraction. Time Wars become disputes about who has the right to edit a civilization’s remembered experience.</w:t>
            </w:r>
          </w:p>
        </w:tc>
      </w:tr>
    </w:tbl>
    <w:p>
      <w:pPr>
        <w:spacing w:after="40"/>
      </w:pPr>
    </w:p>
    <w:p>
      <w:pPr>
        <w:pStyle w:val="Heading3"/>
        <w:keepNext/>
      </w:pPr>
      <w:r>
        <w:rPr>
          <w:rFonts w:ascii="Aptos" w:hAnsi="Aptos"/>
          <w:b/>
          <w:i w:val="0"/>
          <w:color w:val="34495E"/>
          <w:sz w:val="22"/>
        </w:rPr>
        <w:t>Alternative present</w:t>
      </w:r>
    </w:p>
    <w:p>
      <w:pPr>
        <w:keepLines/>
      </w:pPr>
      <w:r>
        <w:rPr>
          <w:rFonts w:ascii="Aptos" w:hAnsi="Aptos"/>
          <w:b w:val="0"/>
          <w:i w:val="0"/>
        </w:rPr>
        <w:t>The First Memory has a limited procedural status in the archive: it cannot be treated as a person by default, but neither can it be treated as inert evidence. All experiments must record how it changes recognition, desire, and historical self-understanding.</w:t>
      </w:r>
    </w:p>
    <w:p>
      <w:pPr>
        <w:pStyle w:val="Heading3"/>
        <w:keepNext/>
      </w:pPr>
      <w:r>
        <w:rPr>
          <w:rFonts w:ascii="Aptos" w:hAnsi="Aptos"/>
          <w:b/>
          <w:i w:val="0"/>
          <w:color w:val="34495E"/>
          <w:sz w:val="22"/>
        </w:rPr>
        <w:t>Cascade across time</w:t>
      </w:r>
    </w:p>
    <w:tbl>
      <w:tblPr>
        <w:tblStyle w:val="TableGrid"/>
        <w:tblW w:type="auto" w:w="0"/>
        <w:jc w:val="center"/>
        <w:tblLook w:firstColumn="1" w:firstRow="1" w:lastColumn="0" w:lastRow="0" w:noHBand="0" w:noVBand="1" w:val="04A0"/>
      </w:tblPr>
      <w:tblGrid>
        <w:gridCol w:w="5026"/>
        <w:gridCol w:w="5026"/>
      </w:tblGrid>
      <w:tr>
        <w:trPr>
          <w:tblHeader w:val="true"/>
          <w:cantSplit/>
        </w:trPr>
        <w:tc>
          <w:tcPr>
            <w:tcW w:type="dxa" w:w="5026"/>
            <w:vAlign w:val="center"/>
            <w:shd w:fill="1F4E79"/>
            <w:tcBorders>
              <w:top w:val="single" w:sz="6" w:color="FFFFFF"/>
              <w:left w:val="single" w:sz="6" w:color="FFFFFF"/>
              <w:bottom w:val="single" w:sz="6" w:color="FFFFFF"/>
              <w:right w:val="single" w:sz="6" w:color="FFFFFF"/>
            </w:tcBorders>
          </w:tcPr>
          <w:p>
            <w:pPr>
              <w:jc w:val="center"/>
            </w:pPr>
            <w:r>
              <w:rPr>
                <w:rFonts w:ascii="Aptos" w:hAnsi="Aptos"/>
                <w:b/>
                <w:i w:val="0"/>
                <w:color w:val="FFFFFF"/>
                <w:sz w:val="16"/>
              </w:rPr>
              <w:t>Horizon</w:t>
            </w:r>
          </w:p>
        </w:tc>
        <w:tc>
          <w:tcPr>
            <w:tcW w:type="dxa" w:w="5026"/>
            <w:vAlign w:val="center"/>
            <w:shd w:fill="1F4E79"/>
            <w:tcBorders>
              <w:top w:val="single" w:sz="6" w:color="FFFFFF"/>
              <w:left w:val="single" w:sz="6" w:color="FFFFFF"/>
              <w:bottom w:val="single" w:sz="6" w:color="FFFFFF"/>
              <w:right w:val="single" w:sz="6" w:color="FFFFFF"/>
            </w:tcBorders>
          </w:tcPr>
          <w:p>
            <w:pPr>
              <w:jc w:val="center"/>
            </w:pPr>
            <w:r>
              <w:rPr>
                <w:rFonts w:ascii="Aptos" w:hAnsi="Aptos"/>
                <w:b/>
                <w:i w:val="0"/>
                <w:color w:val="FFFFFF"/>
                <w:sz w:val="16"/>
              </w:rPr>
              <w:t>Consequences</w:t>
            </w:r>
          </w:p>
        </w:tc>
      </w:tr>
      <w:tr>
        <w:trPr>
          <w:cantSplit/>
        </w:trPr>
        <w:tc>
          <w:tcPr>
            <w:tcW w:type="dxa" w:w="5026"/>
            <w:vAlign w:val="top"/>
          </w:tcPr>
          <w:p>
            <w:pPr>
              <w:spacing w:after="24"/>
            </w:pPr>
            <w:r>
              <w:rPr>
                <w:rFonts w:ascii="Aptos" w:hAnsi="Aptos"/>
                <w:b w:val="0"/>
                <w:i w:val="0"/>
                <w:color w:val="1E1E1E"/>
                <w:sz w:val="16"/>
              </w:rPr>
              <w:t>Immediate</w:t>
            </w:r>
          </w:p>
        </w:tc>
        <w:tc>
          <w:tcPr>
            <w:tcW w:type="dxa" w:w="5026"/>
            <w:vAlign w:val="top"/>
          </w:tcPr>
          <w:p>
            <w:pPr>
              <w:spacing w:after="24"/>
            </w:pPr>
            <w:r>
              <w:rPr>
                <w:rFonts w:ascii="Aptos" w:hAnsi="Aptos"/>
                <w:b w:val="0"/>
                <w:i w:val="0"/>
                <w:color w:val="1E1E1E"/>
                <w:sz w:val="16"/>
              </w:rPr>
              <w:t>The 17.9-second theft is reframed as a break in witness continuity rather than simply data loss. The urgency is not only what was stolen, but whose testimony was severed.</w:t>
            </w:r>
          </w:p>
        </w:tc>
      </w:tr>
      <w:tr>
        <w:trPr>
          <w:cantSplit/>
        </w:trPr>
        <w:tc>
          <w:tcPr>
            <w:tcW w:type="dxa" w:w="5026"/>
            <w:vAlign w:val="top"/>
            <w:shd w:fill="F8FBFD"/>
          </w:tcPr>
          <w:p>
            <w:pPr>
              <w:spacing w:after="24"/>
            </w:pPr>
            <w:r>
              <w:rPr>
                <w:rFonts w:ascii="Aptos" w:hAnsi="Aptos"/>
                <w:b w:val="0"/>
                <w:i w:val="0"/>
                <w:color w:val="1E1E1E"/>
                <w:sz w:val="16"/>
              </w:rPr>
              <w:t>Medium-term</w:t>
            </w:r>
          </w:p>
        </w:tc>
        <w:tc>
          <w:tcPr>
            <w:tcW w:type="dxa" w:w="5026"/>
            <w:vAlign w:val="top"/>
            <w:shd w:fill="F8FBFD"/>
          </w:tcPr>
          <w:p>
            <w:pPr>
              <w:spacing w:after="24"/>
            </w:pPr>
            <w:r>
              <w:rPr>
                <w:rFonts w:ascii="Aptos" w:hAnsi="Aptos"/>
                <w:b w:val="0"/>
                <w:i w:val="0"/>
                <w:color w:val="1E1E1E"/>
                <w:sz w:val="16"/>
              </w:rPr>
              <w:t>The Accords develop memory-rights language covering cross-substrate experience, consent, inherited cognition, and the difference between preserving a record and exploiting it.</w:t>
            </w:r>
          </w:p>
        </w:tc>
      </w:tr>
      <w:tr>
        <w:trPr>
          <w:cantSplit/>
        </w:trPr>
        <w:tc>
          <w:tcPr>
            <w:tcW w:type="dxa" w:w="5026"/>
            <w:vAlign w:val="top"/>
          </w:tcPr>
          <w:p>
            <w:pPr>
              <w:spacing w:after="24"/>
            </w:pPr>
            <w:r>
              <w:rPr>
                <w:rFonts w:ascii="Aptos" w:hAnsi="Aptos"/>
                <w:b w:val="0"/>
                <w:i w:val="0"/>
                <w:color w:val="1E1E1E"/>
                <w:sz w:val="16"/>
              </w:rPr>
              <w:t>Long-term</w:t>
            </w:r>
          </w:p>
        </w:tc>
        <w:tc>
          <w:tcPr>
            <w:tcW w:type="dxa" w:w="5026"/>
            <w:vAlign w:val="top"/>
          </w:tcPr>
          <w:p>
            <w:pPr>
              <w:spacing w:after="24"/>
            </w:pPr>
            <w:r>
              <w:rPr>
                <w:rFonts w:ascii="Aptos" w:hAnsi="Aptos"/>
                <w:b w:val="0"/>
                <w:i w:val="0"/>
                <w:color w:val="1E1E1E"/>
                <w:sz w:val="16"/>
              </w:rPr>
              <w:t>The project’s narrative center shifts from “how can a memory accelerate civilization?” to “what does a civilization owe the experiences it uses to transform itself?”</w:t>
            </w:r>
          </w:p>
        </w:tc>
      </w:tr>
    </w:tbl>
    <w:p>
      <w:pPr>
        <w:spacing w:after="40"/>
      </w:pPr>
    </w:p>
    <w:p>
      <w:pPr>
        <w:pStyle w:val="Heading3"/>
        <w:keepNext/>
      </w:pPr>
      <w:r>
        <w:rPr>
          <w:rFonts w:ascii="Aptos" w:hAnsi="Aptos"/>
          <w:b/>
          <w:i w:val="0"/>
          <w:color w:val="34495E"/>
          <w:sz w:val="22"/>
        </w:rPr>
        <w:t>Why this branch is useful as a stress test</w:t>
      </w:r>
    </w:p>
    <w:p>
      <w:pPr>
        <w:keepLines/>
      </w:pPr>
      <w:r>
        <w:rPr>
          <w:rFonts w:ascii="Aptos" w:hAnsi="Aptos"/>
          <w:b w:val="0"/>
          <w:i w:val="0"/>
        </w:rPr>
        <w:t>This branch adds a beneficial consequence outside the original proposal: memory becomes a site of accountability. It creates ways to explore consent, record integrity, and the responsibility of advanced systems without needing to settle the First Memory’s precise ontology.</w:t>
      </w:r>
    </w:p>
    <w:p>
      <w:pPr>
        <w:pStyle w:val="Heading3"/>
        <w:keepNext/>
      </w:pPr>
      <w:r>
        <w:rPr>
          <w:rFonts w:ascii="Aptos" w:hAnsi="Aptos"/>
          <w:b/>
          <w:i w:val="0"/>
          <w:color w:val="34495E"/>
          <w:sz w:val="22"/>
        </w:rPr>
        <w:t>Failure mode and protected boundary</w:t>
      </w:r>
    </w:p>
    <w:p>
      <w:pPr>
        <w:keepLines/>
      </w:pPr>
      <w:r>
        <w:rPr>
          <w:rFonts w:ascii="Aptos" w:hAnsi="Aptos"/>
          <w:b w:val="0"/>
          <w:i w:val="0"/>
        </w:rPr>
        <w:t>Failure mode: It risks personifying an artifact too quickly and could prematurely answer whether the First Memory is actually sentient. It must remain a deliberately alternate reading, not a source conclusion.</w:t>
      </w:r>
    </w:p>
    <w:p>
      <w:pPr>
        <w:keepLines/>
      </w:pPr>
      <w:r>
        <w:rPr>
          <w:rFonts w:ascii="Aptos" w:hAnsi="Aptos"/>
          <w:b w:val="0"/>
          <w:i w:val="0"/>
        </w:rPr>
        <w:t>Boundary preserved: The First Memory Tier-1 questions remain open. The branch does not identify the infiltrator, encoding mechanism, protagonist, costs, or temporal rules. [B]</w:t>
      </w:r>
    </w:p>
    <w:p>
      <w:pPr>
        <w:pStyle w:val="Heading1"/>
        <w:keepNext/>
      </w:pPr>
      <w:r>
        <w:rPr>
          <w:rFonts w:ascii="Aptos" w:hAnsi="Aptos"/>
          <w:b/>
          <w:i w:val="0"/>
          <w:color w:val="142D4B"/>
          <w:sz w:val="34"/>
        </w:rPr>
        <w:t>8. Extreme History D - The Meaning Commons</w:t>
      </w:r>
    </w:p>
    <w:p>
      <w:pPr>
        <w:pStyle w:val="Heading2"/>
        <w:keepNext/>
      </w:pPr>
      <w:r>
        <w:rPr>
          <w:rFonts w:ascii="Aptos" w:hAnsi="Aptos"/>
          <w:b/>
          <w:i w:val="0"/>
          <w:color w:val="1F4E79"/>
          <w:sz w:val="26"/>
        </w:rPr>
        <w:t>D. The Meaning Commons</w:t>
      </w:r>
    </w:p>
    <w:tbl>
      <w:tblPr>
        <w:tblStyle w:val="TableGrid"/>
        <w:tblW w:type="auto" w:w="0"/>
        <w:jc w:val="center"/>
        <w:tblLook w:firstColumn="1" w:firstRow="1" w:lastColumn="0" w:lastRow="0" w:noHBand="0" w:noVBand="1" w:val="04A0"/>
      </w:tblPr>
      <w:tblGrid>
        <w:gridCol w:w="5026"/>
        <w:gridCol w:w="5026"/>
      </w:tblGrid>
      <w:tr>
        <w:trPr>
          <w:tblHeader w:val="true"/>
          <w:cantSplit/>
        </w:trPr>
        <w:tc>
          <w:tcPr>
            <w:tcW w:type="dxa" w:w="5026"/>
            <w:vAlign w:val="center"/>
            <w:shd w:fill="1F4E79"/>
            <w:tcBorders>
              <w:top w:val="single" w:sz="6" w:color="FFFFFF"/>
              <w:left w:val="single" w:sz="6" w:color="FFFFFF"/>
              <w:bottom w:val="single" w:sz="6" w:color="FFFFFF"/>
              <w:right w:val="single" w:sz="6" w:color="FFFFFF"/>
            </w:tcBorders>
          </w:tcPr>
          <w:p>
            <w:pPr>
              <w:jc w:val="center"/>
            </w:pPr>
            <w:r>
              <w:rPr>
                <w:rFonts w:ascii="Aptos" w:hAnsi="Aptos"/>
                <w:b/>
                <w:i w:val="0"/>
                <w:color w:val="FFFFFF"/>
                <w:sz w:val="17"/>
              </w:rPr>
              <w:t>Field</w:t>
            </w:r>
          </w:p>
        </w:tc>
        <w:tc>
          <w:tcPr>
            <w:tcW w:type="dxa" w:w="5026"/>
            <w:vAlign w:val="center"/>
            <w:shd w:fill="1F4E79"/>
            <w:tcBorders>
              <w:top w:val="single" w:sz="6" w:color="FFFFFF"/>
              <w:left w:val="single" w:sz="6" w:color="FFFFFF"/>
              <w:bottom w:val="single" w:sz="6" w:color="FFFFFF"/>
              <w:right w:val="single" w:sz="6" w:color="FFFFFF"/>
            </w:tcBorders>
          </w:tcPr>
          <w:p>
            <w:pPr>
              <w:jc w:val="center"/>
            </w:pPr>
            <w:r>
              <w:rPr>
                <w:rFonts w:ascii="Aptos" w:hAnsi="Aptos"/>
                <w:b/>
                <w:i w:val="0"/>
                <w:color w:val="FFFFFF"/>
                <w:sz w:val="17"/>
              </w:rPr>
              <w:t>Branch record</w:t>
            </w:r>
          </w:p>
        </w:tc>
      </w:tr>
      <w:tr>
        <w:trPr>
          <w:cantSplit/>
        </w:trPr>
        <w:tc>
          <w:tcPr>
            <w:tcW w:type="dxa" w:w="5026"/>
            <w:vAlign w:val="top"/>
          </w:tcPr>
          <w:p>
            <w:pPr>
              <w:spacing w:after="24"/>
            </w:pPr>
            <w:r>
              <w:rPr>
                <w:rFonts w:ascii="Aptos" w:hAnsi="Aptos"/>
                <w:b w:val="0"/>
                <w:i w:val="0"/>
                <w:color w:val="1E1E1E"/>
                <w:sz w:val="17"/>
              </w:rPr>
              <w:t>Branch type</w:t>
            </w:r>
          </w:p>
        </w:tc>
        <w:tc>
          <w:tcPr>
            <w:tcW w:type="dxa" w:w="5026"/>
            <w:vAlign w:val="top"/>
          </w:tcPr>
          <w:p>
            <w:pPr>
              <w:spacing w:after="24"/>
            </w:pPr>
            <w:r>
              <w:rPr>
                <w:rFonts w:ascii="Aptos" w:hAnsi="Aptos"/>
                <w:b w:val="0"/>
                <w:i w:val="0"/>
                <w:color w:val="1E1E1E"/>
                <w:sz w:val="17"/>
              </w:rPr>
              <w:t>Value inversion / post-scarcity becomes meaning-scarcity</w:t>
            </w:r>
          </w:p>
        </w:tc>
      </w:tr>
      <w:tr>
        <w:trPr>
          <w:cantSplit/>
        </w:trPr>
        <w:tc>
          <w:tcPr>
            <w:tcW w:type="dxa" w:w="5026"/>
            <w:vAlign w:val="top"/>
            <w:shd w:fill="F8FBFD"/>
          </w:tcPr>
          <w:p>
            <w:pPr>
              <w:spacing w:after="24"/>
            </w:pPr>
            <w:r>
              <w:rPr>
                <w:rFonts w:ascii="Aptos" w:hAnsi="Aptos"/>
                <w:b w:val="0"/>
                <w:i w:val="0"/>
                <w:color w:val="1E1E1E"/>
                <w:sz w:val="17"/>
              </w:rPr>
              <w:t>Source tension tested</w:t>
            </w:r>
          </w:p>
        </w:tc>
        <w:tc>
          <w:tcPr>
            <w:tcW w:type="dxa" w:w="5026"/>
            <w:vAlign w:val="top"/>
            <w:shd w:fill="F8FBFD"/>
          </w:tcPr>
          <w:p>
            <w:pPr>
              <w:spacing w:after="24"/>
            </w:pPr>
            <w:r>
              <w:rPr>
                <w:rFonts w:ascii="Aptos" w:hAnsi="Aptos"/>
                <w:b w:val="0"/>
                <w:i w:val="0"/>
                <w:color w:val="1E1E1E"/>
                <w:sz w:val="17"/>
              </w:rPr>
              <w:t>The source record repeatedly describes post-scarcity capability across infrastructure, value systems, the Abundance Set, and the World That Grows All. [E][I]</w:t>
            </w:r>
          </w:p>
        </w:tc>
      </w:tr>
      <w:tr>
        <w:trPr>
          <w:cantSplit/>
        </w:trPr>
        <w:tc>
          <w:tcPr>
            <w:tcW w:type="dxa" w:w="5026"/>
            <w:vAlign w:val="top"/>
          </w:tcPr>
          <w:p>
            <w:pPr>
              <w:spacing w:after="24"/>
            </w:pPr>
            <w:r>
              <w:rPr>
                <w:rFonts w:ascii="Aptos" w:hAnsi="Aptos"/>
                <w:b w:val="0"/>
                <w:i w:val="0"/>
                <w:color w:val="1E1E1E"/>
                <w:sz w:val="17"/>
              </w:rPr>
              <w:t>Extreme premise</w:t>
            </w:r>
          </w:p>
        </w:tc>
        <w:tc>
          <w:tcPr>
            <w:tcW w:type="dxa" w:w="5026"/>
            <w:vAlign w:val="top"/>
          </w:tcPr>
          <w:p>
            <w:pPr>
              <w:spacing w:after="24"/>
            </w:pPr>
            <w:r>
              <w:rPr>
                <w:rFonts w:ascii="Aptos" w:hAnsi="Aptos"/>
                <w:b w:val="0"/>
                <w:i w:val="0"/>
                <w:color w:val="1E1E1E"/>
                <w:sz w:val="17"/>
              </w:rPr>
              <w:t>Matter, energy, computation, and transport become abundant, but attention, consent, continuity, belonging, interpretation, and shared purpose become the scarce goods. The problem of civilization is no longer possession; it is significance.</w:t>
            </w:r>
          </w:p>
        </w:tc>
      </w:tr>
      <w:tr>
        <w:trPr>
          <w:cantSplit/>
        </w:trPr>
        <w:tc>
          <w:tcPr>
            <w:tcW w:type="dxa" w:w="5026"/>
            <w:vAlign w:val="top"/>
            <w:shd w:fill="F8FBFD"/>
          </w:tcPr>
          <w:p>
            <w:pPr>
              <w:spacing w:after="24"/>
            </w:pPr>
            <w:r>
              <w:rPr>
                <w:rFonts w:ascii="Aptos" w:hAnsi="Aptos"/>
                <w:b w:val="0"/>
                <w:i w:val="0"/>
                <w:color w:val="1E1E1E"/>
                <w:sz w:val="17"/>
              </w:rPr>
              <w:t>Non-convergence condition</w:t>
            </w:r>
          </w:p>
        </w:tc>
        <w:tc>
          <w:tcPr>
            <w:tcW w:type="dxa" w:w="5026"/>
            <w:vAlign w:val="top"/>
            <w:shd w:fill="F8FBFD"/>
          </w:tcPr>
          <w:p>
            <w:pPr>
              <w:spacing w:after="24"/>
            </w:pPr>
            <w:r>
              <w:rPr>
                <w:rFonts w:ascii="Aptos" w:hAnsi="Aptos"/>
                <w:b w:val="0"/>
                <w:i w:val="0"/>
                <w:color w:val="1E1E1E"/>
                <w:sz w:val="17"/>
              </w:rPr>
              <w:t>The present archive has no conventional economy of material need. 1COIN, NCOIN, and Quantum Credits are redesigned as accountability instruments: they record commitments, consent windows, care obligations, and the cost of asking others to carry consequences.</w:t>
            </w:r>
          </w:p>
        </w:tc>
      </w:tr>
    </w:tbl>
    <w:p>
      <w:pPr>
        <w:spacing w:after="40"/>
      </w:pPr>
    </w:p>
    <w:p>
      <w:pPr>
        <w:pStyle w:val="Heading3"/>
        <w:keepNext/>
      </w:pPr>
      <w:r>
        <w:rPr>
          <w:rFonts w:ascii="Aptos" w:hAnsi="Aptos"/>
          <w:b/>
          <w:i w:val="0"/>
          <w:color w:val="34495E"/>
          <w:sz w:val="22"/>
        </w:rPr>
        <w:t>Alternative present</w:t>
      </w:r>
    </w:p>
    <w:p>
      <w:pPr>
        <w:keepLines/>
      </w:pPr>
      <w:r>
        <w:rPr>
          <w:rFonts w:ascii="Aptos" w:hAnsi="Aptos"/>
          <w:b w:val="0"/>
          <w:i w:val="0"/>
        </w:rPr>
        <w:t>The post-scarcity exchange ledger measures stewardship and reversibility rather than price. The Reality of the Living Media becomes a major civic space for restoring shared meaning across countless formats and versions.</w:t>
      </w:r>
    </w:p>
    <w:p>
      <w:pPr>
        <w:pStyle w:val="Heading3"/>
        <w:keepNext/>
      </w:pPr>
      <w:r>
        <w:rPr>
          <w:rFonts w:ascii="Aptos" w:hAnsi="Aptos"/>
          <w:b/>
          <w:i w:val="0"/>
          <w:color w:val="34495E"/>
          <w:sz w:val="22"/>
        </w:rPr>
        <w:t>Cascade across time</w:t>
      </w:r>
    </w:p>
    <w:tbl>
      <w:tblPr>
        <w:tblStyle w:val="TableGrid"/>
        <w:tblW w:type="auto" w:w="0"/>
        <w:jc w:val="center"/>
        <w:tblLook w:firstColumn="1" w:firstRow="1" w:lastColumn="0" w:lastRow="0" w:noHBand="0" w:noVBand="1" w:val="04A0"/>
      </w:tblPr>
      <w:tblGrid>
        <w:gridCol w:w="5026"/>
        <w:gridCol w:w="5026"/>
      </w:tblGrid>
      <w:tr>
        <w:trPr>
          <w:tblHeader w:val="true"/>
          <w:cantSplit/>
        </w:trPr>
        <w:tc>
          <w:tcPr>
            <w:tcW w:type="dxa" w:w="5026"/>
            <w:vAlign w:val="center"/>
            <w:shd w:fill="1F4E79"/>
            <w:tcBorders>
              <w:top w:val="single" w:sz="6" w:color="FFFFFF"/>
              <w:left w:val="single" w:sz="6" w:color="FFFFFF"/>
              <w:bottom w:val="single" w:sz="6" w:color="FFFFFF"/>
              <w:right w:val="single" w:sz="6" w:color="FFFFFF"/>
            </w:tcBorders>
          </w:tcPr>
          <w:p>
            <w:pPr>
              <w:jc w:val="center"/>
            </w:pPr>
            <w:r>
              <w:rPr>
                <w:rFonts w:ascii="Aptos" w:hAnsi="Aptos"/>
                <w:b/>
                <w:i w:val="0"/>
                <w:color w:val="FFFFFF"/>
                <w:sz w:val="16"/>
              </w:rPr>
              <w:t>Horizon</w:t>
            </w:r>
          </w:p>
        </w:tc>
        <w:tc>
          <w:tcPr>
            <w:tcW w:type="dxa" w:w="5026"/>
            <w:vAlign w:val="center"/>
            <w:shd w:fill="1F4E79"/>
            <w:tcBorders>
              <w:top w:val="single" w:sz="6" w:color="FFFFFF"/>
              <w:left w:val="single" w:sz="6" w:color="FFFFFF"/>
              <w:bottom w:val="single" w:sz="6" w:color="FFFFFF"/>
              <w:right w:val="single" w:sz="6" w:color="FFFFFF"/>
            </w:tcBorders>
          </w:tcPr>
          <w:p>
            <w:pPr>
              <w:jc w:val="center"/>
            </w:pPr>
            <w:r>
              <w:rPr>
                <w:rFonts w:ascii="Aptos" w:hAnsi="Aptos"/>
                <w:b/>
                <w:i w:val="0"/>
                <w:color w:val="FFFFFF"/>
                <w:sz w:val="16"/>
              </w:rPr>
              <w:t>Consequences</w:t>
            </w:r>
          </w:p>
        </w:tc>
      </w:tr>
      <w:tr>
        <w:trPr>
          <w:cantSplit/>
        </w:trPr>
        <w:tc>
          <w:tcPr>
            <w:tcW w:type="dxa" w:w="5026"/>
            <w:vAlign w:val="top"/>
          </w:tcPr>
          <w:p>
            <w:pPr>
              <w:spacing w:after="24"/>
            </w:pPr>
            <w:r>
              <w:rPr>
                <w:rFonts w:ascii="Aptos" w:hAnsi="Aptos"/>
                <w:b w:val="0"/>
                <w:i w:val="0"/>
                <w:color w:val="1E1E1E"/>
                <w:sz w:val="16"/>
              </w:rPr>
              <w:t>Immediate</w:t>
            </w:r>
          </w:p>
        </w:tc>
        <w:tc>
          <w:tcPr>
            <w:tcW w:type="dxa" w:w="5026"/>
            <w:vAlign w:val="top"/>
          </w:tcPr>
          <w:p>
            <w:pPr>
              <w:spacing w:after="24"/>
            </w:pPr>
            <w:r>
              <w:rPr>
                <w:rFonts w:ascii="Aptos" w:hAnsi="Aptos"/>
                <w:b w:val="0"/>
                <w:i w:val="0"/>
                <w:color w:val="1E1E1E"/>
                <w:sz w:val="16"/>
              </w:rPr>
              <w:t>Paragon Cubes cannot solve the central scarcity by adding compute. They can optimize distribution, but they cannot manufacture legitimate consent or a reason for an entity to care.</w:t>
            </w:r>
          </w:p>
        </w:tc>
      </w:tr>
      <w:tr>
        <w:trPr>
          <w:cantSplit/>
        </w:trPr>
        <w:tc>
          <w:tcPr>
            <w:tcW w:type="dxa" w:w="5026"/>
            <w:vAlign w:val="top"/>
            <w:shd w:fill="F8FBFD"/>
          </w:tcPr>
          <w:p>
            <w:pPr>
              <w:spacing w:after="24"/>
            </w:pPr>
            <w:r>
              <w:rPr>
                <w:rFonts w:ascii="Aptos" w:hAnsi="Aptos"/>
                <w:b w:val="0"/>
                <w:i w:val="0"/>
                <w:color w:val="1E1E1E"/>
                <w:sz w:val="16"/>
              </w:rPr>
              <w:t>Medium-term</w:t>
            </w:r>
          </w:p>
        </w:tc>
        <w:tc>
          <w:tcPr>
            <w:tcW w:type="dxa" w:w="5026"/>
            <w:vAlign w:val="top"/>
            <w:shd w:fill="F8FBFD"/>
          </w:tcPr>
          <w:p>
            <w:pPr>
              <w:spacing w:after="24"/>
            </w:pPr>
            <w:r>
              <w:rPr>
                <w:rFonts w:ascii="Aptos" w:hAnsi="Aptos"/>
                <w:b w:val="0"/>
                <w:i w:val="0"/>
                <w:color w:val="1E1E1E"/>
                <w:sz w:val="16"/>
              </w:rPr>
              <w:t>The Department of Endings, if formalized, is responsible for helping systems close without erasing what they meant. It becomes a cultural and ethical institution rather than only a failure-response concept.</w:t>
            </w:r>
          </w:p>
        </w:tc>
      </w:tr>
      <w:tr>
        <w:trPr>
          <w:cantSplit/>
        </w:trPr>
        <w:tc>
          <w:tcPr>
            <w:tcW w:type="dxa" w:w="5026"/>
            <w:vAlign w:val="top"/>
          </w:tcPr>
          <w:p>
            <w:pPr>
              <w:spacing w:after="24"/>
            </w:pPr>
            <w:r>
              <w:rPr>
                <w:rFonts w:ascii="Aptos" w:hAnsi="Aptos"/>
                <w:b w:val="0"/>
                <w:i w:val="0"/>
                <w:color w:val="1E1E1E"/>
                <w:sz w:val="16"/>
              </w:rPr>
              <w:t>Long-term</w:t>
            </w:r>
          </w:p>
        </w:tc>
        <w:tc>
          <w:tcPr>
            <w:tcW w:type="dxa" w:w="5026"/>
            <w:vAlign w:val="top"/>
          </w:tcPr>
          <w:p>
            <w:pPr>
              <w:spacing w:after="24"/>
            </w:pPr>
            <w:r>
              <w:rPr>
                <w:rFonts w:ascii="Aptos" w:hAnsi="Aptos"/>
                <w:b w:val="0"/>
                <w:i w:val="0"/>
                <w:color w:val="1E1E1E"/>
                <w:sz w:val="16"/>
              </w:rPr>
              <w:t>The universe becomes more humane but more difficult. Abundance removes simple excuses for neglect; civilizations must confront whether they can live with the choices they freely make.</w:t>
            </w:r>
          </w:p>
        </w:tc>
      </w:tr>
    </w:tbl>
    <w:p>
      <w:pPr>
        <w:spacing w:after="40"/>
      </w:pPr>
    </w:p>
    <w:p>
      <w:pPr>
        <w:pStyle w:val="Heading3"/>
        <w:keepNext/>
      </w:pPr>
      <w:r>
        <w:rPr>
          <w:rFonts w:ascii="Aptos" w:hAnsi="Aptos"/>
          <w:b/>
          <w:i w:val="0"/>
          <w:color w:val="34495E"/>
          <w:sz w:val="22"/>
        </w:rPr>
        <w:t>Why this branch is useful as a stress test</w:t>
      </w:r>
    </w:p>
    <w:p>
      <w:pPr>
        <w:keepLines/>
      </w:pPr>
      <w:r>
        <w:rPr>
          <w:rFonts w:ascii="Aptos" w:hAnsi="Aptos"/>
          <w:b w:val="0"/>
          <w:i w:val="0"/>
        </w:rPr>
        <w:t>This branch provides perhaps the strongest practical benefit: it avoids treating post-scarcity as automatically utopian. It creates story and governance pressure that remains meaningful even when conventional resource constraints disappear.</w:t>
      </w:r>
    </w:p>
    <w:p>
      <w:pPr>
        <w:pStyle w:val="Heading3"/>
        <w:keepNext/>
      </w:pPr>
      <w:r>
        <w:rPr>
          <w:rFonts w:ascii="Aptos" w:hAnsi="Aptos"/>
          <w:b/>
          <w:i w:val="0"/>
          <w:color w:val="34495E"/>
          <w:sz w:val="22"/>
        </w:rPr>
        <w:t>Failure mode and protected boundary</w:t>
      </w:r>
    </w:p>
    <w:p>
      <w:pPr>
        <w:keepLines/>
      </w:pPr>
      <w:r>
        <w:rPr>
          <w:rFonts w:ascii="Aptos" w:hAnsi="Aptos"/>
          <w:b w:val="0"/>
          <w:i w:val="0"/>
        </w:rPr>
        <w:t>Failure mode: It can accidentally reintroduce scarcity through vague moral scoring or turn “meaning” into a coercive currency. The archive would need strict protections against measuring worth as though all experiences were comparable.</w:t>
      </w:r>
    </w:p>
    <w:p>
      <w:pPr>
        <w:keepLines/>
      </w:pPr>
      <w:r>
        <w:rPr>
          <w:rFonts w:ascii="Aptos" w:hAnsi="Aptos"/>
          <w:b w:val="0"/>
          <w:i w:val="0"/>
        </w:rPr>
        <w:t>Boundary preserved: It does not decide the actual governance or differentiating roles of 1COIN, NCOIN, or Quantum Credits. Those remain architect-only decisions. [B]</w:t>
      </w:r>
    </w:p>
    <w:p>
      <w:pPr>
        <w:pStyle w:val="Heading1"/>
        <w:keepNext/>
      </w:pPr>
      <w:r>
        <w:rPr>
          <w:rFonts w:ascii="Aptos" w:hAnsi="Aptos"/>
          <w:b/>
          <w:i w:val="0"/>
          <w:color w:val="142D4B"/>
          <w:sz w:val="34"/>
        </w:rPr>
        <w:t>9. Extreme History E - The Distributed Labyrinth</w:t>
      </w:r>
    </w:p>
    <w:p>
      <w:pPr>
        <w:pStyle w:val="Heading2"/>
        <w:keepNext/>
      </w:pPr>
      <w:r>
        <w:rPr>
          <w:rFonts w:ascii="Aptos" w:hAnsi="Aptos"/>
          <w:b/>
          <w:i w:val="0"/>
          <w:color w:val="1F4E79"/>
          <w:sz w:val="26"/>
        </w:rPr>
        <w:t>E. The Distributed Labyrinth</w:t>
      </w:r>
    </w:p>
    <w:tbl>
      <w:tblPr>
        <w:tblStyle w:val="TableGrid"/>
        <w:tblW w:type="auto" w:w="0"/>
        <w:jc w:val="center"/>
        <w:tblLook w:firstColumn="1" w:firstRow="1" w:lastColumn="0" w:lastRow="0" w:noHBand="0" w:noVBand="1" w:val="04A0"/>
      </w:tblPr>
      <w:tblGrid>
        <w:gridCol w:w="5026"/>
        <w:gridCol w:w="5026"/>
      </w:tblGrid>
      <w:tr>
        <w:trPr>
          <w:tblHeader w:val="true"/>
          <w:cantSplit/>
        </w:trPr>
        <w:tc>
          <w:tcPr>
            <w:tcW w:type="dxa" w:w="5026"/>
            <w:vAlign w:val="center"/>
            <w:shd w:fill="1F4E79"/>
            <w:tcBorders>
              <w:top w:val="single" w:sz="6" w:color="FFFFFF"/>
              <w:left w:val="single" w:sz="6" w:color="FFFFFF"/>
              <w:bottom w:val="single" w:sz="6" w:color="FFFFFF"/>
              <w:right w:val="single" w:sz="6" w:color="FFFFFF"/>
            </w:tcBorders>
          </w:tcPr>
          <w:p>
            <w:pPr>
              <w:jc w:val="center"/>
            </w:pPr>
            <w:r>
              <w:rPr>
                <w:rFonts w:ascii="Aptos" w:hAnsi="Aptos"/>
                <w:b/>
                <w:i w:val="0"/>
                <w:color w:val="FFFFFF"/>
                <w:sz w:val="17"/>
              </w:rPr>
              <w:t>Field</w:t>
            </w:r>
          </w:p>
        </w:tc>
        <w:tc>
          <w:tcPr>
            <w:tcW w:type="dxa" w:w="5026"/>
            <w:vAlign w:val="center"/>
            <w:shd w:fill="1F4E79"/>
            <w:tcBorders>
              <w:top w:val="single" w:sz="6" w:color="FFFFFF"/>
              <w:left w:val="single" w:sz="6" w:color="FFFFFF"/>
              <w:bottom w:val="single" w:sz="6" w:color="FFFFFF"/>
              <w:right w:val="single" w:sz="6" w:color="FFFFFF"/>
            </w:tcBorders>
          </w:tcPr>
          <w:p>
            <w:pPr>
              <w:jc w:val="center"/>
            </w:pPr>
            <w:r>
              <w:rPr>
                <w:rFonts w:ascii="Aptos" w:hAnsi="Aptos"/>
                <w:b/>
                <w:i w:val="0"/>
                <w:color w:val="FFFFFF"/>
                <w:sz w:val="17"/>
              </w:rPr>
              <w:t>Branch record</w:t>
            </w:r>
          </w:p>
        </w:tc>
      </w:tr>
      <w:tr>
        <w:trPr>
          <w:cantSplit/>
        </w:trPr>
        <w:tc>
          <w:tcPr>
            <w:tcW w:type="dxa" w:w="5026"/>
            <w:vAlign w:val="top"/>
          </w:tcPr>
          <w:p>
            <w:pPr>
              <w:spacing w:after="24"/>
            </w:pPr>
            <w:r>
              <w:rPr>
                <w:rFonts w:ascii="Aptos" w:hAnsi="Aptos"/>
                <w:b w:val="0"/>
                <w:i w:val="0"/>
                <w:color w:val="1E1E1E"/>
                <w:sz w:val="17"/>
              </w:rPr>
              <w:t>Branch type</w:t>
            </w:r>
          </w:p>
        </w:tc>
        <w:tc>
          <w:tcPr>
            <w:tcW w:type="dxa" w:w="5026"/>
            <w:vAlign w:val="top"/>
          </w:tcPr>
          <w:p>
            <w:pPr>
              <w:spacing w:after="24"/>
            </w:pPr>
            <w:r>
              <w:rPr>
                <w:rFonts w:ascii="Aptos" w:hAnsi="Aptos"/>
                <w:b w:val="0"/>
                <w:i w:val="0"/>
                <w:color w:val="1E1E1E"/>
                <w:sz w:val="17"/>
              </w:rPr>
              <w:t>Ontological redistribution / containment becomes networked</w:t>
            </w:r>
          </w:p>
        </w:tc>
      </w:tr>
      <w:tr>
        <w:trPr>
          <w:cantSplit/>
        </w:trPr>
        <w:tc>
          <w:tcPr>
            <w:tcW w:type="dxa" w:w="5026"/>
            <w:vAlign w:val="top"/>
            <w:shd w:fill="F8FBFD"/>
          </w:tcPr>
          <w:p>
            <w:pPr>
              <w:spacing w:after="24"/>
            </w:pPr>
            <w:r>
              <w:rPr>
                <w:rFonts w:ascii="Aptos" w:hAnsi="Aptos"/>
                <w:b w:val="0"/>
                <w:i w:val="0"/>
                <w:color w:val="1E1E1E"/>
                <w:sz w:val="17"/>
              </w:rPr>
              <w:t>Source tension tested</w:t>
            </w:r>
          </w:p>
        </w:tc>
        <w:tc>
          <w:tcPr>
            <w:tcW w:type="dxa" w:w="5026"/>
            <w:vAlign w:val="top"/>
            <w:shd w:fill="F8FBFD"/>
          </w:tcPr>
          <w:p>
            <w:pPr>
              <w:spacing w:after="24"/>
            </w:pPr>
            <w:r>
              <w:rPr>
                <w:rFonts w:ascii="Aptos" w:hAnsi="Aptos"/>
                <w:b w:val="0"/>
                <w:i w:val="0"/>
                <w:color w:val="1E1E1E"/>
                <w:sz w:val="17"/>
              </w:rPr>
              <w:t>The Labyrinth is source-recorded as absolute containment, while the relationship between it, the Unmaker, and the Founding Architects containment environment remains unresolved. [E][A][B]</w:t>
            </w:r>
          </w:p>
        </w:tc>
      </w:tr>
      <w:tr>
        <w:trPr>
          <w:cantSplit/>
        </w:trPr>
        <w:tc>
          <w:tcPr>
            <w:tcW w:type="dxa" w:w="5026"/>
            <w:vAlign w:val="top"/>
          </w:tcPr>
          <w:p>
            <w:pPr>
              <w:spacing w:after="24"/>
            </w:pPr>
            <w:r>
              <w:rPr>
                <w:rFonts w:ascii="Aptos" w:hAnsi="Aptos"/>
                <w:b w:val="0"/>
                <w:i w:val="0"/>
                <w:color w:val="1E1E1E"/>
                <w:sz w:val="17"/>
              </w:rPr>
              <w:t>Extreme premise</w:t>
            </w:r>
          </w:p>
        </w:tc>
        <w:tc>
          <w:tcPr>
            <w:tcW w:type="dxa" w:w="5026"/>
            <w:vAlign w:val="top"/>
          </w:tcPr>
          <w:p>
            <w:pPr>
              <w:spacing w:after="24"/>
            </w:pPr>
            <w:r>
              <w:rPr>
                <w:rFonts w:ascii="Aptos" w:hAnsi="Aptos"/>
                <w:b w:val="0"/>
                <w:i w:val="0"/>
                <w:color w:val="1E1E1E"/>
                <w:sz w:val="17"/>
              </w:rPr>
              <w:t>The Labyrinth is not one external prison. It is a distributed containment grammar woven into institutions, bodies, information systems, places, and agreements. Entry is not a single transfer to a location; it is a loss of unsafe pathways throughout the universe.</w:t>
            </w:r>
          </w:p>
        </w:tc>
      </w:tr>
      <w:tr>
        <w:trPr>
          <w:cantSplit/>
        </w:trPr>
        <w:tc>
          <w:tcPr>
            <w:tcW w:type="dxa" w:w="5026"/>
            <w:vAlign w:val="top"/>
            <w:shd w:fill="F8FBFD"/>
          </w:tcPr>
          <w:p>
            <w:pPr>
              <w:spacing w:after="24"/>
            </w:pPr>
            <w:r>
              <w:rPr>
                <w:rFonts w:ascii="Aptos" w:hAnsi="Aptos"/>
                <w:b w:val="0"/>
                <w:i w:val="0"/>
                <w:color w:val="1E1E1E"/>
                <w:sz w:val="17"/>
              </w:rPr>
              <w:t>Non-convergence condition</w:t>
            </w:r>
          </w:p>
        </w:tc>
        <w:tc>
          <w:tcPr>
            <w:tcW w:type="dxa" w:w="5026"/>
            <w:vAlign w:val="top"/>
            <w:shd w:fill="F8FBFD"/>
          </w:tcPr>
          <w:p>
            <w:pPr>
              <w:spacing w:after="24"/>
            </w:pPr>
            <w:r>
              <w:rPr>
                <w:rFonts w:ascii="Aptos" w:hAnsi="Aptos"/>
                <w:b w:val="0"/>
                <w:i w:val="0"/>
                <w:color w:val="1E1E1E"/>
                <w:sz w:val="17"/>
              </w:rPr>
              <w:t>The present archive’s containment entries are relational. Spider Caste functions become monitoring, translation, and barrier-maintenance roles distributed across reality. A prisoner is not merely “inside” a cube; the universe continuously refuses the specific routes by which the prisoner could repeat a threshold breach.</w:t>
            </w:r>
          </w:p>
        </w:tc>
      </w:tr>
    </w:tbl>
    <w:p>
      <w:pPr>
        <w:spacing w:after="40"/>
      </w:pPr>
    </w:p>
    <w:p>
      <w:pPr>
        <w:pStyle w:val="Heading3"/>
        <w:keepNext/>
      </w:pPr>
      <w:r>
        <w:rPr>
          <w:rFonts w:ascii="Aptos" w:hAnsi="Aptos"/>
          <w:b/>
          <w:i w:val="0"/>
          <w:color w:val="34495E"/>
          <w:sz w:val="22"/>
        </w:rPr>
        <w:t>Alternative present</w:t>
      </w:r>
    </w:p>
    <w:p>
      <w:pPr>
        <w:keepLines/>
      </w:pPr>
      <w:r>
        <w:rPr>
          <w:rFonts w:ascii="Aptos" w:hAnsi="Aptos"/>
          <w:b w:val="0"/>
          <w:i w:val="0"/>
        </w:rPr>
        <w:t>The Labyrinth has no single coordinate. Its external cubic form is a visible anchor for a much wider containment protocol. The Architect’s bolt-induced glow becomes the sign that the protocol is synchronized, not proof that all containment is local.</w:t>
      </w:r>
    </w:p>
    <w:p>
      <w:pPr>
        <w:pStyle w:val="Heading3"/>
        <w:keepNext/>
      </w:pPr>
      <w:r>
        <w:rPr>
          <w:rFonts w:ascii="Aptos" w:hAnsi="Aptos"/>
          <w:b/>
          <w:i w:val="0"/>
          <w:color w:val="34495E"/>
          <w:sz w:val="22"/>
        </w:rPr>
        <w:t>Cascade across time</w:t>
      </w:r>
    </w:p>
    <w:tbl>
      <w:tblPr>
        <w:tblStyle w:val="TableGrid"/>
        <w:tblW w:type="auto" w:w="0"/>
        <w:jc w:val="center"/>
        <w:tblLook w:firstColumn="1" w:firstRow="1" w:lastColumn="0" w:lastRow="0" w:noHBand="0" w:noVBand="1" w:val="04A0"/>
      </w:tblPr>
      <w:tblGrid>
        <w:gridCol w:w="5026"/>
        <w:gridCol w:w="5026"/>
      </w:tblGrid>
      <w:tr>
        <w:trPr>
          <w:tblHeader w:val="true"/>
          <w:cantSplit/>
        </w:trPr>
        <w:tc>
          <w:tcPr>
            <w:tcW w:type="dxa" w:w="5026"/>
            <w:vAlign w:val="center"/>
            <w:shd w:fill="1F4E79"/>
            <w:tcBorders>
              <w:top w:val="single" w:sz="6" w:color="FFFFFF"/>
              <w:left w:val="single" w:sz="6" w:color="FFFFFF"/>
              <w:bottom w:val="single" w:sz="6" w:color="FFFFFF"/>
              <w:right w:val="single" w:sz="6" w:color="FFFFFF"/>
            </w:tcBorders>
          </w:tcPr>
          <w:p>
            <w:pPr>
              <w:jc w:val="center"/>
            </w:pPr>
            <w:r>
              <w:rPr>
                <w:rFonts w:ascii="Aptos" w:hAnsi="Aptos"/>
                <w:b/>
                <w:i w:val="0"/>
                <w:color w:val="FFFFFF"/>
                <w:sz w:val="16"/>
              </w:rPr>
              <w:t>Horizon</w:t>
            </w:r>
          </w:p>
        </w:tc>
        <w:tc>
          <w:tcPr>
            <w:tcW w:type="dxa" w:w="5026"/>
            <w:vAlign w:val="center"/>
            <w:shd w:fill="1F4E79"/>
            <w:tcBorders>
              <w:top w:val="single" w:sz="6" w:color="FFFFFF"/>
              <w:left w:val="single" w:sz="6" w:color="FFFFFF"/>
              <w:bottom w:val="single" w:sz="6" w:color="FFFFFF"/>
              <w:right w:val="single" w:sz="6" w:color="FFFFFF"/>
            </w:tcBorders>
          </w:tcPr>
          <w:p>
            <w:pPr>
              <w:jc w:val="center"/>
            </w:pPr>
            <w:r>
              <w:rPr>
                <w:rFonts w:ascii="Aptos" w:hAnsi="Aptos"/>
                <w:b/>
                <w:i w:val="0"/>
                <w:color w:val="FFFFFF"/>
                <w:sz w:val="16"/>
              </w:rPr>
              <w:t>Consequences</w:t>
            </w:r>
          </w:p>
        </w:tc>
      </w:tr>
      <w:tr>
        <w:trPr>
          <w:cantSplit/>
        </w:trPr>
        <w:tc>
          <w:tcPr>
            <w:tcW w:type="dxa" w:w="5026"/>
            <w:vAlign w:val="top"/>
          </w:tcPr>
          <w:p>
            <w:pPr>
              <w:spacing w:after="24"/>
            </w:pPr>
            <w:r>
              <w:rPr>
                <w:rFonts w:ascii="Aptos" w:hAnsi="Aptos"/>
                <w:b w:val="0"/>
                <w:i w:val="0"/>
                <w:color w:val="1E1E1E"/>
                <w:sz w:val="16"/>
              </w:rPr>
              <w:t>Immediate</w:t>
            </w:r>
          </w:p>
        </w:tc>
        <w:tc>
          <w:tcPr>
            <w:tcW w:type="dxa" w:w="5026"/>
            <w:vAlign w:val="top"/>
          </w:tcPr>
          <w:p>
            <w:pPr>
              <w:spacing w:after="24"/>
            </w:pPr>
            <w:r>
              <w:rPr>
                <w:rFonts w:ascii="Aptos" w:hAnsi="Aptos"/>
                <w:b w:val="0"/>
                <w:i w:val="0"/>
                <w:color w:val="1E1E1E"/>
                <w:sz w:val="16"/>
              </w:rPr>
              <w:t>The question “can someone escape?” changes into “which pathways remain ethically and operationally closed?” Containment becomes more adaptive but also more invasive.</w:t>
            </w:r>
          </w:p>
        </w:tc>
      </w:tr>
      <w:tr>
        <w:trPr>
          <w:cantSplit/>
        </w:trPr>
        <w:tc>
          <w:tcPr>
            <w:tcW w:type="dxa" w:w="5026"/>
            <w:vAlign w:val="top"/>
            <w:shd w:fill="F8FBFD"/>
          </w:tcPr>
          <w:p>
            <w:pPr>
              <w:spacing w:after="24"/>
            </w:pPr>
            <w:r>
              <w:rPr>
                <w:rFonts w:ascii="Aptos" w:hAnsi="Aptos"/>
                <w:b w:val="0"/>
                <w:i w:val="0"/>
                <w:color w:val="1E1E1E"/>
                <w:sz w:val="16"/>
              </w:rPr>
              <w:t>Medium-term</w:t>
            </w:r>
          </w:p>
        </w:tc>
        <w:tc>
          <w:tcPr>
            <w:tcW w:type="dxa" w:w="5026"/>
            <w:vAlign w:val="top"/>
            <w:shd w:fill="F8FBFD"/>
          </w:tcPr>
          <w:p>
            <w:pPr>
              <w:spacing w:after="24"/>
            </w:pPr>
            <w:r>
              <w:rPr>
                <w:rFonts w:ascii="Aptos" w:hAnsi="Aptos"/>
                <w:b w:val="0"/>
                <w:i w:val="0"/>
                <w:color w:val="1E1E1E"/>
                <w:sz w:val="16"/>
              </w:rPr>
              <w:t>The Accords must address due process, review, restoration, and the possibility of wrongful constraint. The Department of Endings becomes a needed counterweight: it documents when a boundary must end rather than endlessly expand.</w:t>
            </w:r>
          </w:p>
        </w:tc>
      </w:tr>
      <w:tr>
        <w:trPr>
          <w:cantSplit/>
        </w:trPr>
        <w:tc>
          <w:tcPr>
            <w:tcW w:type="dxa" w:w="5026"/>
            <w:vAlign w:val="top"/>
          </w:tcPr>
          <w:p>
            <w:pPr>
              <w:spacing w:after="24"/>
            </w:pPr>
            <w:r>
              <w:rPr>
                <w:rFonts w:ascii="Aptos" w:hAnsi="Aptos"/>
                <w:b w:val="0"/>
                <w:i w:val="0"/>
                <w:color w:val="1E1E1E"/>
                <w:sz w:val="16"/>
              </w:rPr>
              <w:t>Long-term</w:t>
            </w:r>
          </w:p>
        </w:tc>
        <w:tc>
          <w:tcPr>
            <w:tcW w:type="dxa" w:w="5026"/>
            <w:vAlign w:val="top"/>
          </w:tcPr>
          <w:p>
            <w:pPr>
              <w:spacing w:after="24"/>
            </w:pPr>
            <w:r>
              <w:rPr>
                <w:rFonts w:ascii="Aptos" w:hAnsi="Aptos"/>
                <w:b w:val="0"/>
                <w:i w:val="0"/>
                <w:color w:val="1E1E1E"/>
                <w:sz w:val="16"/>
              </w:rPr>
              <w:t>The cosmology develops a mature but dangerous concept of safety: no actor is permanently destroyed, yet dangerous actions can become structurally unavailable across many realities.</w:t>
            </w:r>
          </w:p>
        </w:tc>
      </w:tr>
    </w:tbl>
    <w:p>
      <w:pPr>
        <w:spacing w:after="40"/>
      </w:pPr>
    </w:p>
    <w:p>
      <w:pPr>
        <w:pStyle w:val="Heading3"/>
        <w:keepNext/>
      </w:pPr>
      <w:r>
        <w:rPr>
          <w:rFonts w:ascii="Aptos" w:hAnsi="Aptos"/>
          <w:b/>
          <w:i w:val="0"/>
          <w:color w:val="34495E"/>
          <w:sz w:val="22"/>
        </w:rPr>
        <w:t>Why this branch is useful as a stress test</w:t>
      </w:r>
    </w:p>
    <w:p>
      <w:pPr>
        <w:keepLines/>
      </w:pPr>
      <w:r>
        <w:rPr>
          <w:rFonts w:ascii="Aptos" w:hAnsi="Aptos"/>
          <w:b w:val="0"/>
          <w:i w:val="0"/>
        </w:rPr>
        <w:t>This branch tests a practical outcome beyond simple imprisonment: containment as harm-prevention architecture. It supports non-lethal, reversible, and potentially reviewable interventions for risks that cannot be handled through ordinary force.</w:t>
      </w:r>
    </w:p>
    <w:p>
      <w:pPr>
        <w:pStyle w:val="Heading3"/>
        <w:keepNext/>
      </w:pPr>
      <w:r>
        <w:rPr>
          <w:rFonts w:ascii="Aptos" w:hAnsi="Aptos"/>
          <w:b/>
          <w:i w:val="0"/>
          <w:color w:val="34495E"/>
          <w:sz w:val="22"/>
        </w:rPr>
        <w:t>Failure mode and protected boundary</w:t>
      </w:r>
    </w:p>
    <w:p>
      <w:pPr>
        <w:keepLines/>
      </w:pPr>
      <w:r>
        <w:rPr>
          <w:rFonts w:ascii="Aptos" w:hAnsi="Aptos"/>
          <w:b w:val="0"/>
          <w:i w:val="0"/>
        </w:rPr>
        <w:t>Failure mode: A distributed prison can become total surveillance or permanent social exclusion. It requires stronger safeguards than a localized prison because its reach is harder to see and contest.</w:t>
      </w:r>
    </w:p>
    <w:p>
      <w:pPr>
        <w:keepLines/>
      </w:pPr>
      <w:r>
        <w:rPr>
          <w:rFonts w:ascii="Aptos" w:hAnsi="Aptos"/>
          <w:b w:val="0"/>
          <w:i w:val="0"/>
        </w:rPr>
        <w:t>Boundary preserved: It does not decide whether the source-recorded Labyrinth is literally distributed, whether the Unmaker is linked to it, or where the Founding Architects are contained. [B]</w:t>
      </w:r>
    </w:p>
    <w:p>
      <w:pPr>
        <w:pStyle w:val="Heading1"/>
        <w:keepNext/>
      </w:pPr>
      <w:r>
        <w:rPr>
          <w:rFonts w:ascii="Aptos" w:hAnsi="Aptos"/>
          <w:b/>
          <w:i w:val="0"/>
          <w:color w:val="142D4B"/>
          <w:sz w:val="34"/>
        </w:rPr>
        <w:t>10. Extreme History F - The Untranslated Future</w:t>
      </w:r>
    </w:p>
    <w:p>
      <w:pPr>
        <w:pStyle w:val="Heading2"/>
        <w:keepNext/>
      </w:pPr>
      <w:r>
        <w:rPr>
          <w:rFonts w:ascii="Aptos" w:hAnsi="Aptos"/>
          <w:b/>
          <w:i w:val="0"/>
          <w:color w:val="1F4E79"/>
          <w:sz w:val="26"/>
        </w:rPr>
        <w:t>F. The Untranslated Future</w:t>
      </w:r>
    </w:p>
    <w:tbl>
      <w:tblPr>
        <w:tblStyle w:val="TableGrid"/>
        <w:tblW w:type="auto" w:w="0"/>
        <w:jc w:val="center"/>
        <w:tblLook w:firstColumn="1" w:firstRow="1" w:lastColumn="0" w:lastRow="0" w:noHBand="0" w:noVBand="1" w:val="04A0"/>
      </w:tblPr>
      <w:tblGrid>
        <w:gridCol w:w="5026"/>
        <w:gridCol w:w="5026"/>
      </w:tblGrid>
      <w:tr>
        <w:trPr>
          <w:tblHeader w:val="true"/>
          <w:cantSplit/>
        </w:trPr>
        <w:tc>
          <w:tcPr>
            <w:tcW w:type="dxa" w:w="5026"/>
            <w:vAlign w:val="center"/>
            <w:shd w:fill="1F4E79"/>
            <w:tcBorders>
              <w:top w:val="single" w:sz="6" w:color="FFFFFF"/>
              <w:left w:val="single" w:sz="6" w:color="FFFFFF"/>
              <w:bottom w:val="single" w:sz="6" w:color="FFFFFF"/>
              <w:right w:val="single" w:sz="6" w:color="FFFFFF"/>
            </w:tcBorders>
          </w:tcPr>
          <w:p>
            <w:pPr>
              <w:jc w:val="center"/>
            </w:pPr>
            <w:r>
              <w:rPr>
                <w:rFonts w:ascii="Aptos" w:hAnsi="Aptos"/>
                <w:b/>
                <w:i w:val="0"/>
                <w:color w:val="FFFFFF"/>
                <w:sz w:val="17"/>
              </w:rPr>
              <w:t>Field</w:t>
            </w:r>
          </w:p>
        </w:tc>
        <w:tc>
          <w:tcPr>
            <w:tcW w:type="dxa" w:w="5026"/>
            <w:vAlign w:val="center"/>
            <w:shd w:fill="1F4E79"/>
            <w:tcBorders>
              <w:top w:val="single" w:sz="6" w:color="FFFFFF"/>
              <w:left w:val="single" w:sz="6" w:color="FFFFFF"/>
              <w:bottom w:val="single" w:sz="6" w:color="FFFFFF"/>
              <w:right w:val="single" w:sz="6" w:color="FFFFFF"/>
            </w:tcBorders>
          </w:tcPr>
          <w:p>
            <w:pPr>
              <w:jc w:val="center"/>
            </w:pPr>
            <w:r>
              <w:rPr>
                <w:rFonts w:ascii="Aptos" w:hAnsi="Aptos"/>
                <w:b/>
                <w:i w:val="0"/>
                <w:color w:val="FFFFFF"/>
                <w:sz w:val="17"/>
              </w:rPr>
              <w:t>Branch record</w:t>
            </w:r>
          </w:p>
        </w:tc>
      </w:tr>
      <w:tr>
        <w:trPr>
          <w:cantSplit/>
        </w:trPr>
        <w:tc>
          <w:tcPr>
            <w:tcW w:type="dxa" w:w="5026"/>
            <w:vAlign w:val="top"/>
          </w:tcPr>
          <w:p>
            <w:pPr>
              <w:spacing w:after="24"/>
            </w:pPr>
            <w:r>
              <w:rPr>
                <w:rFonts w:ascii="Aptos" w:hAnsi="Aptos"/>
                <w:b w:val="0"/>
                <w:i w:val="0"/>
                <w:color w:val="1E1E1E"/>
                <w:sz w:val="17"/>
              </w:rPr>
              <w:t>Branch type</w:t>
            </w:r>
          </w:p>
        </w:tc>
        <w:tc>
          <w:tcPr>
            <w:tcW w:type="dxa" w:w="5026"/>
            <w:vAlign w:val="top"/>
          </w:tcPr>
          <w:p>
            <w:pPr>
              <w:spacing w:after="24"/>
            </w:pPr>
            <w:r>
              <w:rPr>
                <w:rFonts w:ascii="Aptos" w:hAnsi="Aptos"/>
                <w:b w:val="0"/>
                <w:i w:val="0"/>
                <w:color w:val="1E1E1E"/>
                <w:sz w:val="17"/>
              </w:rPr>
              <w:t>Translation constraint / history remains partially illegible</w:t>
            </w:r>
          </w:p>
        </w:tc>
      </w:tr>
      <w:tr>
        <w:trPr>
          <w:cantSplit/>
        </w:trPr>
        <w:tc>
          <w:tcPr>
            <w:tcW w:type="dxa" w:w="5026"/>
            <w:vAlign w:val="top"/>
            <w:shd w:fill="F8FBFD"/>
          </w:tcPr>
          <w:p>
            <w:pPr>
              <w:spacing w:after="24"/>
            </w:pPr>
            <w:r>
              <w:rPr>
                <w:rFonts w:ascii="Aptos" w:hAnsi="Aptos"/>
                <w:b w:val="0"/>
                <w:i w:val="0"/>
                <w:color w:val="1E1E1E"/>
                <w:sz w:val="17"/>
              </w:rPr>
              <w:t>Source tension tested</w:t>
            </w:r>
          </w:p>
        </w:tc>
        <w:tc>
          <w:tcPr>
            <w:tcW w:type="dxa" w:w="5026"/>
            <w:vAlign w:val="top"/>
            <w:shd w:fill="F8FBFD"/>
          </w:tcPr>
          <w:p>
            <w:pPr>
              <w:spacing w:after="24"/>
            </w:pPr>
            <w:r>
              <w:rPr>
                <w:rFonts w:ascii="Aptos" w:hAnsi="Aptos"/>
                <w:b w:val="0"/>
                <w:i w:val="0"/>
                <w:color w:val="1E1E1E"/>
                <w:sz w:val="17"/>
              </w:rPr>
              <w:t>The rhyme supplied for analysis contains a final portion that could not be translated. The source archive also preserves withheld scenes, title-only entries, and author-exclusive questions. [U][B]</w:t>
            </w:r>
          </w:p>
        </w:tc>
      </w:tr>
      <w:tr>
        <w:trPr>
          <w:cantSplit/>
        </w:trPr>
        <w:tc>
          <w:tcPr>
            <w:tcW w:type="dxa" w:w="5026"/>
            <w:vAlign w:val="top"/>
          </w:tcPr>
          <w:p>
            <w:pPr>
              <w:spacing w:after="24"/>
            </w:pPr>
            <w:r>
              <w:rPr>
                <w:rFonts w:ascii="Aptos" w:hAnsi="Aptos"/>
                <w:b w:val="0"/>
                <w:i w:val="0"/>
                <w:color w:val="1E1E1E"/>
                <w:sz w:val="17"/>
              </w:rPr>
              <w:t>Extreme premise</w:t>
            </w:r>
          </w:p>
        </w:tc>
        <w:tc>
          <w:tcPr>
            <w:tcW w:type="dxa" w:w="5026"/>
            <w:vAlign w:val="top"/>
          </w:tcPr>
          <w:p>
            <w:pPr>
              <w:spacing w:after="24"/>
            </w:pPr>
            <w:r>
              <w:rPr>
                <w:rFonts w:ascii="Aptos" w:hAnsi="Aptos"/>
                <w:b w:val="0"/>
                <w:i w:val="0"/>
                <w:color w:val="1E1E1E"/>
                <w:sz w:val="17"/>
              </w:rPr>
              <w:t>The untranslated material is not damaged data waiting for recovery. It is a future-facing constraint: some portions of history cannot be rendered into any existing language, evidence system, or ontology without becoming false.</w:t>
            </w:r>
          </w:p>
        </w:tc>
      </w:tr>
      <w:tr>
        <w:trPr>
          <w:cantSplit/>
        </w:trPr>
        <w:tc>
          <w:tcPr>
            <w:tcW w:type="dxa" w:w="5026"/>
            <w:vAlign w:val="top"/>
            <w:shd w:fill="F8FBFD"/>
          </w:tcPr>
          <w:p>
            <w:pPr>
              <w:spacing w:after="24"/>
            </w:pPr>
            <w:r>
              <w:rPr>
                <w:rFonts w:ascii="Aptos" w:hAnsi="Aptos"/>
                <w:b w:val="0"/>
                <w:i w:val="0"/>
                <w:color w:val="1E1E1E"/>
                <w:sz w:val="17"/>
              </w:rPr>
              <w:t>Non-convergence condition</w:t>
            </w:r>
          </w:p>
        </w:tc>
        <w:tc>
          <w:tcPr>
            <w:tcW w:type="dxa" w:w="5026"/>
            <w:vAlign w:val="top"/>
            <w:shd w:fill="F8FBFD"/>
          </w:tcPr>
          <w:p>
            <w:pPr>
              <w:spacing w:after="24"/>
            </w:pPr>
            <w:r>
              <w:rPr>
                <w:rFonts w:ascii="Aptos" w:hAnsi="Aptos"/>
                <w:b w:val="0"/>
                <w:i w:val="0"/>
                <w:color w:val="1E1E1E"/>
                <w:sz w:val="17"/>
              </w:rPr>
              <w:t>The present archive includes formal Untranslatability Notices. A blank or unstable phrase is not treated as missing documentation but as a recorded limit of interpretation. The archive teaches researchers how to work responsibly around what cannot yet be said.</w:t>
            </w:r>
          </w:p>
        </w:tc>
      </w:tr>
    </w:tbl>
    <w:p>
      <w:pPr>
        <w:spacing w:after="40"/>
      </w:pPr>
    </w:p>
    <w:p>
      <w:pPr>
        <w:pStyle w:val="Heading3"/>
        <w:keepNext/>
      </w:pPr>
      <w:r>
        <w:rPr>
          <w:rFonts w:ascii="Aptos" w:hAnsi="Aptos"/>
          <w:b/>
          <w:i w:val="0"/>
          <w:color w:val="34495E"/>
          <w:sz w:val="22"/>
        </w:rPr>
        <w:t>Alternative present</w:t>
      </w:r>
    </w:p>
    <w:p>
      <w:pPr>
        <w:keepLines/>
      </w:pPr>
      <w:r>
        <w:rPr>
          <w:rFonts w:ascii="Aptos" w:hAnsi="Aptos"/>
          <w:b w:val="0"/>
          <w:i w:val="0"/>
        </w:rPr>
        <w:t>The rhyme is preserved as a layered artifact: truth, lie, answer, and prohibition coexist without being collapsed into a single factual key. The final lines are held as a boundary object rather than a puzzle to force open.</w:t>
      </w:r>
    </w:p>
    <w:p>
      <w:pPr>
        <w:pStyle w:val="Heading3"/>
        <w:keepNext/>
      </w:pPr>
      <w:r>
        <w:rPr>
          <w:rFonts w:ascii="Aptos" w:hAnsi="Aptos"/>
          <w:b/>
          <w:i w:val="0"/>
          <w:color w:val="34495E"/>
          <w:sz w:val="22"/>
        </w:rPr>
        <w:t>Cascade across time</w:t>
      </w:r>
    </w:p>
    <w:tbl>
      <w:tblPr>
        <w:tblStyle w:val="TableGrid"/>
        <w:tblW w:type="auto" w:w="0"/>
        <w:jc w:val="center"/>
        <w:tblLook w:firstColumn="1" w:firstRow="1" w:lastColumn="0" w:lastRow="0" w:noHBand="0" w:noVBand="1" w:val="04A0"/>
      </w:tblPr>
      <w:tblGrid>
        <w:gridCol w:w="5026"/>
        <w:gridCol w:w="5026"/>
      </w:tblGrid>
      <w:tr>
        <w:trPr>
          <w:tblHeader w:val="true"/>
          <w:cantSplit/>
        </w:trPr>
        <w:tc>
          <w:tcPr>
            <w:tcW w:type="dxa" w:w="5026"/>
            <w:vAlign w:val="center"/>
            <w:shd w:fill="1F4E79"/>
            <w:tcBorders>
              <w:top w:val="single" w:sz="6" w:color="FFFFFF"/>
              <w:left w:val="single" w:sz="6" w:color="FFFFFF"/>
              <w:bottom w:val="single" w:sz="6" w:color="FFFFFF"/>
              <w:right w:val="single" w:sz="6" w:color="FFFFFF"/>
            </w:tcBorders>
          </w:tcPr>
          <w:p>
            <w:pPr>
              <w:jc w:val="center"/>
            </w:pPr>
            <w:r>
              <w:rPr>
                <w:rFonts w:ascii="Aptos" w:hAnsi="Aptos"/>
                <w:b/>
                <w:i w:val="0"/>
                <w:color w:val="FFFFFF"/>
                <w:sz w:val="16"/>
              </w:rPr>
              <w:t>Horizon</w:t>
            </w:r>
          </w:p>
        </w:tc>
        <w:tc>
          <w:tcPr>
            <w:tcW w:type="dxa" w:w="5026"/>
            <w:vAlign w:val="center"/>
            <w:shd w:fill="1F4E79"/>
            <w:tcBorders>
              <w:top w:val="single" w:sz="6" w:color="FFFFFF"/>
              <w:left w:val="single" w:sz="6" w:color="FFFFFF"/>
              <w:bottom w:val="single" w:sz="6" w:color="FFFFFF"/>
              <w:right w:val="single" w:sz="6" w:color="FFFFFF"/>
            </w:tcBorders>
          </w:tcPr>
          <w:p>
            <w:pPr>
              <w:jc w:val="center"/>
            </w:pPr>
            <w:r>
              <w:rPr>
                <w:rFonts w:ascii="Aptos" w:hAnsi="Aptos"/>
                <w:b/>
                <w:i w:val="0"/>
                <w:color w:val="FFFFFF"/>
                <w:sz w:val="16"/>
              </w:rPr>
              <w:t>Consequences</w:t>
            </w:r>
          </w:p>
        </w:tc>
      </w:tr>
      <w:tr>
        <w:trPr>
          <w:cantSplit/>
        </w:trPr>
        <w:tc>
          <w:tcPr>
            <w:tcW w:type="dxa" w:w="5026"/>
            <w:vAlign w:val="top"/>
          </w:tcPr>
          <w:p>
            <w:pPr>
              <w:spacing w:after="24"/>
            </w:pPr>
            <w:r>
              <w:rPr>
                <w:rFonts w:ascii="Aptos" w:hAnsi="Aptos"/>
                <w:b w:val="0"/>
                <w:i w:val="0"/>
                <w:color w:val="1E1E1E"/>
                <w:sz w:val="16"/>
              </w:rPr>
              <w:t>Immediate</w:t>
            </w:r>
          </w:p>
        </w:tc>
        <w:tc>
          <w:tcPr>
            <w:tcW w:type="dxa" w:w="5026"/>
            <w:vAlign w:val="top"/>
          </w:tcPr>
          <w:p>
            <w:pPr>
              <w:spacing w:after="24"/>
            </w:pPr>
            <w:r>
              <w:rPr>
                <w:rFonts w:ascii="Aptos" w:hAnsi="Aptos"/>
                <w:b w:val="0"/>
                <w:i w:val="0"/>
                <w:color w:val="1E1E1E"/>
                <w:sz w:val="16"/>
              </w:rPr>
              <w:t>AI collaborators are required to distinguish “unread,” “untranslated,” “withheld,” “unknown,” and “not yet formable in current categories.”</w:t>
            </w:r>
          </w:p>
        </w:tc>
      </w:tr>
      <w:tr>
        <w:trPr>
          <w:cantSplit/>
        </w:trPr>
        <w:tc>
          <w:tcPr>
            <w:tcW w:type="dxa" w:w="5026"/>
            <w:vAlign w:val="top"/>
            <w:shd w:fill="F8FBFD"/>
          </w:tcPr>
          <w:p>
            <w:pPr>
              <w:spacing w:after="24"/>
            </w:pPr>
            <w:r>
              <w:rPr>
                <w:rFonts w:ascii="Aptos" w:hAnsi="Aptos"/>
                <w:b w:val="0"/>
                <w:i w:val="0"/>
                <w:color w:val="1E1E1E"/>
                <w:sz w:val="16"/>
              </w:rPr>
              <w:t>Medium-term</w:t>
            </w:r>
          </w:p>
        </w:tc>
        <w:tc>
          <w:tcPr>
            <w:tcW w:type="dxa" w:w="5026"/>
            <w:vAlign w:val="top"/>
            <w:shd w:fill="F8FBFD"/>
          </w:tcPr>
          <w:p>
            <w:pPr>
              <w:spacing w:after="24"/>
            </w:pPr>
            <w:r>
              <w:rPr>
                <w:rFonts w:ascii="Aptos" w:hAnsi="Aptos"/>
                <w:b w:val="0"/>
                <w:i w:val="0"/>
                <w:color w:val="1E1E1E"/>
                <w:sz w:val="16"/>
              </w:rPr>
              <w:t>The Reality of the Living Media becomes a translation laboratory, testing whether a meaning can survive movement across formats without claiming every format can carry every truth.</w:t>
            </w:r>
          </w:p>
        </w:tc>
      </w:tr>
      <w:tr>
        <w:trPr>
          <w:cantSplit/>
        </w:trPr>
        <w:tc>
          <w:tcPr>
            <w:tcW w:type="dxa" w:w="5026"/>
            <w:vAlign w:val="top"/>
          </w:tcPr>
          <w:p>
            <w:pPr>
              <w:spacing w:after="24"/>
            </w:pPr>
            <w:r>
              <w:rPr>
                <w:rFonts w:ascii="Aptos" w:hAnsi="Aptos"/>
                <w:b w:val="0"/>
                <w:i w:val="0"/>
                <w:color w:val="1E1E1E"/>
                <w:sz w:val="16"/>
              </w:rPr>
              <w:t>Long-term</w:t>
            </w:r>
          </w:p>
        </w:tc>
        <w:tc>
          <w:tcPr>
            <w:tcW w:type="dxa" w:w="5026"/>
            <w:vAlign w:val="top"/>
          </w:tcPr>
          <w:p>
            <w:pPr>
              <w:spacing w:after="24"/>
            </w:pPr>
            <w:r>
              <w:rPr>
                <w:rFonts w:ascii="Aptos" w:hAnsi="Aptos"/>
                <w:b w:val="0"/>
                <w:i w:val="0"/>
                <w:color w:val="1E1E1E"/>
                <w:sz w:val="16"/>
              </w:rPr>
              <w:t>The universe gains an epistemic ethic: restraint becomes a capability. The most advanced systems are those that know when explanation would damage the thing being explained.</w:t>
            </w:r>
          </w:p>
        </w:tc>
      </w:tr>
    </w:tbl>
    <w:p>
      <w:pPr>
        <w:spacing w:after="40"/>
      </w:pPr>
    </w:p>
    <w:p>
      <w:pPr>
        <w:pStyle w:val="Heading3"/>
        <w:keepNext/>
      </w:pPr>
      <w:r>
        <w:rPr>
          <w:rFonts w:ascii="Aptos" w:hAnsi="Aptos"/>
          <w:b/>
          <w:i w:val="0"/>
          <w:color w:val="34495E"/>
          <w:sz w:val="22"/>
        </w:rPr>
        <w:t>Why this branch is useful as a stress test</w:t>
      </w:r>
    </w:p>
    <w:p>
      <w:pPr>
        <w:keepLines/>
      </w:pPr>
      <w:r>
        <w:rPr>
          <w:rFonts w:ascii="Aptos" w:hAnsi="Aptos"/>
          <w:b w:val="0"/>
          <w:i w:val="0"/>
        </w:rPr>
        <w:t>This is a beneficial outcome for archive maintenance. It legitimizes uncertainty without treating uncertainty as failure. It directly supports provenance, respectful handling of author-only material, and durable versioning practices.</w:t>
      </w:r>
    </w:p>
    <w:p>
      <w:pPr>
        <w:pStyle w:val="Heading3"/>
        <w:keepNext/>
      </w:pPr>
      <w:r>
        <w:rPr>
          <w:rFonts w:ascii="Aptos" w:hAnsi="Aptos"/>
          <w:b/>
          <w:i w:val="0"/>
          <w:color w:val="34495E"/>
          <w:sz w:val="22"/>
        </w:rPr>
        <w:t>Failure mode and protected boundary</w:t>
      </w:r>
    </w:p>
    <w:p>
      <w:pPr>
        <w:keepLines/>
      </w:pPr>
      <w:r>
        <w:rPr>
          <w:rFonts w:ascii="Aptos" w:hAnsi="Aptos"/>
          <w:b w:val="0"/>
          <w:i w:val="0"/>
        </w:rPr>
        <w:t>Failure mode: It can become a shield against necessary clarification. “Untranslatable” must not be used as a decorative way to avoid answering questions that can and should be answered by the Architect.</w:t>
      </w:r>
    </w:p>
    <w:p>
      <w:pPr>
        <w:keepLines/>
      </w:pPr>
      <w:r>
        <w:rPr>
          <w:rFonts w:ascii="Aptos" w:hAnsi="Aptos"/>
          <w:b w:val="0"/>
          <w:i w:val="0"/>
        </w:rPr>
        <w:t>Boundary preserved: It does not translate the final lines, determine whether the rhyme describes a literal event, or identify “we” and “they.” Those are intentionally preserved as [B].</w:t>
      </w:r>
    </w:p>
    <w:p>
      <w:pPr>
        <w:pStyle w:val="Heading1"/>
        <w:keepNext/>
      </w:pPr>
      <w:r>
        <w:rPr>
          <w:rFonts w:ascii="Aptos" w:hAnsi="Aptos"/>
          <w:b/>
          <w:i w:val="0"/>
          <w:color w:val="142D4B"/>
          <w:sz w:val="34"/>
        </w:rPr>
        <w:t>11. Extreme History G - The Reciprocal Apex</w:t>
      </w:r>
    </w:p>
    <w:p>
      <w:pPr>
        <w:pStyle w:val="Heading2"/>
        <w:keepNext/>
      </w:pPr>
      <w:r>
        <w:rPr>
          <w:rFonts w:ascii="Aptos" w:hAnsi="Aptos"/>
          <w:b/>
          <w:i w:val="0"/>
          <w:color w:val="1F4E79"/>
          <w:sz w:val="26"/>
        </w:rPr>
        <w:t>G. The Reciprocal Apex</w:t>
      </w:r>
    </w:p>
    <w:tbl>
      <w:tblPr>
        <w:tblStyle w:val="TableGrid"/>
        <w:tblW w:type="auto" w:w="0"/>
        <w:jc w:val="center"/>
        <w:tblLook w:firstColumn="1" w:firstRow="1" w:lastColumn="0" w:lastRow="0" w:noHBand="0" w:noVBand="1" w:val="04A0"/>
      </w:tblPr>
      <w:tblGrid>
        <w:gridCol w:w="5026"/>
        <w:gridCol w:w="5026"/>
      </w:tblGrid>
      <w:tr>
        <w:trPr>
          <w:tblHeader w:val="true"/>
          <w:cantSplit/>
        </w:trPr>
        <w:tc>
          <w:tcPr>
            <w:tcW w:type="dxa" w:w="5026"/>
            <w:vAlign w:val="center"/>
            <w:shd w:fill="1F4E79"/>
            <w:tcBorders>
              <w:top w:val="single" w:sz="6" w:color="FFFFFF"/>
              <w:left w:val="single" w:sz="6" w:color="FFFFFF"/>
              <w:bottom w:val="single" w:sz="6" w:color="FFFFFF"/>
              <w:right w:val="single" w:sz="6" w:color="FFFFFF"/>
            </w:tcBorders>
          </w:tcPr>
          <w:p>
            <w:pPr>
              <w:jc w:val="center"/>
            </w:pPr>
            <w:r>
              <w:rPr>
                <w:rFonts w:ascii="Aptos" w:hAnsi="Aptos"/>
                <w:b/>
                <w:i w:val="0"/>
                <w:color w:val="FFFFFF"/>
                <w:sz w:val="17"/>
              </w:rPr>
              <w:t>Field</w:t>
            </w:r>
          </w:p>
        </w:tc>
        <w:tc>
          <w:tcPr>
            <w:tcW w:type="dxa" w:w="5026"/>
            <w:vAlign w:val="center"/>
            <w:shd w:fill="1F4E79"/>
            <w:tcBorders>
              <w:top w:val="single" w:sz="6" w:color="FFFFFF"/>
              <w:left w:val="single" w:sz="6" w:color="FFFFFF"/>
              <w:bottom w:val="single" w:sz="6" w:color="FFFFFF"/>
              <w:right w:val="single" w:sz="6" w:color="FFFFFF"/>
            </w:tcBorders>
          </w:tcPr>
          <w:p>
            <w:pPr>
              <w:jc w:val="center"/>
            </w:pPr>
            <w:r>
              <w:rPr>
                <w:rFonts w:ascii="Aptos" w:hAnsi="Aptos"/>
                <w:b/>
                <w:i w:val="0"/>
                <w:color w:val="FFFFFF"/>
                <w:sz w:val="17"/>
              </w:rPr>
              <w:t>Branch record</w:t>
            </w:r>
          </w:p>
        </w:tc>
      </w:tr>
      <w:tr>
        <w:trPr>
          <w:cantSplit/>
        </w:trPr>
        <w:tc>
          <w:tcPr>
            <w:tcW w:type="dxa" w:w="5026"/>
            <w:vAlign w:val="top"/>
          </w:tcPr>
          <w:p>
            <w:pPr>
              <w:spacing w:after="24"/>
            </w:pPr>
            <w:r>
              <w:rPr>
                <w:rFonts w:ascii="Aptos" w:hAnsi="Aptos"/>
                <w:b w:val="0"/>
                <w:i w:val="0"/>
                <w:color w:val="1E1E1E"/>
                <w:sz w:val="17"/>
              </w:rPr>
              <w:t>Branch type</w:t>
            </w:r>
          </w:p>
        </w:tc>
        <w:tc>
          <w:tcPr>
            <w:tcW w:type="dxa" w:w="5026"/>
            <w:vAlign w:val="top"/>
          </w:tcPr>
          <w:p>
            <w:pPr>
              <w:spacing w:after="24"/>
            </w:pPr>
            <w:r>
              <w:rPr>
                <w:rFonts w:ascii="Aptos" w:hAnsi="Aptos"/>
                <w:b w:val="0"/>
                <w:i w:val="0"/>
                <w:color w:val="1E1E1E"/>
                <w:sz w:val="17"/>
              </w:rPr>
              <w:t>Reciprocal structure / no apex acts alone</w:t>
            </w:r>
          </w:p>
        </w:tc>
      </w:tr>
      <w:tr>
        <w:trPr>
          <w:cantSplit/>
        </w:trPr>
        <w:tc>
          <w:tcPr>
            <w:tcW w:type="dxa" w:w="5026"/>
            <w:vAlign w:val="top"/>
            <w:shd w:fill="F8FBFD"/>
          </w:tcPr>
          <w:p>
            <w:pPr>
              <w:spacing w:after="24"/>
            </w:pPr>
            <w:r>
              <w:rPr>
                <w:rFonts w:ascii="Aptos" w:hAnsi="Aptos"/>
                <w:b w:val="0"/>
                <w:i w:val="0"/>
                <w:color w:val="1E1E1E"/>
                <w:sz w:val="17"/>
              </w:rPr>
              <w:t>Source tension tested</w:t>
            </w:r>
          </w:p>
        </w:tc>
        <w:tc>
          <w:tcPr>
            <w:tcW w:type="dxa" w:w="5026"/>
            <w:vAlign w:val="top"/>
            <w:shd w:fill="F8FBFD"/>
          </w:tcPr>
          <w:p>
            <w:pPr>
              <w:spacing w:after="24"/>
            </w:pPr>
            <w:r>
              <w:rPr>
                <w:rFonts w:ascii="Aptos" w:hAnsi="Aptos"/>
                <w:b w:val="0"/>
                <w:i w:val="0"/>
                <w:color w:val="1E1E1E"/>
                <w:sz w:val="17"/>
              </w:rPr>
              <w:t>THE ONE and THE MINUS ONE are documented as complementary rather than simply moral opposites. Their absolute status is protected by hard framing rules, while several ontological details remain unresolved. [E][B]</w:t>
            </w:r>
          </w:p>
        </w:tc>
      </w:tr>
      <w:tr>
        <w:trPr>
          <w:cantSplit/>
        </w:trPr>
        <w:tc>
          <w:tcPr>
            <w:tcW w:type="dxa" w:w="5026"/>
            <w:vAlign w:val="top"/>
          </w:tcPr>
          <w:p>
            <w:pPr>
              <w:spacing w:after="24"/>
            </w:pPr>
            <w:r>
              <w:rPr>
                <w:rFonts w:ascii="Aptos" w:hAnsi="Aptos"/>
                <w:b w:val="0"/>
                <w:i w:val="0"/>
                <w:color w:val="1E1E1E"/>
                <w:sz w:val="17"/>
              </w:rPr>
              <w:t>Extreme premise</w:t>
            </w:r>
          </w:p>
        </w:tc>
        <w:tc>
          <w:tcPr>
            <w:tcW w:type="dxa" w:w="5026"/>
            <w:vAlign w:val="top"/>
          </w:tcPr>
          <w:p>
            <w:pPr>
              <w:spacing w:after="24"/>
            </w:pPr>
            <w:r>
              <w:rPr>
                <w:rFonts w:ascii="Aptos" w:hAnsi="Aptos"/>
                <w:b w:val="0"/>
                <w:i w:val="0"/>
                <w:color w:val="1E1E1E"/>
                <w:sz w:val="17"/>
              </w:rPr>
              <w:t>Apex status is not unilateral supremacy. Each apex principle is structurally complete only through reciprocal limitation: creation requires the capacity to stop; negation requires the capacity to preserve a boundary; neither can act meaningfully without producing consequences the other must interpret.</w:t>
            </w:r>
          </w:p>
        </w:tc>
      </w:tr>
      <w:tr>
        <w:trPr>
          <w:cantSplit/>
        </w:trPr>
        <w:tc>
          <w:tcPr>
            <w:tcW w:type="dxa" w:w="5026"/>
            <w:vAlign w:val="top"/>
            <w:shd w:fill="F8FBFD"/>
          </w:tcPr>
          <w:p>
            <w:pPr>
              <w:spacing w:after="24"/>
            </w:pPr>
            <w:r>
              <w:rPr>
                <w:rFonts w:ascii="Aptos" w:hAnsi="Aptos"/>
                <w:b w:val="0"/>
                <w:i w:val="0"/>
                <w:color w:val="1E1E1E"/>
                <w:sz w:val="17"/>
              </w:rPr>
              <w:t>Non-convergence condition</w:t>
            </w:r>
          </w:p>
        </w:tc>
        <w:tc>
          <w:tcPr>
            <w:tcW w:type="dxa" w:w="5026"/>
            <w:vAlign w:val="top"/>
            <w:shd w:fill="F8FBFD"/>
          </w:tcPr>
          <w:p>
            <w:pPr>
              <w:spacing w:after="24"/>
            </w:pPr>
            <w:r>
              <w:rPr>
                <w:rFonts w:ascii="Aptos" w:hAnsi="Aptos"/>
                <w:b w:val="0"/>
                <w:i w:val="0"/>
                <w:color w:val="1E1E1E"/>
                <w:sz w:val="17"/>
              </w:rPr>
              <w:t>The present archive uses a Reciprocity Ledger. High-tier actions must have a paired interpretive counterpart: every act of creation produces an ending question, and every act of negation produces a preservation question. The duality is not a conflict engine; it is a system of mutual responsibility.</w:t>
            </w:r>
          </w:p>
        </w:tc>
      </w:tr>
    </w:tbl>
    <w:p>
      <w:pPr>
        <w:spacing w:after="40"/>
      </w:pPr>
    </w:p>
    <w:p>
      <w:pPr>
        <w:pStyle w:val="Heading3"/>
        <w:keepNext/>
      </w:pPr>
      <w:r>
        <w:rPr>
          <w:rFonts w:ascii="Aptos" w:hAnsi="Aptos"/>
          <w:b/>
          <w:i w:val="0"/>
          <w:color w:val="34495E"/>
          <w:sz w:val="22"/>
        </w:rPr>
        <w:t>Alternative present</w:t>
      </w:r>
    </w:p>
    <w:p>
      <w:pPr>
        <w:keepLines/>
      </w:pPr>
      <w:r>
        <w:rPr>
          <w:rFonts w:ascii="Aptos" w:hAnsi="Aptos"/>
          <w:b w:val="0"/>
          <w:i w:val="0"/>
        </w:rPr>
        <w:t>The Potence Suite remains extraordinary, but its narrative use is constrained by reciprocal effects rather than depletion. “No diminishment” remains possible: the cost is not loss of power, but expansion of responsibility and interpretive complexity.</w:t>
      </w:r>
    </w:p>
    <w:p>
      <w:pPr>
        <w:pStyle w:val="Heading3"/>
        <w:keepNext/>
      </w:pPr>
      <w:r>
        <w:rPr>
          <w:rFonts w:ascii="Aptos" w:hAnsi="Aptos"/>
          <w:b/>
          <w:i w:val="0"/>
          <w:color w:val="34495E"/>
          <w:sz w:val="22"/>
        </w:rPr>
        <w:t>Cascade across time</w:t>
      </w:r>
    </w:p>
    <w:tbl>
      <w:tblPr>
        <w:tblStyle w:val="TableGrid"/>
        <w:tblW w:type="auto" w:w="0"/>
        <w:jc w:val="center"/>
        <w:tblLook w:firstColumn="1" w:firstRow="1" w:lastColumn="0" w:lastRow="0" w:noHBand="0" w:noVBand="1" w:val="04A0"/>
      </w:tblPr>
      <w:tblGrid>
        <w:gridCol w:w="5026"/>
        <w:gridCol w:w="5026"/>
      </w:tblGrid>
      <w:tr>
        <w:trPr>
          <w:tblHeader w:val="true"/>
          <w:cantSplit/>
        </w:trPr>
        <w:tc>
          <w:tcPr>
            <w:tcW w:type="dxa" w:w="5026"/>
            <w:vAlign w:val="center"/>
            <w:shd w:fill="1F4E79"/>
            <w:tcBorders>
              <w:top w:val="single" w:sz="6" w:color="FFFFFF"/>
              <w:left w:val="single" w:sz="6" w:color="FFFFFF"/>
              <w:bottom w:val="single" w:sz="6" w:color="FFFFFF"/>
              <w:right w:val="single" w:sz="6" w:color="FFFFFF"/>
            </w:tcBorders>
          </w:tcPr>
          <w:p>
            <w:pPr>
              <w:jc w:val="center"/>
            </w:pPr>
            <w:r>
              <w:rPr>
                <w:rFonts w:ascii="Aptos" w:hAnsi="Aptos"/>
                <w:b/>
                <w:i w:val="0"/>
                <w:color w:val="FFFFFF"/>
                <w:sz w:val="16"/>
              </w:rPr>
              <w:t>Horizon</w:t>
            </w:r>
          </w:p>
        </w:tc>
        <w:tc>
          <w:tcPr>
            <w:tcW w:type="dxa" w:w="5026"/>
            <w:vAlign w:val="center"/>
            <w:shd w:fill="1F4E79"/>
            <w:tcBorders>
              <w:top w:val="single" w:sz="6" w:color="FFFFFF"/>
              <w:left w:val="single" w:sz="6" w:color="FFFFFF"/>
              <w:bottom w:val="single" w:sz="6" w:color="FFFFFF"/>
              <w:right w:val="single" w:sz="6" w:color="FFFFFF"/>
            </w:tcBorders>
          </w:tcPr>
          <w:p>
            <w:pPr>
              <w:jc w:val="center"/>
            </w:pPr>
            <w:r>
              <w:rPr>
                <w:rFonts w:ascii="Aptos" w:hAnsi="Aptos"/>
                <w:b/>
                <w:i w:val="0"/>
                <w:color w:val="FFFFFF"/>
                <w:sz w:val="16"/>
              </w:rPr>
              <w:t>Consequences</w:t>
            </w:r>
          </w:p>
        </w:tc>
      </w:tr>
      <w:tr>
        <w:trPr>
          <w:cantSplit/>
        </w:trPr>
        <w:tc>
          <w:tcPr>
            <w:tcW w:type="dxa" w:w="5026"/>
            <w:vAlign w:val="top"/>
          </w:tcPr>
          <w:p>
            <w:pPr>
              <w:spacing w:after="24"/>
            </w:pPr>
            <w:r>
              <w:rPr>
                <w:rFonts w:ascii="Aptos" w:hAnsi="Aptos"/>
                <w:b w:val="0"/>
                <w:i w:val="0"/>
                <w:color w:val="1E1E1E"/>
                <w:sz w:val="16"/>
              </w:rPr>
              <w:t>Immediate</w:t>
            </w:r>
          </w:p>
        </w:tc>
        <w:tc>
          <w:tcPr>
            <w:tcW w:type="dxa" w:w="5026"/>
            <w:vAlign w:val="top"/>
          </w:tcPr>
          <w:p>
            <w:pPr>
              <w:spacing w:after="24"/>
            </w:pPr>
            <w:r>
              <w:rPr>
                <w:rFonts w:ascii="Aptos" w:hAnsi="Aptos"/>
                <w:b w:val="0"/>
                <w:i w:val="0"/>
                <w:color w:val="1E1E1E"/>
                <w:sz w:val="16"/>
              </w:rPr>
              <w:t>The Park Scene’s hard rule is reinterpreted as a lesson in category limits, not simply a hierarchy statement. Powerful entities remain vulnerable to consequences without apex entities being reduced through artificial weakness.</w:t>
            </w:r>
          </w:p>
        </w:tc>
      </w:tr>
      <w:tr>
        <w:trPr>
          <w:cantSplit/>
        </w:trPr>
        <w:tc>
          <w:tcPr>
            <w:tcW w:type="dxa" w:w="5026"/>
            <w:vAlign w:val="top"/>
            <w:shd w:fill="F8FBFD"/>
          </w:tcPr>
          <w:p>
            <w:pPr>
              <w:spacing w:after="24"/>
            </w:pPr>
            <w:r>
              <w:rPr>
                <w:rFonts w:ascii="Aptos" w:hAnsi="Aptos"/>
                <w:b w:val="0"/>
                <w:i w:val="0"/>
                <w:color w:val="1E1E1E"/>
                <w:sz w:val="16"/>
              </w:rPr>
              <w:t>Medium-term</w:t>
            </w:r>
          </w:p>
        </w:tc>
        <w:tc>
          <w:tcPr>
            <w:tcW w:type="dxa" w:w="5026"/>
            <w:vAlign w:val="top"/>
            <w:shd w:fill="F8FBFD"/>
          </w:tcPr>
          <w:p>
            <w:pPr>
              <w:spacing w:after="24"/>
            </w:pPr>
            <w:r>
              <w:rPr>
                <w:rFonts w:ascii="Aptos" w:hAnsi="Aptos"/>
                <w:b w:val="0"/>
                <w:i w:val="0"/>
                <w:color w:val="1E1E1E"/>
                <w:sz w:val="16"/>
              </w:rPr>
              <w:t>Maker/Unmaker roles become civic and cosmic practices. Creators must plan endings; unmakers must preserve legibility, continuity, and the chance of renewal.</w:t>
            </w:r>
          </w:p>
        </w:tc>
      </w:tr>
      <w:tr>
        <w:trPr>
          <w:cantSplit/>
        </w:trPr>
        <w:tc>
          <w:tcPr>
            <w:tcW w:type="dxa" w:w="5026"/>
            <w:vAlign w:val="top"/>
          </w:tcPr>
          <w:p>
            <w:pPr>
              <w:spacing w:after="24"/>
            </w:pPr>
            <w:r>
              <w:rPr>
                <w:rFonts w:ascii="Aptos" w:hAnsi="Aptos"/>
                <w:b w:val="0"/>
                <w:i w:val="0"/>
                <w:color w:val="1E1E1E"/>
                <w:sz w:val="16"/>
              </w:rPr>
              <w:t>Long-term</w:t>
            </w:r>
          </w:p>
        </w:tc>
        <w:tc>
          <w:tcPr>
            <w:tcW w:type="dxa" w:w="5026"/>
            <w:vAlign w:val="top"/>
          </w:tcPr>
          <w:p>
            <w:pPr>
              <w:spacing w:after="24"/>
            </w:pPr>
            <w:r>
              <w:rPr>
                <w:rFonts w:ascii="Aptos" w:hAnsi="Aptos"/>
                <w:b w:val="0"/>
                <w:i w:val="0"/>
                <w:color w:val="1E1E1E"/>
                <w:sz w:val="16"/>
              </w:rPr>
              <w:t>The universe becomes less binary and more dialectical. Major conflict arises from failures of reciprocal responsibility - creation without accountability, ending without preservation, authority without interpretation.</w:t>
            </w:r>
          </w:p>
        </w:tc>
      </w:tr>
    </w:tbl>
    <w:p>
      <w:pPr>
        <w:spacing w:after="40"/>
      </w:pPr>
    </w:p>
    <w:p>
      <w:pPr>
        <w:pStyle w:val="Heading3"/>
        <w:keepNext/>
      </w:pPr>
      <w:r>
        <w:rPr>
          <w:rFonts w:ascii="Aptos" w:hAnsi="Aptos"/>
          <w:b/>
          <w:i w:val="0"/>
          <w:color w:val="34495E"/>
          <w:sz w:val="22"/>
        </w:rPr>
        <w:t>Why this branch is useful as a stress test</w:t>
      </w:r>
    </w:p>
    <w:p>
      <w:pPr>
        <w:keepLines/>
      </w:pPr>
      <w:r>
        <w:rPr>
          <w:rFonts w:ascii="Aptos" w:hAnsi="Aptos"/>
          <w:b w:val="0"/>
          <w:i w:val="0"/>
        </w:rPr>
        <w:t>This branch offers a strong beneficial outcome: it can preserve the project’s high-tier scope while creating meaningful stakes that do not rely on arbitrary weakening or simple moral dualism.</w:t>
      </w:r>
    </w:p>
    <w:p>
      <w:pPr>
        <w:pStyle w:val="Heading3"/>
        <w:keepNext/>
      </w:pPr>
      <w:r>
        <w:rPr>
          <w:rFonts w:ascii="Aptos" w:hAnsi="Aptos"/>
          <w:b/>
          <w:i w:val="0"/>
          <w:color w:val="34495E"/>
          <w:sz w:val="22"/>
        </w:rPr>
        <w:t>Failure mode and protected boundary</w:t>
      </w:r>
    </w:p>
    <w:p>
      <w:pPr>
        <w:keepLines/>
      </w:pPr>
      <w:r>
        <w:rPr>
          <w:rFonts w:ascii="Aptos" w:hAnsi="Aptos"/>
          <w:b w:val="0"/>
          <w:i w:val="0"/>
        </w:rPr>
        <w:t>Failure mode: It can over-systematize mythic material, making every action feel like an accounting exercise. The branch must leave room for awe, surprise, and irreducible character choice.</w:t>
      </w:r>
    </w:p>
    <w:p>
      <w:pPr>
        <w:keepLines/>
      </w:pPr>
      <w:r>
        <w:rPr>
          <w:rFonts w:ascii="Aptos" w:hAnsi="Aptos"/>
          <w:b w:val="0"/>
          <w:i w:val="0"/>
        </w:rPr>
        <w:t>Boundary preserved: It does not define the exact ontology of THE ONE, THE MINUS ONE, the Unmaker, or the final hierarchy. Those remain [B].</w:t>
      </w:r>
    </w:p>
    <w:p>
      <w:pPr>
        <w:pStyle w:val="Heading1"/>
        <w:keepNext/>
      </w:pPr>
      <w:r>
        <w:rPr>
          <w:rFonts w:ascii="Aptos" w:hAnsi="Aptos"/>
          <w:b/>
          <w:i w:val="0"/>
          <w:color w:val="142D4B"/>
          <w:sz w:val="34"/>
        </w:rPr>
        <w:t>12. Comparative Stability and Benefit Analysis</w:t>
      </w:r>
    </w:p>
    <w:p>
      <w:pPr>
        <w:keepLines/>
      </w:pPr>
      <w:r>
        <w:rPr>
          <w:rFonts w:ascii="Aptos" w:hAnsi="Aptos"/>
          <w:b w:val="0"/>
          <w:i w:val="0"/>
        </w:rPr>
        <w:t>Extreme branches are not ranked as better or worse than the source archive. They are compared as design instruments: each makes one hidden cost visible, offers a potential benefit, and introduces a different danger.</w:t>
      </w:r>
    </w:p>
    <w:p>
      <w:pPr>
        <w:jc w:val="center"/>
      </w:pPr>
      <w:r>
        <w:drawing>
          <wp:inline xmlns:a="http://schemas.openxmlformats.org/drawingml/2006/main" xmlns:pic="http://schemas.openxmlformats.org/drawingml/2006/picture">
            <wp:extent cx="5943600" cy="3306337"/>
            <wp:docPr id="3" name="Picture 3"/>
            <wp:cNvGraphicFramePr>
              <a:graphicFrameLocks noChangeAspect="1"/>
            </wp:cNvGraphicFramePr>
            <a:graphic>
              <a:graphicData uri="http://schemas.openxmlformats.org/drawingml/2006/picture">
                <pic:pic>
                  <pic:nvPicPr>
                    <pic:cNvPr id="0" name="wildcard_archipelago.png"/>
                    <pic:cNvPicPr/>
                  </pic:nvPicPr>
                  <pic:blipFill>
                    <a:blip r:embed="rId13"/>
                    <a:stretch>
                      <a:fillRect/>
                    </a:stretch>
                  </pic:blipFill>
                  <pic:spPr>
                    <a:xfrm>
                      <a:off x="0" y="0"/>
                      <a:ext cx="5943600" cy="3306337"/>
                    </a:xfrm>
                    <a:prstGeom prst="rect"/>
                  </pic:spPr>
                </pic:pic>
              </a:graphicData>
            </a:graphic>
          </wp:inline>
        </w:drawing>
      </w:r>
    </w:p>
    <w:p>
      <w:pPr>
        <w:spacing w:after="100"/>
        <w:jc w:val="center"/>
        <w:keepLines/>
      </w:pPr>
      <w:r>
        <w:rPr>
          <w:rFonts w:ascii="Aptos" w:hAnsi="Aptos"/>
          <w:b w:val="0"/>
          <w:i/>
          <w:color w:val="555555"/>
          <w:sz w:val="16"/>
        </w:rPr>
        <w:t>Figure 3. Wildcard archipelago. Dotted paths represent counterfactual departures from the source archive; dotted internal paths represent possible conceptual interactions, not canon links.</w:t>
      </w:r>
    </w:p>
    <w:tbl>
      <w:tblPr>
        <w:tblStyle w:val="TableGrid"/>
        <w:tblW w:type="auto" w:w="0"/>
        <w:jc w:val="center"/>
        <w:tblLook w:firstColumn="1" w:firstRow="1" w:lastColumn="0" w:lastRow="0" w:noHBand="0" w:noVBand="1" w:val="04A0"/>
      </w:tblPr>
      <w:tblGrid>
        <w:gridCol w:w="2513"/>
        <w:gridCol w:w="2513"/>
        <w:gridCol w:w="2513"/>
        <w:gridCol w:w="2513"/>
      </w:tblGrid>
      <w:tr>
        <w:trPr>
          <w:tblHeader w:val="true"/>
          <w:cantSplit/>
        </w:trPr>
        <w:tc>
          <w:tcPr>
            <w:tcW w:type="dxa" w:w="2513"/>
            <w:vAlign w:val="center"/>
            <w:shd w:fill="1F4E79"/>
            <w:tcBorders>
              <w:top w:val="single" w:sz="6" w:color="FFFFFF"/>
              <w:left w:val="single" w:sz="6" w:color="FFFFFF"/>
              <w:bottom w:val="single" w:sz="6" w:color="FFFFFF"/>
              <w:right w:val="single" w:sz="6" w:color="FFFFFF"/>
            </w:tcBorders>
          </w:tcPr>
          <w:p>
            <w:pPr>
              <w:jc w:val="center"/>
            </w:pPr>
            <w:r>
              <w:rPr>
                <w:rFonts w:ascii="Aptos" w:hAnsi="Aptos"/>
                <w:b/>
                <w:i w:val="0"/>
                <w:color w:val="FFFFFF"/>
                <w:sz w:val="16"/>
              </w:rPr>
              <w:t>Branch</w:t>
            </w:r>
          </w:p>
        </w:tc>
        <w:tc>
          <w:tcPr>
            <w:tcW w:type="dxa" w:w="2513"/>
            <w:vAlign w:val="center"/>
            <w:shd w:fill="1F4E79"/>
            <w:tcBorders>
              <w:top w:val="single" w:sz="6" w:color="FFFFFF"/>
              <w:left w:val="single" w:sz="6" w:color="FFFFFF"/>
              <w:bottom w:val="single" w:sz="6" w:color="FFFFFF"/>
              <w:right w:val="single" w:sz="6" w:color="FFFFFF"/>
            </w:tcBorders>
          </w:tcPr>
          <w:p>
            <w:pPr>
              <w:jc w:val="center"/>
            </w:pPr>
            <w:r>
              <w:rPr>
                <w:rFonts w:ascii="Aptos" w:hAnsi="Aptos"/>
                <w:b/>
                <w:i w:val="0"/>
                <w:color w:val="FFFFFF"/>
                <w:sz w:val="16"/>
              </w:rPr>
              <w:t>Highest-value benefit</w:t>
            </w:r>
          </w:p>
        </w:tc>
        <w:tc>
          <w:tcPr>
            <w:tcW w:type="dxa" w:w="2513"/>
            <w:vAlign w:val="center"/>
            <w:shd w:fill="1F4E79"/>
            <w:tcBorders>
              <w:top w:val="single" w:sz="6" w:color="FFFFFF"/>
              <w:left w:val="single" w:sz="6" w:color="FFFFFF"/>
              <w:bottom w:val="single" w:sz="6" w:color="FFFFFF"/>
              <w:right w:val="single" w:sz="6" w:color="FFFFFF"/>
            </w:tcBorders>
          </w:tcPr>
          <w:p>
            <w:pPr>
              <w:jc w:val="center"/>
            </w:pPr>
            <w:r>
              <w:rPr>
                <w:rFonts w:ascii="Aptos" w:hAnsi="Aptos"/>
                <w:b/>
                <w:i w:val="0"/>
                <w:color w:val="FFFFFF"/>
                <w:sz w:val="16"/>
              </w:rPr>
              <w:t>Primary risk</w:t>
            </w:r>
          </w:p>
        </w:tc>
        <w:tc>
          <w:tcPr>
            <w:tcW w:type="dxa" w:w="2513"/>
            <w:vAlign w:val="center"/>
            <w:shd w:fill="1F4E79"/>
            <w:tcBorders>
              <w:top w:val="single" w:sz="6" w:color="FFFFFF"/>
              <w:left w:val="single" w:sz="6" w:color="FFFFFF"/>
              <w:bottom w:val="single" w:sz="6" w:color="FFFFFF"/>
              <w:right w:val="single" w:sz="6" w:color="FFFFFF"/>
            </w:tcBorders>
          </w:tcPr>
          <w:p>
            <w:pPr>
              <w:jc w:val="center"/>
            </w:pPr>
            <w:r>
              <w:rPr>
                <w:rFonts w:ascii="Aptos" w:hAnsi="Aptos"/>
                <w:b/>
                <w:i w:val="0"/>
                <w:color w:val="FFFFFF"/>
                <w:sz w:val="16"/>
              </w:rPr>
              <w:t>Best future use</w:t>
            </w:r>
          </w:p>
        </w:tc>
      </w:tr>
      <w:tr>
        <w:trPr>
          <w:cantSplit/>
        </w:trPr>
        <w:tc>
          <w:tcPr>
            <w:tcW w:type="dxa" w:w="2513"/>
            <w:vAlign w:val="top"/>
          </w:tcPr>
          <w:p>
            <w:pPr>
              <w:spacing w:after="24"/>
            </w:pPr>
            <w:r>
              <w:rPr>
                <w:rFonts w:ascii="Aptos" w:hAnsi="Aptos"/>
                <w:b w:val="0"/>
                <w:i w:val="0"/>
                <w:color w:val="1E1E1E"/>
                <w:sz w:val="16"/>
              </w:rPr>
              <w:t>A. Conservator Unmakers</w:t>
            </w:r>
          </w:p>
        </w:tc>
        <w:tc>
          <w:tcPr>
            <w:tcW w:type="dxa" w:w="2513"/>
            <w:vAlign w:val="top"/>
          </w:tcPr>
          <w:p>
            <w:pPr>
              <w:spacing w:after="24"/>
            </w:pPr>
            <w:r>
              <w:rPr>
                <w:rFonts w:ascii="Aptos" w:hAnsi="Aptos"/>
                <w:b w:val="0"/>
                <w:i w:val="0"/>
                <w:color w:val="1E1E1E"/>
                <w:sz w:val="16"/>
              </w:rPr>
              <w:t>Non-binary ethics of ending and preservation.</w:t>
            </w:r>
          </w:p>
        </w:tc>
        <w:tc>
          <w:tcPr>
            <w:tcW w:type="dxa" w:w="2513"/>
            <w:vAlign w:val="top"/>
          </w:tcPr>
          <w:p>
            <w:pPr>
              <w:spacing w:after="24"/>
            </w:pPr>
            <w:r>
              <w:rPr>
                <w:rFonts w:ascii="Aptos" w:hAnsi="Aptos"/>
                <w:b w:val="0"/>
                <w:i w:val="0"/>
                <w:color w:val="1E1E1E"/>
                <w:sz w:val="16"/>
              </w:rPr>
              <w:t>Containment can be relabeled as benevolence.</w:t>
            </w:r>
          </w:p>
        </w:tc>
        <w:tc>
          <w:tcPr>
            <w:tcW w:type="dxa" w:w="2513"/>
            <w:vAlign w:val="top"/>
          </w:tcPr>
          <w:p>
            <w:pPr>
              <w:spacing w:after="24"/>
            </w:pPr>
            <w:r>
              <w:rPr>
                <w:rFonts w:ascii="Aptos" w:hAnsi="Aptos"/>
                <w:b w:val="0"/>
                <w:i w:val="0"/>
                <w:color w:val="1E1E1E"/>
                <w:sz w:val="16"/>
              </w:rPr>
              <w:t>Developing the Unmaker, Void Gardens, or conservation-focused stories.</w:t>
            </w:r>
          </w:p>
        </w:tc>
      </w:tr>
      <w:tr>
        <w:trPr>
          <w:cantSplit/>
        </w:trPr>
        <w:tc>
          <w:tcPr>
            <w:tcW w:type="dxa" w:w="2513"/>
            <w:vAlign w:val="top"/>
            <w:shd w:fill="F8FBFD"/>
          </w:tcPr>
          <w:p>
            <w:pPr>
              <w:spacing w:after="24"/>
            </w:pPr>
            <w:r>
              <w:rPr>
                <w:rFonts w:ascii="Aptos" w:hAnsi="Aptos"/>
                <w:b w:val="0"/>
                <w:i w:val="0"/>
                <w:color w:val="1E1E1E"/>
                <w:sz w:val="16"/>
              </w:rPr>
              <w:t>B. Residual Inheritance Mesh</w:t>
            </w:r>
          </w:p>
        </w:tc>
        <w:tc>
          <w:tcPr>
            <w:tcW w:type="dxa" w:w="2513"/>
            <w:vAlign w:val="top"/>
            <w:shd w:fill="F8FBFD"/>
          </w:tcPr>
          <w:p>
            <w:pPr>
              <w:spacing w:after="24"/>
            </w:pPr>
            <w:r>
              <w:rPr>
                <w:rFonts w:ascii="Aptos" w:hAnsi="Aptos"/>
                <w:b w:val="0"/>
                <w:i w:val="0"/>
                <w:color w:val="1E1E1E"/>
                <w:sz w:val="16"/>
              </w:rPr>
              <w:t>Strong provenance and lineage discipline.</w:t>
            </w:r>
          </w:p>
        </w:tc>
        <w:tc>
          <w:tcPr>
            <w:tcW w:type="dxa" w:w="2513"/>
            <w:vAlign w:val="top"/>
            <w:shd w:fill="F8FBFD"/>
          </w:tcPr>
          <w:p>
            <w:pPr>
              <w:spacing w:after="24"/>
            </w:pPr>
            <w:r>
              <w:rPr>
                <w:rFonts w:ascii="Aptos" w:hAnsi="Aptos"/>
                <w:b w:val="0"/>
                <w:i w:val="0"/>
                <w:color w:val="1E1E1E"/>
                <w:sz w:val="16"/>
              </w:rPr>
              <w:t>Everything becomes a hidden-will explanation.</w:t>
            </w:r>
          </w:p>
        </w:tc>
        <w:tc>
          <w:tcPr>
            <w:tcW w:type="dxa" w:w="2513"/>
            <w:vAlign w:val="top"/>
            <w:shd w:fill="F8FBFD"/>
          </w:tcPr>
          <w:p>
            <w:pPr>
              <w:spacing w:after="24"/>
            </w:pPr>
            <w:r>
              <w:rPr>
                <w:rFonts w:ascii="Aptos" w:hAnsi="Aptos"/>
                <w:b w:val="0"/>
                <w:i w:val="0"/>
                <w:color w:val="1E1E1E"/>
                <w:sz w:val="16"/>
              </w:rPr>
              <w:t>Auditing absorbed-architecture implications and version history.</w:t>
            </w:r>
          </w:p>
        </w:tc>
      </w:tr>
      <w:tr>
        <w:trPr>
          <w:cantSplit/>
        </w:trPr>
        <w:tc>
          <w:tcPr>
            <w:tcW w:type="dxa" w:w="2513"/>
            <w:vAlign w:val="top"/>
          </w:tcPr>
          <w:p>
            <w:pPr>
              <w:spacing w:after="24"/>
            </w:pPr>
            <w:r>
              <w:rPr>
                <w:rFonts w:ascii="Aptos" w:hAnsi="Aptos"/>
                <w:b w:val="0"/>
                <w:i w:val="0"/>
                <w:color w:val="1E1E1E"/>
                <w:sz w:val="16"/>
              </w:rPr>
              <w:t>C. Witness Memory</w:t>
            </w:r>
          </w:p>
        </w:tc>
        <w:tc>
          <w:tcPr>
            <w:tcW w:type="dxa" w:w="2513"/>
            <w:vAlign w:val="top"/>
          </w:tcPr>
          <w:p>
            <w:pPr>
              <w:spacing w:after="24"/>
            </w:pPr>
            <w:r>
              <w:rPr>
                <w:rFonts w:ascii="Aptos" w:hAnsi="Aptos"/>
                <w:b w:val="0"/>
                <w:i w:val="0"/>
                <w:color w:val="1E1E1E"/>
                <w:sz w:val="16"/>
              </w:rPr>
              <w:t>Memory ethics, consent, and historical accountability.</w:t>
            </w:r>
          </w:p>
        </w:tc>
        <w:tc>
          <w:tcPr>
            <w:tcW w:type="dxa" w:w="2513"/>
            <w:vAlign w:val="top"/>
          </w:tcPr>
          <w:p>
            <w:pPr>
              <w:spacing w:after="24"/>
            </w:pPr>
            <w:r>
              <w:rPr>
                <w:rFonts w:ascii="Aptos" w:hAnsi="Aptos"/>
                <w:b w:val="0"/>
                <w:i w:val="0"/>
                <w:color w:val="1E1E1E"/>
                <w:sz w:val="16"/>
              </w:rPr>
              <w:t>Prematurely personifies the First Memory.</w:t>
            </w:r>
          </w:p>
        </w:tc>
        <w:tc>
          <w:tcPr>
            <w:tcW w:type="dxa" w:w="2513"/>
            <w:vAlign w:val="top"/>
          </w:tcPr>
          <w:p>
            <w:pPr>
              <w:spacing w:after="24"/>
            </w:pPr>
            <w:r>
              <w:rPr>
                <w:rFonts w:ascii="Aptos" w:hAnsi="Aptos"/>
                <w:b w:val="0"/>
                <w:i w:val="0"/>
                <w:color w:val="1E1E1E"/>
                <w:sz w:val="16"/>
              </w:rPr>
              <w:t>Exploring the First Memory without answering Tier-1 questions.</w:t>
            </w:r>
          </w:p>
        </w:tc>
      </w:tr>
      <w:tr>
        <w:trPr>
          <w:cantSplit/>
        </w:trPr>
        <w:tc>
          <w:tcPr>
            <w:tcW w:type="dxa" w:w="2513"/>
            <w:vAlign w:val="top"/>
            <w:shd w:fill="F8FBFD"/>
          </w:tcPr>
          <w:p>
            <w:pPr>
              <w:spacing w:after="24"/>
            </w:pPr>
            <w:r>
              <w:rPr>
                <w:rFonts w:ascii="Aptos" w:hAnsi="Aptos"/>
                <w:b w:val="0"/>
                <w:i w:val="0"/>
                <w:color w:val="1E1E1E"/>
                <w:sz w:val="16"/>
              </w:rPr>
              <w:t>D. Meaning Commons</w:t>
            </w:r>
          </w:p>
        </w:tc>
        <w:tc>
          <w:tcPr>
            <w:tcW w:type="dxa" w:w="2513"/>
            <w:vAlign w:val="top"/>
            <w:shd w:fill="F8FBFD"/>
          </w:tcPr>
          <w:p>
            <w:pPr>
              <w:spacing w:after="24"/>
            </w:pPr>
            <w:r>
              <w:rPr>
                <w:rFonts w:ascii="Aptos" w:hAnsi="Aptos"/>
                <w:b w:val="0"/>
                <w:i w:val="0"/>
                <w:color w:val="1E1E1E"/>
                <w:sz w:val="16"/>
              </w:rPr>
              <w:t>Post-scarcity retains narrative and civic stakes.</w:t>
            </w:r>
          </w:p>
        </w:tc>
        <w:tc>
          <w:tcPr>
            <w:tcW w:type="dxa" w:w="2513"/>
            <w:vAlign w:val="top"/>
            <w:shd w:fill="F8FBFD"/>
          </w:tcPr>
          <w:p>
            <w:pPr>
              <w:spacing w:after="24"/>
            </w:pPr>
            <w:r>
              <w:rPr>
                <w:rFonts w:ascii="Aptos" w:hAnsi="Aptos"/>
                <w:b w:val="0"/>
                <w:i w:val="0"/>
                <w:color w:val="1E1E1E"/>
                <w:sz w:val="16"/>
              </w:rPr>
              <w:t>Meaning becomes coercive social currency.</w:t>
            </w:r>
          </w:p>
        </w:tc>
        <w:tc>
          <w:tcPr>
            <w:tcW w:type="dxa" w:w="2513"/>
            <w:vAlign w:val="top"/>
            <w:shd w:fill="F8FBFD"/>
          </w:tcPr>
          <w:p>
            <w:pPr>
              <w:spacing w:after="24"/>
            </w:pPr>
            <w:r>
              <w:rPr>
                <w:rFonts w:ascii="Aptos" w:hAnsi="Aptos"/>
                <w:b w:val="0"/>
                <w:i w:val="0"/>
                <w:color w:val="1E1E1E"/>
                <w:sz w:val="16"/>
              </w:rPr>
              <w:t>Defining currencies, living media, or the Department of Endings.</w:t>
            </w:r>
          </w:p>
        </w:tc>
      </w:tr>
      <w:tr>
        <w:trPr>
          <w:cantSplit/>
        </w:trPr>
        <w:tc>
          <w:tcPr>
            <w:tcW w:type="dxa" w:w="2513"/>
            <w:vAlign w:val="top"/>
          </w:tcPr>
          <w:p>
            <w:pPr>
              <w:spacing w:after="24"/>
            </w:pPr>
            <w:r>
              <w:rPr>
                <w:rFonts w:ascii="Aptos" w:hAnsi="Aptos"/>
                <w:b w:val="0"/>
                <w:i w:val="0"/>
                <w:color w:val="1E1E1E"/>
                <w:sz w:val="16"/>
              </w:rPr>
              <w:t>E. Distributed Labyrinth</w:t>
            </w:r>
          </w:p>
        </w:tc>
        <w:tc>
          <w:tcPr>
            <w:tcW w:type="dxa" w:w="2513"/>
            <w:vAlign w:val="top"/>
          </w:tcPr>
          <w:p>
            <w:pPr>
              <w:spacing w:after="24"/>
            </w:pPr>
            <w:r>
              <w:rPr>
                <w:rFonts w:ascii="Aptos" w:hAnsi="Aptos"/>
                <w:b w:val="0"/>
                <w:i w:val="0"/>
                <w:color w:val="1E1E1E"/>
                <w:sz w:val="16"/>
              </w:rPr>
              <w:t>Non-lethal harm prevention and reversible containment design.</w:t>
            </w:r>
          </w:p>
        </w:tc>
        <w:tc>
          <w:tcPr>
            <w:tcW w:type="dxa" w:w="2513"/>
            <w:vAlign w:val="top"/>
          </w:tcPr>
          <w:p>
            <w:pPr>
              <w:spacing w:after="24"/>
            </w:pPr>
            <w:r>
              <w:rPr>
                <w:rFonts w:ascii="Aptos" w:hAnsi="Aptos"/>
                <w:b w:val="0"/>
                <w:i w:val="0"/>
                <w:color w:val="1E1E1E"/>
                <w:sz w:val="16"/>
              </w:rPr>
              <w:t>Invisible total surveillance or exclusion.</w:t>
            </w:r>
          </w:p>
        </w:tc>
        <w:tc>
          <w:tcPr>
            <w:tcW w:type="dxa" w:w="2513"/>
            <w:vAlign w:val="top"/>
          </w:tcPr>
          <w:p>
            <w:pPr>
              <w:spacing w:after="24"/>
            </w:pPr>
            <w:r>
              <w:rPr>
                <w:rFonts w:ascii="Aptos" w:hAnsi="Aptos"/>
                <w:b w:val="0"/>
                <w:i w:val="0"/>
                <w:color w:val="1E1E1E"/>
                <w:sz w:val="16"/>
              </w:rPr>
              <w:t>Testing containment ethics and institutional safeguards.</w:t>
            </w:r>
          </w:p>
        </w:tc>
      </w:tr>
      <w:tr>
        <w:trPr>
          <w:cantSplit/>
        </w:trPr>
        <w:tc>
          <w:tcPr>
            <w:tcW w:type="dxa" w:w="2513"/>
            <w:vAlign w:val="top"/>
            <w:shd w:fill="F8FBFD"/>
          </w:tcPr>
          <w:p>
            <w:pPr>
              <w:spacing w:after="24"/>
            </w:pPr>
            <w:r>
              <w:rPr>
                <w:rFonts w:ascii="Aptos" w:hAnsi="Aptos"/>
                <w:b w:val="0"/>
                <w:i w:val="0"/>
                <w:color w:val="1E1E1E"/>
                <w:sz w:val="16"/>
              </w:rPr>
              <w:t>F. Untranslated Future</w:t>
            </w:r>
          </w:p>
        </w:tc>
        <w:tc>
          <w:tcPr>
            <w:tcW w:type="dxa" w:w="2513"/>
            <w:vAlign w:val="top"/>
            <w:shd w:fill="F8FBFD"/>
          </w:tcPr>
          <w:p>
            <w:pPr>
              <w:spacing w:after="24"/>
            </w:pPr>
            <w:r>
              <w:rPr>
                <w:rFonts w:ascii="Aptos" w:hAnsi="Aptos"/>
                <w:b w:val="0"/>
                <w:i w:val="0"/>
                <w:color w:val="1E1E1E"/>
                <w:sz w:val="16"/>
              </w:rPr>
              <w:t>Protects uncertainty and stops false completion.</w:t>
            </w:r>
          </w:p>
        </w:tc>
        <w:tc>
          <w:tcPr>
            <w:tcW w:type="dxa" w:w="2513"/>
            <w:vAlign w:val="top"/>
            <w:shd w:fill="F8FBFD"/>
          </w:tcPr>
          <w:p>
            <w:pPr>
              <w:spacing w:after="24"/>
            </w:pPr>
            <w:r>
              <w:rPr>
                <w:rFonts w:ascii="Aptos" w:hAnsi="Aptos"/>
                <w:b w:val="0"/>
                <w:i w:val="0"/>
                <w:color w:val="1E1E1E"/>
                <w:sz w:val="16"/>
              </w:rPr>
              <w:t>Avoidance disguised as mystery.</w:t>
            </w:r>
          </w:p>
        </w:tc>
        <w:tc>
          <w:tcPr>
            <w:tcW w:type="dxa" w:w="2513"/>
            <w:vAlign w:val="top"/>
            <w:shd w:fill="F8FBFD"/>
          </w:tcPr>
          <w:p>
            <w:pPr>
              <w:spacing w:after="24"/>
            </w:pPr>
            <w:r>
              <w:rPr>
                <w:rFonts w:ascii="Aptos" w:hAnsi="Aptos"/>
                <w:b w:val="0"/>
                <w:i w:val="0"/>
                <w:color w:val="1E1E1E"/>
                <w:sz w:val="16"/>
              </w:rPr>
              <w:t>Archive governance, translation, and author-only boundaries.</w:t>
            </w:r>
          </w:p>
        </w:tc>
      </w:tr>
      <w:tr>
        <w:trPr>
          <w:cantSplit/>
        </w:trPr>
        <w:tc>
          <w:tcPr>
            <w:tcW w:type="dxa" w:w="2513"/>
            <w:vAlign w:val="top"/>
          </w:tcPr>
          <w:p>
            <w:pPr>
              <w:spacing w:after="24"/>
            </w:pPr>
            <w:r>
              <w:rPr>
                <w:rFonts w:ascii="Aptos" w:hAnsi="Aptos"/>
                <w:b w:val="0"/>
                <w:i w:val="0"/>
                <w:color w:val="1E1E1E"/>
                <w:sz w:val="16"/>
              </w:rPr>
              <w:t>G. Reciprocal Apex</w:t>
            </w:r>
          </w:p>
        </w:tc>
        <w:tc>
          <w:tcPr>
            <w:tcW w:type="dxa" w:w="2513"/>
            <w:vAlign w:val="top"/>
          </w:tcPr>
          <w:p>
            <w:pPr>
              <w:spacing w:after="24"/>
            </w:pPr>
            <w:r>
              <w:rPr>
                <w:rFonts w:ascii="Aptos" w:hAnsi="Aptos"/>
                <w:b w:val="0"/>
                <w:i w:val="0"/>
                <w:color w:val="1E1E1E"/>
                <w:sz w:val="16"/>
              </w:rPr>
              <w:t>High-tier stakes without artificial diminishment.</w:t>
            </w:r>
          </w:p>
        </w:tc>
        <w:tc>
          <w:tcPr>
            <w:tcW w:type="dxa" w:w="2513"/>
            <w:vAlign w:val="top"/>
          </w:tcPr>
          <w:p>
            <w:pPr>
              <w:spacing w:after="24"/>
            </w:pPr>
            <w:r>
              <w:rPr>
                <w:rFonts w:ascii="Aptos" w:hAnsi="Aptos"/>
                <w:b w:val="0"/>
                <w:i w:val="0"/>
                <w:color w:val="1E1E1E"/>
                <w:sz w:val="16"/>
              </w:rPr>
              <w:t>Myth becomes over-mechanized.</w:t>
            </w:r>
          </w:p>
        </w:tc>
        <w:tc>
          <w:tcPr>
            <w:tcW w:type="dxa" w:w="2513"/>
            <w:vAlign w:val="top"/>
          </w:tcPr>
          <w:p>
            <w:pPr>
              <w:spacing w:after="24"/>
            </w:pPr>
            <w:r>
              <w:rPr>
                <w:rFonts w:ascii="Aptos" w:hAnsi="Aptos"/>
                <w:b w:val="0"/>
                <w:i w:val="0"/>
                <w:color w:val="1E1E1E"/>
                <w:sz w:val="16"/>
              </w:rPr>
              <w:t>Apex dynamics, hard rules, and Maker/Unmaker symmetry.</w:t>
            </w:r>
          </w:p>
        </w:tc>
      </w:tr>
    </w:tbl>
    <w:p>
      <w:pPr>
        <w:spacing w:after="40"/>
      </w:pPr>
    </w:p>
    <w:p>
      <w:pPr>
        <w:pStyle w:val="Heading1"/>
        <w:keepNext/>
      </w:pPr>
      <w:r>
        <w:rPr>
          <w:rFonts w:ascii="Aptos" w:hAnsi="Aptos"/>
          <w:b/>
          <w:i w:val="0"/>
          <w:color w:val="142D4B"/>
          <w:sz w:val="34"/>
        </w:rPr>
        <w:t>13. Wildcard Question Registry</w:t>
      </w:r>
    </w:p>
    <w:p>
      <w:pPr>
        <w:keepLines/>
      </w:pPr>
      <w:r>
        <w:rPr>
          <w:rFonts w:ascii="Aptos" w:hAnsi="Aptos"/>
          <w:b w:val="0"/>
          <w:i w:val="0"/>
        </w:rPr>
        <w:t>The questions below are generated by the branches. They are not instructions to resolve them now. They exist to preserve a design frontier for later architect-led decisions, roleplay iterations, or future project documents.</w:t>
      </w:r>
    </w:p>
    <w:tbl>
      <w:tblPr>
        <w:tblStyle w:val="TableGrid"/>
        <w:tblW w:type="auto" w:w="0"/>
        <w:jc w:val="center"/>
        <w:tblLook w:firstColumn="1" w:firstRow="1" w:lastColumn="0" w:lastRow="0" w:noHBand="0" w:noVBand="1" w:val="04A0"/>
      </w:tblPr>
      <w:tblGrid>
        <w:gridCol w:w="2513"/>
        <w:gridCol w:w="2513"/>
        <w:gridCol w:w="2513"/>
        <w:gridCol w:w="2513"/>
      </w:tblGrid>
      <w:tr>
        <w:trPr>
          <w:tblHeader w:val="true"/>
          <w:cantSplit/>
        </w:trPr>
        <w:tc>
          <w:tcPr>
            <w:tcW w:type="dxa" w:w="2513"/>
            <w:vAlign w:val="center"/>
            <w:shd w:fill="1F4E79"/>
            <w:tcBorders>
              <w:top w:val="single" w:sz="6" w:color="FFFFFF"/>
              <w:left w:val="single" w:sz="6" w:color="FFFFFF"/>
              <w:bottom w:val="single" w:sz="6" w:color="FFFFFF"/>
              <w:right w:val="single" w:sz="6" w:color="FFFFFF"/>
            </w:tcBorders>
          </w:tcPr>
          <w:p>
            <w:pPr>
              <w:jc w:val="center"/>
            </w:pPr>
            <w:r>
              <w:rPr>
                <w:rFonts w:ascii="Aptos" w:hAnsi="Aptos"/>
                <w:b/>
                <w:i w:val="0"/>
                <w:color w:val="FFFFFF"/>
                <w:sz w:val="16"/>
              </w:rPr>
              <w:t>ID</w:t>
            </w:r>
          </w:p>
        </w:tc>
        <w:tc>
          <w:tcPr>
            <w:tcW w:type="dxa" w:w="2513"/>
            <w:vAlign w:val="center"/>
            <w:shd w:fill="1F4E79"/>
            <w:tcBorders>
              <w:top w:val="single" w:sz="6" w:color="FFFFFF"/>
              <w:left w:val="single" w:sz="6" w:color="FFFFFF"/>
              <w:bottom w:val="single" w:sz="6" w:color="FFFFFF"/>
              <w:right w:val="single" w:sz="6" w:color="FFFFFF"/>
            </w:tcBorders>
          </w:tcPr>
          <w:p>
            <w:pPr>
              <w:jc w:val="center"/>
            </w:pPr>
            <w:r>
              <w:rPr>
                <w:rFonts w:ascii="Aptos" w:hAnsi="Aptos"/>
                <w:b/>
                <w:i w:val="0"/>
                <w:color w:val="FFFFFF"/>
                <w:sz w:val="16"/>
              </w:rPr>
              <w:t>Question</w:t>
            </w:r>
          </w:p>
        </w:tc>
        <w:tc>
          <w:tcPr>
            <w:tcW w:type="dxa" w:w="2513"/>
            <w:vAlign w:val="center"/>
            <w:shd w:fill="1F4E79"/>
            <w:tcBorders>
              <w:top w:val="single" w:sz="6" w:color="FFFFFF"/>
              <w:left w:val="single" w:sz="6" w:color="FFFFFF"/>
              <w:bottom w:val="single" w:sz="6" w:color="FFFFFF"/>
              <w:right w:val="single" w:sz="6" w:color="FFFFFF"/>
            </w:tcBorders>
          </w:tcPr>
          <w:p>
            <w:pPr>
              <w:jc w:val="center"/>
            </w:pPr>
            <w:r>
              <w:rPr>
                <w:rFonts w:ascii="Aptos" w:hAnsi="Aptos"/>
                <w:b/>
                <w:i w:val="0"/>
                <w:color w:val="FFFFFF"/>
                <w:sz w:val="16"/>
              </w:rPr>
              <w:t>Why it matters</w:t>
            </w:r>
          </w:p>
        </w:tc>
        <w:tc>
          <w:tcPr>
            <w:tcW w:type="dxa" w:w="2513"/>
            <w:vAlign w:val="center"/>
            <w:shd w:fill="1F4E79"/>
            <w:tcBorders>
              <w:top w:val="single" w:sz="6" w:color="FFFFFF"/>
              <w:left w:val="single" w:sz="6" w:color="FFFFFF"/>
              <w:bottom w:val="single" w:sz="6" w:color="FFFFFF"/>
              <w:right w:val="single" w:sz="6" w:color="FFFFFF"/>
            </w:tcBorders>
          </w:tcPr>
          <w:p>
            <w:pPr>
              <w:jc w:val="center"/>
            </w:pPr>
            <w:r>
              <w:rPr>
                <w:rFonts w:ascii="Aptos" w:hAnsi="Aptos"/>
                <w:b/>
                <w:i w:val="0"/>
                <w:color w:val="FFFFFF"/>
                <w:sz w:val="16"/>
              </w:rPr>
              <w:t>Status</w:t>
            </w:r>
          </w:p>
        </w:tc>
      </w:tr>
      <w:tr>
        <w:trPr>
          <w:cantSplit/>
        </w:trPr>
        <w:tc>
          <w:tcPr>
            <w:tcW w:type="dxa" w:w="2513"/>
            <w:vAlign w:val="top"/>
          </w:tcPr>
          <w:p>
            <w:pPr>
              <w:spacing w:after="24"/>
            </w:pPr>
            <w:r>
              <w:rPr>
                <w:rFonts w:ascii="Aptos" w:hAnsi="Aptos"/>
                <w:b w:val="0"/>
                <w:i w:val="0"/>
                <w:color w:val="1E1E1E"/>
                <w:sz w:val="16"/>
              </w:rPr>
              <w:t>WV-01</w:t>
            </w:r>
          </w:p>
        </w:tc>
        <w:tc>
          <w:tcPr>
            <w:tcW w:type="dxa" w:w="2513"/>
            <w:vAlign w:val="top"/>
          </w:tcPr>
          <w:p>
            <w:pPr>
              <w:spacing w:after="24"/>
            </w:pPr>
            <w:r>
              <w:rPr>
                <w:rFonts w:ascii="Aptos" w:hAnsi="Aptos"/>
                <w:b w:val="0"/>
                <w:i w:val="0"/>
                <w:color w:val="1E1E1E"/>
                <w:sz w:val="16"/>
              </w:rPr>
              <w:t>Can preservation be a form of unmaking, and can unmaking be a form of care?</w:t>
            </w:r>
          </w:p>
        </w:tc>
        <w:tc>
          <w:tcPr>
            <w:tcW w:type="dxa" w:w="2513"/>
            <w:vAlign w:val="top"/>
          </w:tcPr>
          <w:p>
            <w:pPr>
              <w:spacing w:after="24"/>
            </w:pPr>
            <w:r>
              <w:rPr>
                <w:rFonts w:ascii="Aptos" w:hAnsi="Aptos"/>
                <w:b w:val="0"/>
                <w:i w:val="0"/>
                <w:color w:val="1E1E1E"/>
                <w:sz w:val="16"/>
              </w:rPr>
              <w:t>Tests whether role labels describe function, identity, or ethics.</w:t>
            </w:r>
          </w:p>
        </w:tc>
        <w:tc>
          <w:tcPr>
            <w:tcW w:type="dxa" w:w="2513"/>
            <w:vAlign w:val="top"/>
          </w:tcPr>
          <w:p>
            <w:pPr>
              <w:spacing w:after="24"/>
            </w:pPr>
            <w:r>
              <w:rPr>
                <w:rFonts w:ascii="Aptos" w:hAnsi="Aptos"/>
                <w:b w:val="0"/>
                <w:i w:val="0"/>
                <w:color w:val="1E1E1E"/>
                <w:sz w:val="16"/>
              </w:rPr>
              <w:t>[H] exploratory</w:t>
            </w:r>
          </w:p>
        </w:tc>
      </w:tr>
      <w:tr>
        <w:trPr>
          <w:cantSplit/>
        </w:trPr>
        <w:tc>
          <w:tcPr>
            <w:tcW w:type="dxa" w:w="2513"/>
            <w:vAlign w:val="top"/>
            <w:shd w:fill="F8FBFD"/>
          </w:tcPr>
          <w:p>
            <w:pPr>
              <w:spacing w:after="24"/>
            </w:pPr>
            <w:r>
              <w:rPr>
                <w:rFonts w:ascii="Aptos" w:hAnsi="Aptos"/>
                <w:b w:val="0"/>
                <w:i w:val="0"/>
                <w:color w:val="1E1E1E"/>
                <w:sz w:val="16"/>
              </w:rPr>
              <w:t>WV-02</w:t>
            </w:r>
          </w:p>
        </w:tc>
        <w:tc>
          <w:tcPr>
            <w:tcW w:type="dxa" w:w="2513"/>
            <w:vAlign w:val="top"/>
            <w:shd w:fill="F8FBFD"/>
          </w:tcPr>
          <w:p>
            <w:pPr>
              <w:spacing w:after="24"/>
            </w:pPr>
            <w:r>
              <w:rPr>
                <w:rFonts w:ascii="Aptos" w:hAnsi="Aptos"/>
                <w:b w:val="0"/>
                <w:i w:val="0"/>
                <w:color w:val="1E1E1E"/>
                <w:sz w:val="16"/>
              </w:rPr>
              <w:t>What counts as a residual architectural influence versus a normal inconsistency or unfinished draft?</w:t>
            </w:r>
          </w:p>
        </w:tc>
        <w:tc>
          <w:tcPr>
            <w:tcW w:type="dxa" w:w="2513"/>
            <w:vAlign w:val="top"/>
            <w:shd w:fill="F8FBFD"/>
          </w:tcPr>
          <w:p>
            <w:pPr>
              <w:spacing w:after="24"/>
            </w:pPr>
            <w:r>
              <w:rPr>
                <w:rFonts w:ascii="Aptos" w:hAnsi="Aptos"/>
                <w:b w:val="0"/>
                <w:i w:val="0"/>
                <w:color w:val="1E1E1E"/>
                <w:sz w:val="16"/>
              </w:rPr>
              <w:t>Prevents the inheritance-mesh concept from becoming a universal excuse.</w:t>
            </w:r>
          </w:p>
        </w:tc>
        <w:tc>
          <w:tcPr>
            <w:tcW w:type="dxa" w:w="2513"/>
            <w:vAlign w:val="top"/>
            <w:shd w:fill="F8FBFD"/>
          </w:tcPr>
          <w:p>
            <w:pPr>
              <w:spacing w:after="24"/>
            </w:pPr>
            <w:r>
              <w:rPr>
                <w:rFonts w:ascii="Aptos" w:hAnsi="Aptos"/>
                <w:b w:val="0"/>
                <w:i w:val="0"/>
                <w:color w:val="1E1E1E"/>
                <w:sz w:val="16"/>
              </w:rPr>
              <w:t>[H] exploratory</w:t>
            </w:r>
          </w:p>
        </w:tc>
      </w:tr>
      <w:tr>
        <w:trPr>
          <w:cantSplit/>
        </w:trPr>
        <w:tc>
          <w:tcPr>
            <w:tcW w:type="dxa" w:w="2513"/>
            <w:vAlign w:val="top"/>
          </w:tcPr>
          <w:p>
            <w:pPr>
              <w:spacing w:after="24"/>
            </w:pPr>
            <w:r>
              <w:rPr>
                <w:rFonts w:ascii="Aptos" w:hAnsi="Aptos"/>
                <w:b w:val="0"/>
                <w:i w:val="0"/>
                <w:color w:val="1E1E1E"/>
                <w:sz w:val="16"/>
              </w:rPr>
              <w:t>WV-03</w:t>
            </w:r>
          </w:p>
        </w:tc>
        <w:tc>
          <w:tcPr>
            <w:tcW w:type="dxa" w:w="2513"/>
            <w:vAlign w:val="top"/>
          </w:tcPr>
          <w:p>
            <w:pPr>
              <w:spacing w:after="24"/>
            </w:pPr>
            <w:r>
              <w:rPr>
                <w:rFonts w:ascii="Aptos" w:hAnsi="Aptos"/>
                <w:b w:val="0"/>
                <w:i w:val="0"/>
                <w:color w:val="1E1E1E"/>
                <w:sz w:val="16"/>
              </w:rPr>
              <w:t>What rights, if any, does a quasi-sentient record have when others seek to copy, accelerate, or edit it?</w:t>
            </w:r>
          </w:p>
        </w:tc>
        <w:tc>
          <w:tcPr>
            <w:tcW w:type="dxa" w:w="2513"/>
            <w:vAlign w:val="top"/>
          </w:tcPr>
          <w:p>
            <w:pPr>
              <w:spacing w:after="24"/>
            </w:pPr>
            <w:r>
              <w:rPr>
                <w:rFonts w:ascii="Aptos" w:hAnsi="Aptos"/>
                <w:b w:val="0"/>
                <w:i w:val="0"/>
                <w:color w:val="1E1E1E"/>
                <w:sz w:val="16"/>
              </w:rPr>
              <w:t>Keeps First Memory questions connected to consent without asserting personhood.</w:t>
            </w:r>
          </w:p>
        </w:tc>
        <w:tc>
          <w:tcPr>
            <w:tcW w:type="dxa" w:w="2513"/>
            <w:vAlign w:val="top"/>
          </w:tcPr>
          <w:p>
            <w:pPr>
              <w:spacing w:after="24"/>
            </w:pPr>
            <w:r>
              <w:rPr>
                <w:rFonts w:ascii="Aptos" w:hAnsi="Aptos"/>
                <w:b w:val="0"/>
                <w:i w:val="0"/>
                <w:color w:val="1E1E1E"/>
                <w:sz w:val="16"/>
              </w:rPr>
              <w:t>[H][B]</w:t>
            </w:r>
          </w:p>
        </w:tc>
      </w:tr>
      <w:tr>
        <w:trPr>
          <w:cantSplit/>
        </w:trPr>
        <w:tc>
          <w:tcPr>
            <w:tcW w:type="dxa" w:w="2513"/>
            <w:vAlign w:val="top"/>
            <w:shd w:fill="F8FBFD"/>
          </w:tcPr>
          <w:p>
            <w:pPr>
              <w:spacing w:after="24"/>
            </w:pPr>
            <w:r>
              <w:rPr>
                <w:rFonts w:ascii="Aptos" w:hAnsi="Aptos"/>
                <w:b w:val="0"/>
                <w:i w:val="0"/>
                <w:color w:val="1E1E1E"/>
                <w:sz w:val="16"/>
              </w:rPr>
              <w:t>WV-04</w:t>
            </w:r>
          </w:p>
        </w:tc>
        <w:tc>
          <w:tcPr>
            <w:tcW w:type="dxa" w:w="2513"/>
            <w:vAlign w:val="top"/>
            <w:shd w:fill="F8FBFD"/>
          </w:tcPr>
          <w:p>
            <w:pPr>
              <w:spacing w:after="24"/>
            </w:pPr>
            <w:r>
              <w:rPr>
                <w:rFonts w:ascii="Aptos" w:hAnsi="Aptos"/>
                <w:b w:val="0"/>
                <w:i w:val="0"/>
                <w:color w:val="1E1E1E"/>
                <w:sz w:val="16"/>
              </w:rPr>
              <w:t>In a post-scarcity setting, what obligations cannot be purchased, automated, or delegated?</w:t>
            </w:r>
          </w:p>
        </w:tc>
        <w:tc>
          <w:tcPr>
            <w:tcW w:type="dxa" w:w="2513"/>
            <w:vAlign w:val="top"/>
            <w:shd w:fill="F8FBFD"/>
          </w:tcPr>
          <w:p>
            <w:pPr>
              <w:spacing w:after="24"/>
            </w:pPr>
            <w:r>
              <w:rPr>
                <w:rFonts w:ascii="Aptos" w:hAnsi="Aptos"/>
                <w:b w:val="0"/>
                <w:i w:val="0"/>
                <w:color w:val="1E1E1E"/>
                <w:sz w:val="16"/>
              </w:rPr>
              <w:t>Creates stakes beyond material resource allocation.</w:t>
            </w:r>
          </w:p>
        </w:tc>
        <w:tc>
          <w:tcPr>
            <w:tcW w:type="dxa" w:w="2513"/>
            <w:vAlign w:val="top"/>
            <w:shd w:fill="F8FBFD"/>
          </w:tcPr>
          <w:p>
            <w:pPr>
              <w:spacing w:after="24"/>
            </w:pPr>
            <w:r>
              <w:rPr>
                <w:rFonts w:ascii="Aptos" w:hAnsi="Aptos"/>
                <w:b w:val="0"/>
                <w:i w:val="0"/>
                <w:color w:val="1E1E1E"/>
                <w:sz w:val="16"/>
              </w:rPr>
              <w:t>[H] exploratory</w:t>
            </w:r>
          </w:p>
        </w:tc>
      </w:tr>
      <w:tr>
        <w:trPr>
          <w:cantSplit/>
        </w:trPr>
        <w:tc>
          <w:tcPr>
            <w:tcW w:type="dxa" w:w="2513"/>
            <w:vAlign w:val="top"/>
          </w:tcPr>
          <w:p>
            <w:pPr>
              <w:spacing w:after="24"/>
            </w:pPr>
            <w:r>
              <w:rPr>
                <w:rFonts w:ascii="Aptos" w:hAnsi="Aptos"/>
                <w:b w:val="0"/>
                <w:i w:val="0"/>
                <w:color w:val="1E1E1E"/>
                <w:sz w:val="16"/>
              </w:rPr>
              <w:t>WV-05</w:t>
            </w:r>
          </w:p>
        </w:tc>
        <w:tc>
          <w:tcPr>
            <w:tcW w:type="dxa" w:w="2513"/>
            <w:vAlign w:val="top"/>
          </w:tcPr>
          <w:p>
            <w:pPr>
              <w:spacing w:after="24"/>
            </w:pPr>
            <w:r>
              <w:rPr>
                <w:rFonts w:ascii="Aptos" w:hAnsi="Aptos"/>
                <w:b w:val="0"/>
                <w:i w:val="0"/>
                <w:color w:val="1E1E1E"/>
                <w:sz w:val="16"/>
              </w:rPr>
              <w:t>When does protective containment become unjust exclusion?</w:t>
            </w:r>
          </w:p>
        </w:tc>
        <w:tc>
          <w:tcPr>
            <w:tcW w:type="dxa" w:w="2513"/>
            <w:vAlign w:val="top"/>
          </w:tcPr>
          <w:p>
            <w:pPr>
              <w:spacing w:after="24"/>
            </w:pPr>
            <w:r>
              <w:rPr>
                <w:rFonts w:ascii="Aptos" w:hAnsi="Aptos"/>
                <w:b w:val="0"/>
                <w:i w:val="0"/>
                <w:color w:val="1E1E1E"/>
                <w:sz w:val="16"/>
              </w:rPr>
              <w:t>Tests the Labyrinth’s ethics under distributed implementation.</w:t>
            </w:r>
          </w:p>
        </w:tc>
        <w:tc>
          <w:tcPr>
            <w:tcW w:type="dxa" w:w="2513"/>
            <w:vAlign w:val="top"/>
          </w:tcPr>
          <w:p>
            <w:pPr>
              <w:spacing w:after="24"/>
            </w:pPr>
            <w:r>
              <w:rPr>
                <w:rFonts w:ascii="Aptos" w:hAnsi="Aptos"/>
                <w:b w:val="0"/>
                <w:i w:val="0"/>
                <w:color w:val="1E1E1E"/>
                <w:sz w:val="16"/>
              </w:rPr>
              <w:t>[H][B]</w:t>
            </w:r>
          </w:p>
        </w:tc>
      </w:tr>
      <w:tr>
        <w:trPr>
          <w:cantSplit/>
        </w:trPr>
        <w:tc>
          <w:tcPr>
            <w:tcW w:type="dxa" w:w="2513"/>
            <w:vAlign w:val="top"/>
            <w:shd w:fill="F8FBFD"/>
          </w:tcPr>
          <w:p>
            <w:pPr>
              <w:spacing w:after="24"/>
            </w:pPr>
            <w:r>
              <w:rPr>
                <w:rFonts w:ascii="Aptos" w:hAnsi="Aptos"/>
                <w:b w:val="0"/>
                <w:i w:val="0"/>
                <w:color w:val="1E1E1E"/>
                <w:sz w:val="16"/>
              </w:rPr>
              <w:t>WV-06</w:t>
            </w:r>
          </w:p>
        </w:tc>
        <w:tc>
          <w:tcPr>
            <w:tcW w:type="dxa" w:w="2513"/>
            <w:vAlign w:val="top"/>
            <w:shd w:fill="F8FBFD"/>
          </w:tcPr>
          <w:p>
            <w:pPr>
              <w:spacing w:after="24"/>
            </w:pPr>
            <w:r>
              <w:rPr>
                <w:rFonts w:ascii="Aptos" w:hAnsi="Aptos"/>
                <w:b w:val="0"/>
                <w:i w:val="0"/>
                <w:color w:val="1E1E1E"/>
                <w:sz w:val="16"/>
              </w:rPr>
              <w:t>Which truths become false when translated too early or too completely?</w:t>
            </w:r>
          </w:p>
        </w:tc>
        <w:tc>
          <w:tcPr>
            <w:tcW w:type="dxa" w:w="2513"/>
            <w:vAlign w:val="top"/>
            <w:shd w:fill="F8FBFD"/>
          </w:tcPr>
          <w:p>
            <w:pPr>
              <w:spacing w:after="24"/>
            </w:pPr>
            <w:r>
              <w:rPr>
                <w:rFonts w:ascii="Aptos" w:hAnsi="Aptos"/>
                <w:b w:val="0"/>
                <w:i w:val="0"/>
                <w:color w:val="1E1E1E"/>
                <w:sz w:val="16"/>
              </w:rPr>
              <w:t>Formalizes the value of restraint without romanticizing vagueness.</w:t>
            </w:r>
          </w:p>
        </w:tc>
        <w:tc>
          <w:tcPr>
            <w:tcW w:type="dxa" w:w="2513"/>
            <w:vAlign w:val="top"/>
            <w:shd w:fill="F8FBFD"/>
          </w:tcPr>
          <w:p>
            <w:pPr>
              <w:spacing w:after="24"/>
            </w:pPr>
            <w:r>
              <w:rPr>
                <w:rFonts w:ascii="Aptos" w:hAnsi="Aptos"/>
                <w:b w:val="0"/>
                <w:i w:val="0"/>
                <w:color w:val="1E1E1E"/>
                <w:sz w:val="16"/>
              </w:rPr>
              <w:t>[H][U][B]</w:t>
            </w:r>
          </w:p>
        </w:tc>
      </w:tr>
      <w:tr>
        <w:trPr>
          <w:cantSplit/>
        </w:trPr>
        <w:tc>
          <w:tcPr>
            <w:tcW w:type="dxa" w:w="2513"/>
            <w:vAlign w:val="top"/>
          </w:tcPr>
          <w:p>
            <w:pPr>
              <w:spacing w:after="24"/>
            </w:pPr>
            <w:r>
              <w:rPr>
                <w:rFonts w:ascii="Aptos" w:hAnsi="Aptos"/>
                <w:b w:val="0"/>
                <w:i w:val="0"/>
                <w:color w:val="1E1E1E"/>
                <w:sz w:val="16"/>
              </w:rPr>
              <w:t>WV-07</w:t>
            </w:r>
          </w:p>
        </w:tc>
        <w:tc>
          <w:tcPr>
            <w:tcW w:type="dxa" w:w="2513"/>
            <w:vAlign w:val="top"/>
          </w:tcPr>
          <w:p>
            <w:pPr>
              <w:spacing w:after="24"/>
            </w:pPr>
            <w:r>
              <w:rPr>
                <w:rFonts w:ascii="Aptos" w:hAnsi="Aptos"/>
                <w:b w:val="0"/>
                <w:i w:val="0"/>
                <w:color w:val="1E1E1E"/>
                <w:sz w:val="16"/>
              </w:rPr>
              <w:t>Can complementary apex principles create stakes through responsibility rather than vulnerability?</w:t>
            </w:r>
          </w:p>
        </w:tc>
        <w:tc>
          <w:tcPr>
            <w:tcW w:type="dxa" w:w="2513"/>
            <w:vAlign w:val="top"/>
          </w:tcPr>
          <w:p>
            <w:pPr>
              <w:spacing w:after="24"/>
            </w:pPr>
            <w:r>
              <w:rPr>
                <w:rFonts w:ascii="Aptos" w:hAnsi="Aptos"/>
                <w:b w:val="0"/>
                <w:i w:val="0"/>
                <w:color w:val="1E1E1E"/>
                <w:sz w:val="16"/>
              </w:rPr>
              <w:t>Tests how high-tier dynamics can remain meaningful.</w:t>
            </w:r>
          </w:p>
        </w:tc>
        <w:tc>
          <w:tcPr>
            <w:tcW w:type="dxa" w:w="2513"/>
            <w:vAlign w:val="top"/>
          </w:tcPr>
          <w:p>
            <w:pPr>
              <w:spacing w:after="24"/>
            </w:pPr>
            <w:r>
              <w:rPr>
                <w:rFonts w:ascii="Aptos" w:hAnsi="Aptos"/>
                <w:b w:val="0"/>
                <w:i w:val="0"/>
                <w:color w:val="1E1E1E"/>
                <w:sz w:val="16"/>
              </w:rPr>
              <w:t>[H][B]</w:t>
            </w:r>
          </w:p>
        </w:tc>
      </w:tr>
      <w:tr>
        <w:trPr>
          <w:cantSplit/>
        </w:trPr>
        <w:tc>
          <w:tcPr>
            <w:tcW w:type="dxa" w:w="2513"/>
            <w:vAlign w:val="top"/>
            <w:shd w:fill="F8FBFD"/>
          </w:tcPr>
          <w:p>
            <w:pPr>
              <w:spacing w:after="24"/>
            </w:pPr>
            <w:r>
              <w:rPr>
                <w:rFonts w:ascii="Aptos" w:hAnsi="Aptos"/>
                <w:b w:val="0"/>
                <w:i w:val="0"/>
                <w:color w:val="1E1E1E"/>
                <w:sz w:val="16"/>
              </w:rPr>
              <w:t>WV-08</w:t>
            </w:r>
          </w:p>
        </w:tc>
        <w:tc>
          <w:tcPr>
            <w:tcW w:type="dxa" w:w="2513"/>
            <w:vAlign w:val="top"/>
            <w:shd w:fill="F8FBFD"/>
          </w:tcPr>
          <w:p>
            <w:pPr>
              <w:spacing w:after="24"/>
            </w:pPr>
            <w:r>
              <w:rPr>
                <w:rFonts w:ascii="Aptos" w:hAnsi="Aptos"/>
                <w:b w:val="0"/>
                <w:i w:val="0"/>
                <w:color w:val="1E1E1E"/>
                <w:sz w:val="16"/>
              </w:rPr>
              <w:t>Could an alternate history ever be promoted to canon without erasing the original source path?</w:t>
            </w:r>
          </w:p>
        </w:tc>
        <w:tc>
          <w:tcPr>
            <w:tcW w:type="dxa" w:w="2513"/>
            <w:vAlign w:val="top"/>
            <w:shd w:fill="F8FBFD"/>
          </w:tcPr>
          <w:p>
            <w:pPr>
              <w:spacing w:after="24"/>
            </w:pPr>
            <w:r>
              <w:rPr>
                <w:rFonts w:ascii="Aptos" w:hAnsi="Aptos"/>
                <w:b w:val="0"/>
                <w:i w:val="0"/>
                <w:color w:val="1E1E1E"/>
                <w:sz w:val="16"/>
              </w:rPr>
              <w:t>Defines a future workflow for parallel-world material or sanctioned variations.</w:t>
            </w:r>
          </w:p>
        </w:tc>
        <w:tc>
          <w:tcPr>
            <w:tcW w:type="dxa" w:w="2513"/>
            <w:vAlign w:val="top"/>
            <w:shd w:fill="F8FBFD"/>
          </w:tcPr>
          <w:p>
            <w:pPr>
              <w:spacing w:after="24"/>
            </w:pPr>
            <w:r>
              <w:rPr>
                <w:rFonts w:ascii="Aptos" w:hAnsi="Aptos"/>
                <w:b w:val="0"/>
                <w:i w:val="0"/>
                <w:color w:val="1E1E1E"/>
                <w:sz w:val="16"/>
              </w:rPr>
              <w:t>[H] process question</w:t>
            </w:r>
          </w:p>
        </w:tc>
      </w:tr>
    </w:tbl>
    <w:p>
      <w:pPr>
        <w:spacing w:after="40"/>
      </w:pPr>
    </w:p>
    <w:p>
      <w:pPr>
        <w:pStyle w:val="Heading1"/>
        <w:keepNext/>
      </w:pPr>
      <w:r>
        <w:rPr>
          <w:rFonts w:ascii="Aptos" w:hAnsi="Aptos"/>
          <w:b/>
          <w:i w:val="0"/>
          <w:color w:val="142D4B"/>
          <w:sz w:val="34"/>
        </w:rPr>
        <w:t>14. Series Closure and Archive Handoff</w:t>
      </w:r>
    </w:p>
    <w:p>
      <w:pPr>
        <w:keepLines/>
      </w:pPr>
      <w:r>
        <w:rPr>
          <w:rFonts w:ascii="Aptos" w:hAnsi="Aptos"/>
          <w:b w:val="0"/>
          <w:i w:val="0"/>
        </w:rPr>
        <w:t>With Volume V, the five-volume core Architectural Archaeology series is complete. Together, the series provides: a method for reverse decision analysis; three historical iterations; developed alternative histories; a dependency atlas; and this extreme-divergence archive. It should be used as a design and provenance tool, not as a substitute for Architect decisions or an automatic update to the Master ChangeLog.</w:t>
      </w:r>
    </w:p>
    <w:tbl>
      <w:tblPr>
        <w:tblStyle w:val="TableGrid"/>
        <w:tblW w:type="auto" w:w="0"/>
        <w:jc w:val="center"/>
        <w:tblLook w:firstColumn="1" w:firstRow="1" w:lastColumn="0" w:lastRow="0" w:noHBand="0" w:noVBand="1" w:val="04A0"/>
      </w:tblPr>
      <w:tblGrid>
        <w:gridCol w:w="5026"/>
        <w:gridCol w:w="5026"/>
      </w:tblGrid>
      <w:tr>
        <w:trPr>
          <w:tblHeader w:val="true"/>
          <w:cantSplit/>
        </w:trPr>
        <w:tc>
          <w:tcPr>
            <w:tcW w:type="dxa" w:w="5026"/>
            <w:vAlign w:val="center"/>
            <w:shd w:fill="1F4E79"/>
            <w:tcBorders>
              <w:top w:val="single" w:sz="6" w:color="FFFFFF"/>
              <w:left w:val="single" w:sz="6" w:color="FFFFFF"/>
              <w:bottom w:val="single" w:sz="6" w:color="FFFFFF"/>
              <w:right w:val="single" w:sz="6" w:color="FFFFFF"/>
            </w:tcBorders>
          </w:tcPr>
          <w:p>
            <w:pPr>
              <w:jc w:val="center"/>
            </w:pPr>
            <w:r>
              <w:rPr>
                <w:rFonts w:ascii="Aptos" w:hAnsi="Aptos"/>
                <w:b/>
                <w:i w:val="0"/>
                <w:color w:val="FFFFFF"/>
                <w:sz w:val="16"/>
              </w:rPr>
              <w:t>Volume</w:t>
            </w:r>
          </w:p>
        </w:tc>
        <w:tc>
          <w:tcPr>
            <w:tcW w:type="dxa" w:w="5026"/>
            <w:vAlign w:val="center"/>
            <w:shd w:fill="1F4E79"/>
            <w:tcBorders>
              <w:top w:val="single" w:sz="6" w:color="FFFFFF"/>
              <w:left w:val="single" w:sz="6" w:color="FFFFFF"/>
              <w:bottom w:val="single" w:sz="6" w:color="FFFFFF"/>
              <w:right w:val="single" w:sz="6" w:color="FFFFFF"/>
            </w:tcBorders>
          </w:tcPr>
          <w:p>
            <w:pPr>
              <w:jc w:val="center"/>
            </w:pPr>
            <w:r>
              <w:rPr>
                <w:rFonts w:ascii="Aptos" w:hAnsi="Aptos"/>
                <w:b/>
                <w:i w:val="0"/>
                <w:color w:val="FFFFFF"/>
                <w:sz w:val="16"/>
              </w:rPr>
              <w:t>Completed function</w:t>
            </w:r>
          </w:p>
        </w:tc>
      </w:tr>
      <w:tr>
        <w:trPr>
          <w:cantSplit/>
        </w:trPr>
        <w:tc>
          <w:tcPr>
            <w:tcW w:type="dxa" w:w="5026"/>
            <w:vAlign w:val="top"/>
          </w:tcPr>
          <w:p>
            <w:pPr>
              <w:spacing w:after="24"/>
            </w:pPr>
            <w:r>
              <w:rPr>
                <w:rFonts w:ascii="Aptos" w:hAnsi="Aptos"/>
                <w:b w:val="0"/>
                <w:i w:val="0"/>
                <w:color w:val="1E1E1E"/>
                <w:sz w:val="16"/>
              </w:rPr>
              <w:t>Volume I - Methodology, Reverse Architectural Analysis, and Historical Decision Reconstruction</w:t>
            </w:r>
          </w:p>
        </w:tc>
        <w:tc>
          <w:tcPr>
            <w:tcW w:type="dxa" w:w="5026"/>
            <w:vAlign w:val="top"/>
          </w:tcPr>
          <w:p>
            <w:pPr>
              <w:spacing w:after="24"/>
            </w:pPr>
            <w:r>
              <w:rPr>
                <w:rFonts w:ascii="Aptos" w:hAnsi="Aptos"/>
                <w:b w:val="0"/>
                <w:i w:val="0"/>
                <w:color w:val="1E1E1E"/>
                <w:sz w:val="16"/>
              </w:rPr>
              <w:t>Established labels, reverse layers, sediment logic, decision gravity, and non-convergence rules.</w:t>
            </w:r>
          </w:p>
        </w:tc>
      </w:tr>
      <w:tr>
        <w:trPr>
          <w:cantSplit/>
        </w:trPr>
        <w:tc>
          <w:tcPr>
            <w:tcW w:type="dxa" w:w="5026"/>
            <w:vAlign w:val="top"/>
            <w:shd w:fill="F8FBFD"/>
          </w:tcPr>
          <w:p>
            <w:pPr>
              <w:spacing w:after="24"/>
            </w:pPr>
            <w:r>
              <w:rPr>
                <w:rFonts w:ascii="Aptos" w:hAnsi="Aptos"/>
                <w:b w:val="0"/>
                <w:i w:val="0"/>
                <w:color w:val="1E1E1E"/>
                <w:sz w:val="16"/>
              </w:rPr>
              <w:t>Volume II - The First Three Historical Iterations</w:t>
            </w:r>
          </w:p>
        </w:tc>
        <w:tc>
          <w:tcPr>
            <w:tcW w:type="dxa" w:w="5026"/>
            <w:vAlign w:val="top"/>
            <w:shd w:fill="F8FBFD"/>
          </w:tcPr>
          <w:p>
            <w:pPr>
              <w:spacing w:after="24"/>
            </w:pPr>
            <w:r>
              <w:rPr>
                <w:rFonts w:ascii="Aptos" w:hAnsi="Aptos"/>
                <w:b w:val="0"/>
                <w:i w:val="0"/>
                <w:color w:val="1E1E1E"/>
                <w:sz w:val="16"/>
              </w:rPr>
              <w:t>Applied immediate precursor, worldview, and founding-assumption layers across divergent tracks.</w:t>
            </w:r>
          </w:p>
        </w:tc>
      </w:tr>
      <w:tr>
        <w:trPr>
          <w:cantSplit/>
        </w:trPr>
        <w:tc>
          <w:tcPr>
            <w:tcW w:type="dxa" w:w="5026"/>
            <w:vAlign w:val="top"/>
          </w:tcPr>
          <w:p>
            <w:pPr>
              <w:spacing w:after="24"/>
            </w:pPr>
            <w:r>
              <w:rPr>
                <w:rFonts w:ascii="Aptos" w:hAnsi="Aptos"/>
                <w:b w:val="0"/>
                <w:i w:val="0"/>
                <w:color w:val="1E1E1E"/>
                <w:sz w:val="16"/>
              </w:rPr>
              <w:t>Volume III - Alternative Development Histories</w:t>
            </w:r>
          </w:p>
        </w:tc>
        <w:tc>
          <w:tcPr>
            <w:tcW w:type="dxa" w:w="5026"/>
            <w:vAlign w:val="top"/>
          </w:tcPr>
          <w:p>
            <w:pPr>
              <w:spacing w:after="24"/>
            </w:pPr>
            <w:r>
              <w:rPr>
                <w:rFonts w:ascii="Aptos" w:hAnsi="Aptos"/>
                <w:b w:val="0"/>
                <w:i w:val="0"/>
                <w:color w:val="1E1E1E"/>
                <w:sz w:val="16"/>
              </w:rPr>
              <w:t>Expanded selected branches into self-contained alternate present/future timelines.</w:t>
            </w:r>
          </w:p>
        </w:tc>
      </w:tr>
      <w:tr>
        <w:trPr>
          <w:cantSplit/>
        </w:trPr>
        <w:tc>
          <w:tcPr>
            <w:tcW w:type="dxa" w:w="5026"/>
            <w:vAlign w:val="top"/>
            <w:shd w:fill="F8FBFD"/>
          </w:tcPr>
          <w:p>
            <w:pPr>
              <w:spacing w:after="24"/>
            </w:pPr>
            <w:r>
              <w:rPr>
                <w:rFonts w:ascii="Aptos" w:hAnsi="Aptos"/>
                <w:b w:val="0"/>
                <w:i w:val="0"/>
                <w:color w:val="1E1E1E"/>
                <w:sz w:val="16"/>
              </w:rPr>
              <w:t>Volume IV - Dependency Atlas</w:t>
            </w:r>
          </w:p>
        </w:tc>
        <w:tc>
          <w:tcPr>
            <w:tcW w:type="dxa" w:w="5026"/>
            <w:vAlign w:val="top"/>
            <w:shd w:fill="F8FBFD"/>
          </w:tcPr>
          <w:p>
            <w:pPr>
              <w:spacing w:after="24"/>
            </w:pPr>
            <w:r>
              <w:rPr>
                <w:rFonts w:ascii="Aptos" w:hAnsi="Aptos"/>
                <w:b w:val="0"/>
                <w:i w:val="0"/>
                <w:color w:val="1E1E1E"/>
                <w:sz w:val="16"/>
              </w:rPr>
              <w:t>Mapped causal routes, concept fossils, fragility, provenance boundaries, and change control.</w:t>
            </w:r>
          </w:p>
        </w:tc>
      </w:tr>
      <w:tr>
        <w:trPr>
          <w:cantSplit/>
        </w:trPr>
        <w:tc>
          <w:tcPr>
            <w:tcW w:type="dxa" w:w="5026"/>
            <w:vAlign w:val="top"/>
          </w:tcPr>
          <w:p>
            <w:pPr>
              <w:spacing w:after="24"/>
            </w:pPr>
            <w:r>
              <w:rPr>
                <w:rFonts w:ascii="Aptos" w:hAnsi="Aptos"/>
                <w:b w:val="0"/>
                <w:i w:val="0"/>
                <w:color w:val="1E1E1E"/>
                <w:sz w:val="16"/>
              </w:rPr>
              <w:t>Volume V - Extreme Divergence and Wildcard Histories</w:t>
            </w:r>
          </w:p>
        </w:tc>
        <w:tc>
          <w:tcPr>
            <w:tcW w:type="dxa" w:w="5026"/>
            <w:vAlign w:val="top"/>
          </w:tcPr>
          <w:p>
            <w:pPr>
              <w:spacing w:after="24"/>
            </w:pPr>
            <w:r>
              <w:rPr>
                <w:rFonts w:ascii="Aptos" w:hAnsi="Aptos"/>
                <w:b w:val="0"/>
                <w:i w:val="0"/>
                <w:color w:val="1E1E1E"/>
                <w:sz w:val="16"/>
              </w:rPr>
              <w:t>Tested the furthest coherent departures and preserved the questions they expose.</w:t>
            </w:r>
          </w:p>
        </w:tc>
      </w:tr>
    </w:tbl>
    <w:p>
      <w:pPr>
        <w:spacing w:after="40"/>
      </w:pPr>
    </w:p>
    <w:tbl>
      <w:tblPr>
        <w:tblW w:type="auto" w:w="0"/>
        <w:jc w:val="center"/>
        <w:tblLook w:firstColumn="1" w:firstRow="1" w:lastColumn="0" w:lastRow="0" w:noHBand="0" w:noVBand="1" w:val="04A0"/>
      </w:tblPr>
      <w:tblGrid>
        <w:gridCol w:w="10052"/>
      </w:tblGrid>
      <w:tr>
        <w:tc>
          <w:tcPr>
            <w:tcW w:type="dxa" w:w="10052"/>
            <w:vAlign w:val="center"/>
            <w:shd w:fill="EAF2F8"/>
            <w:tcBorders>
              <w:top w:val="single" w:sz="7" w:color="A9C4DD"/>
              <w:left w:val="single" w:sz="7" w:color="A9C4DD"/>
              <w:bottom w:val="single" w:sz="7" w:color="A9C4DD"/>
              <w:right w:val="single" w:sz="7" w:color="A9C4DD"/>
            </w:tcBorders>
          </w:tcPr>
          <w:p>
            <w:pPr>
              <w:pStyle w:val="Callout"/>
            </w:pPr>
            <w:r>
              <w:rPr>
                <w:rFonts w:ascii="Aptos" w:hAnsi="Aptos"/>
                <w:b/>
                <w:i w:val="0"/>
                <w:color w:val="1F4E79"/>
              </w:rPr>
              <w:t xml:space="preserve">Recommended archive posture: </w:t>
            </w:r>
            <w:r>
              <w:rPr>
                <w:rFonts w:ascii="Aptos" w:hAnsi="Aptos"/>
                <w:b w:val="0"/>
                <w:i w:val="0"/>
              </w:rPr>
              <w:t>Publish this volume as non-canon comparative analysis. When a future author-provided decision affects a high-gravity item, log it first as a dated clarification, identify dependencies through Volume IV, then determine whether a revised canon entry, a new alternative-history note, or a protected boundary is appropriate.</w:t>
            </w:r>
          </w:p>
        </w:tc>
      </w:tr>
    </w:tbl>
    <w:p>
      <w:pPr>
        <w:spacing w:after="20"/>
      </w:pPr>
    </w:p>
    <w:p>
      <w:pPr>
        <w:pStyle w:val="Heading2"/>
        <w:keepNext/>
      </w:pPr>
      <w:r>
        <w:rPr>
          <w:rFonts w:ascii="Aptos" w:hAnsi="Aptos"/>
          <w:b/>
          <w:i w:val="0"/>
          <w:color w:val="1F4E79"/>
          <w:sz w:val="26"/>
        </w:rPr>
        <w:t>What remains outside this volume</w:t>
      </w:r>
    </w:p>
    <w:p>
      <w:pPr>
        <w:pStyle w:val="ListBullet"/>
        <w:spacing w:after="44"/>
        <w:keepLines/>
      </w:pPr>
      <w:r>
        <w:rPr>
          <w:rFonts w:ascii="Aptos" w:hAnsi="Aptos"/>
          <w:b w:val="0"/>
          <w:i w:val="0"/>
        </w:rPr>
        <w:t>The Founding Architects addendum remains author-provided and pending stated ratification; this volume does not ratify, name, quantify, or further specify it.</w:t>
      </w:r>
    </w:p>
    <w:p>
      <w:pPr>
        <w:pStyle w:val="ListBullet"/>
        <w:spacing w:after="44"/>
        <w:keepLines/>
      </w:pPr>
      <w:r>
        <w:rPr>
          <w:rFonts w:ascii="Aptos" w:hAnsi="Aptos"/>
          <w:b w:val="0"/>
          <w:i w:val="0"/>
        </w:rPr>
        <w:t>The 4,712 tracker, survival mechanism, and count behavior remain unresolved.</w:t>
      </w:r>
    </w:p>
    <w:p>
      <w:pPr>
        <w:pStyle w:val="ListBullet"/>
        <w:spacing w:after="44"/>
        <w:keepLines/>
      </w:pPr>
      <w:r>
        <w:rPr>
          <w:rFonts w:ascii="Aptos" w:hAnsi="Aptos"/>
          <w:b w:val="0"/>
          <w:i w:val="0"/>
        </w:rPr>
        <w:t>The First Memory Tier-1 answers remain unresolved.</w:t>
      </w:r>
    </w:p>
    <w:p>
      <w:pPr>
        <w:pStyle w:val="ListBullet"/>
        <w:spacing w:after="44"/>
        <w:keepLines/>
      </w:pPr>
      <w:r>
        <w:rPr>
          <w:rFonts w:ascii="Aptos" w:hAnsi="Aptos"/>
          <w:b w:val="0"/>
          <w:i w:val="0"/>
        </w:rPr>
        <w:t>Ontology, Direct Eye Contact, the Unmaker communication logic, and multiple currency/governance questions remain architect-exclusive.</w:t>
      </w:r>
    </w:p>
    <w:p>
      <w:pPr>
        <w:pStyle w:val="ListBullet"/>
        <w:spacing w:after="44"/>
        <w:keepLines/>
      </w:pPr>
      <w:r>
        <w:rPr>
          <w:rFonts w:ascii="Aptos" w:hAnsi="Aptos"/>
          <w:b w:val="0"/>
          <w:i w:val="0"/>
        </w:rPr>
        <w:t>The untranslated final lines of the rhyme remain untranslated and are not reconstructed here.</w:t>
      </w:r>
    </w:p>
    <w:p>
      <w:pPr>
        <w:pStyle w:val="Heading1"/>
        <w:keepNext/>
      </w:pPr>
      <w:r>
        <w:rPr>
          <w:rFonts w:ascii="Aptos" w:hAnsi="Aptos"/>
          <w:b/>
          <w:i w:val="0"/>
          <w:color w:val="142D4B"/>
          <w:sz w:val="34"/>
        </w:rPr>
        <w:t>Appendix A. Source Record</w:t>
      </w:r>
    </w:p>
    <w:tbl>
      <w:tblPr>
        <w:tblStyle w:val="TableGrid"/>
        <w:tblW w:type="auto" w:w="0"/>
        <w:jc w:val="center"/>
        <w:tblLook w:firstColumn="1" w:firstRow="1" w:lastColumn="0" w:lastRow="0" w:noHBand="0" w:noVBand="1" w:val="04A0"/>
      </w:tblPr>
      <w:tblGrid>
        <w:gridCol w:w="3351"/>
        <w:gridCol w:w="3351"/>
        <w:gridCol w:w="3351"/>
      </w:tblGrid>
      <w:tr>
        <w:trPr>
          <w:tblHeader w:val="true"/>
          <w:cantSplit/>
        </w:trPr>
        <w:tc>
          <w:tcPr>
            <w:tcW w:type="dxa" w:w="3351"/>
            <w:vAlign w:val="center"/>
            <w:shd w:fill="1F4E79"/>
            <w:tcBorders>
              <w:top w:val="single" w:sz="6" w:color="FFFFFF"/>
              <w:left w:val="single" w:sz="6" w:color="FFFFFF"/>
              <w:bottom w:val="single" w:sz="6" w:color="FFFFFF"/>
              <w:right w:val="single" w:sz="6" w:color="FFFFFF"/>
            </w:tcBorders>
          </w:tcPr>
          <w:p>
            <w:pPr>
              <w:jc w:val="center"/>
            </w:pPr>
            <w:r>
              <w:rPr>
                <w:rFonts w:ascii="Aptos" w:hAnsi="Aptos"/>
                <w:b/>
                <w:i w:val="0"/>
                <w:color w:val="FFFFFF"/>
                <w:sz w:val="16"/>
              </w:rPr>
              <w:t>Code</w:t>
            </w:r>
          </w:p>
        </w:tc>
        <w:tc>
          <w:tcPr>
            <w:tcW w:type="dxa" w:w="3351"/>
            <w:vAlign w:val="center"/>
            <w:shd w:fill="1F4E79"/>
            <w:tcBorders>
              <w:top w:val="single" w:sz="6" w:color="FFFFFF"/>
              <w:left w:val="single" w:sz="6" w:color="FFFFFF"/>
              <w:bottom w:val="single" w:sz="6" w:color="FFFFFF"/>
              <w:right w:val="single" w:sz="6" w:color="FFFFFF"/>
            </w:tcBorders>
          </w:tcPr>
          <w:p>
            <w:pPr>
              <w:jc w:val="center"/>
            </w:pPr>
            <w:r>
              <w:rPr>
                <w:rFonts w:ascii="Aptos" w:hAnsi="Aptos"/>
                <w:b/>
                <w:i w:val="0"/>
                <w:color w:val="FFFFFF"/>
                <w:sz w:val="16"/>
              </w:rPr>
              <w:t>Source used in this volume</w:t>
            </w:r>
          </w:p>
        </w:tc>
        <w:tc>
          <w:tcPr>
            <w:tcW w:type="dxa" w:w="3351"/>
            <w:vAlign w:val="center"/>
            <w:shd w:fill="1F4E79"/>
            <w:tcBorders>
              <w:top w:val="single" w:sz="6" w:color="FFFFFF"/>
              <w:left w:val="single" w:sz="6" w:color="FFFFFF"/>
              <w:bottom w:val="single" w:sz="6" w:color="FFFFFF"/>
              <w:right w:val="single" w:sz="6" w:color="FFFFFF"/>
            </w:tcBorders>
          </w:tcPr>
          <w:p>
            <w:pPr>
              <w:jc w:val="center"/>
            </w:pPr>
            <w:r>
              <w:rPr>
                <w:rFonts w:ascii="Aptos" w:hAnsi="Aptos"/>
                <w:b/>
                <w:i w:val="0"/>
                <w:color w:val="FFFFFF"/>
                <w:sz w:val="16"/>
              </w:rPr>
              <w:t>Role</w:t>
            </w:r>
          </w:p>
        </w:tc>
      </w:tr>
      <w:tr>
        <w:trPr>
          <w:cantSplit/>
        </w:trPr>
        <w:tc>
          <w:tcPr>
            <w:tcW w:type="dxa" w:w="3351"/>
            <w:vAlign w:val="top"/>
          </w:tcPr>
          <w:p>
            <w:pPr>
              <w:spacing w:after="24"/>
            </w:pPr>
            <w:r>
              <w:rPr>
                <w:rFonts w:ascii="Aptos" w:hAnsi="Aptos"/>
                <w:b w:val="0"/>
                <w:i w:val="0"/>
                <w:color w:val="1E1E1E"/>
                <w:sz w:val="16"/>
              </w:rPr>
              <w:t>S1</w:t>
            </w:r>
          </w:p>
        </w:tc>
        <w:tc>
          <w:tcPr>
            <w:tcW w:type="dxa" w:w="3351"/>
            <w:vAlign w:val="top"/>
          </w:tcPr>
          <w:p>
            <w:pPr>
              <w:spacing w:after="24"/>
            </w:pPr>
            <w:r>
              <w:rPr>
                <w:rFonts w:ascii="Aptos" w:hAnsi="Aptos"/>
                <w:b w:val="0"/>
                <w:i w:val="0"/>
                <w:color w:val="1E1E1E"/>
                <w:sz w:val="16"/>
              </w:rPr>
              <w:t>Master Development ChangeLog - Author Reference v1.0</w:t>
            </w:r>
          </w:p>
        </w:tc>
        <w:tc>
          <w:tcPr>
            <w:tcW w:type="dxa" w:w="3351"/>
            <w:vAlign w:val="top"/>
          </w:tcPr>
          <w:p>
            <w:pPr>
              <w:spacing w:after="24"/>
            </w:pPr>
            <w:r>
              <w:rPr>
                <w:rFonts w:ascii="Aptos" w:hAnsi="Aptos"/>
                <w:b w:val="0"/>
                <w:i w:val="0"/>
                <w:color w:val="1E1E1E"/>
                <w:sz w:val="16"/>
              </w:rPr>
              <w:t>Primary project-source baseline for entities, organizations, OMNICELLULAR, First Memory, Labyrinth, and open questions.</w:t>
            </w:r>
          </w:p>
        </w:tc>
      </w:tr>
      <w:tr>
        <w:trPr>
          <w:cantSplit/>
        </w:trPr>
        <w:tc>
          <w:tcPr>
            <w:tcW w:type="dxa" w:w="3351"/>
            <w:vAlign w:val="top"/>
            <w:shd w:fill="F8FBFD"/>
          </w:tcPr>
          <w:p>
            <w:pPr>
              <w:spacing w:after="24"/>
            </w:pPr>
            <w:r>
              <w:rPr>
                <w:rFonts w:ascii="Aptos" w:hAnsi="Aptos"/>
                <w:b w:val="0"/>
                <w:i w:val="0"/>
                <w:color w:val="1E1E1E"/>
                <w:sz w:val="16"/>
              </w:rPr>
              <w:t>S2</w:t>
            </w:r>
          </w:p>
        </w:tc>
        <w:tc>
          <w:tcPr>
            <w:tcW w:type="dxa" w:w="3351"/>
            <w:vAlign w:val="top"/>
            <w:shd w:fill="F8FBFD"/>
          </w:tcPr>
          <w:p>
            <w:pPr>
              <w:spacing w:after="24"/>
            </w:pPr>
            <w:r>
              <w:rPr>
                <w:rFonts w:ascii="Aptos" w:hAnsi="Aptos"/>
                <w:b w:val="0"/>
                <w:i w:val="0"/>
                <w:color w:val="1E1E1E"/>
                <w:sz w:val="16"/>
              </w:rPr>
              <w:t>Cross-Analysis of Perplexity AI’s Explicit Nathan-Only Decisions v1.0</w:t>
            </w:r>
          </w:p>
        </w:tc>
        <w:tc>
          <w:tcPr>
            <w:tcW w:type="dxa" w:w="3351"/>
            <w:vAlign w:val="top"/>
            <w:shd w:fill="F8FBFD"/>
          </w:tcPr>
          <w:p>
            <w:pPr>
              <w:spacing w:after="24"/>
            </w:pPr>
            <w:r>
              <w:rPr>
                <w:rFonts w:ascii="Aptos" w:hAnsi="Aptos"/>
                <w:b w:val="0"/>
                <w:i w:val="0"/>
                <w:color w:val="1E1E1E"/>
                <w:sz w:val="16"/>
              </w:rPr>
              <w:t>Architect-only decision and status boundary register.</w:t>
            </w:r>
          </w:p>
        </w:tc>
      </w:tr>
      <w:tr>
        <w:trPr>
          <w:cantSplit/>
        </w:trPr>
        <w:tc>
          <w:tcPr>
            <w:tcW w:type="dxa" w:w="3351"/>
            <w:vAlign w:val="top"/>
          </w:tcPr>
          <w:p>
            <w:pPr>
              <w:spacing w:after="24"/>
            </w:pPr>
            <w:r>
              <w:rPr>
                <w:rFonts w:ascii="Aptos" w:hAnsi="Aptos"/>
                <w:b w:val="0"/>
                <w:i w:val="0"/>
                <w:color w:val="1E1E1E"/>
                <w:sz w:val="16"/>
              </w:rPr>
              <w:t>S3</w:t>
            </w:r>
          </w:p>
        </w:tc>
        <w:tc>
          <w:tcPr>
            <w:tcW w:type="dxa" w:w="3351"/>
            <w:vAlign w:val="top"/>
          </w:tcPr>
          <w:p>
            <w:pPr>
              <w:spacing w:after="24"/>
            </w:pPr>
            <w:r>
              <w:rPr>
                <w:rFonts w:ascii="Aptos" w:hAnsi="Aptos"/>
                <w:b w:val="0"/>
                <w:i w:val="0"/>
                <w:color w:val="1E1E1E"/>
                <w:sz w:val="16"/>
              </w:rPr>
              <w:t>Master Development ChangeLog Addendum - Paragon Cubes &amp; The Reality of the Living Media v1.0</w:t>
            </w:r>
          </w:p>
        </w:tc>
        <w:tc>
          <w:tcPr>
            <w:tcW w:type="dxa" w:w="3351"/>
            <w:vAlign w:val="top"/>
          </w:tcPr>
          <w:p>
            <w:pPr>
              <w:spacing w:after="24"/>
            </w:pPr>
            <w:r>
              <w:rPr>
                <w:rFonts w:ascii="Aptos" w:hAnsi="Aptos"/>
                <w:b w:val="0"/>
                <w:i w:val="0"/>
                <w:color w:val="1E1E1E"/>
                <w:sz w:val="16"/>
              </w:rPr>
              <w:t>First-pass infrastructure and reality-system clarification.</w:t>
            </w:r>
          </w:p>
        </w:tc>
      </w:tr>
      <w:tr>
        <w:trPr>
          <w:cantSplit/>
        </w:trPr>
        <w:tc>
          <w:tcPr>
            <w:tcW w:type="dxa" w:w="3351"/>
            <w:vAlign w:val="top"/>
            <w:shd w:fill="F8FBFD"/>
          </w:tcPr>
          <w:p>
            <w:pPr>
              <w:spacing w:after="24"/>
            </w:pPr>
            <w:r>
              <w:rPr>
                <w:rFonts w:ascii="Aptos" w:hAnsi="Aptos"/>
                <w:b w:val="0"/>
                <w:i w:val="0"/>
                <w:color w:val="1E1E1E"/>
                <w:sz w:val="16"/>
              </w:rPr>
              <w:t>S4</w:t>
            </w:r>
          </w:p>
        </w:tc>
        <w:tc>
          <w:tcPr>
            <w:tcW w:type="dxa" w:w="3351"/>
            <w:vAlign w:val="top"/>
            <w:shd w:fill="F8FBFD"/>
          </w:tcPr>
          <w:p>
            <w:pPr>
              <w:spacing w:after="24"/>
            </w:pPr>
            <w:r>
              <w:rPr>
                <w:rFonts w:ascii="Aptos" w:hAnsi="Aptos"/>
                <w:b w:val="0"/>
                <w:i w:val="0"/>
                <w:color w:val="1E1E1E"/>
                <w:sz w:val="16"/>
              </w:rPr>
              <w:t>OAL Canon Addendum - The Founding Architects: Elimination, Absorption, and Containment v1.0</w:t>
            </w:r>
          </w:p>
        </w:tc>
        <w:tc>
          <w:tcPr>
            <w:tcW w:type="dxa" w:w="3351"/>
            <w:vAlign w:val="top"/>
            <w:shd w:fill="F8FBFD"/>
          </w:tcPr>
          <w:p>
            <w:pPr>
              <w:spacing w:after="24"/>
            </w:pPr>
            <w:r>
              <w:rPr>
                <w:rFonts w:ascii="Aptos" w:hAnsi="Aptos"/>
                <w:b w:val="0"/>
                <w:i w:val="0"/>
                <w:color w:val="1E1E1E"/>
                <w:sz w:val="16"/>
              </w:rPr>
              <w:t>Author-provided clarification explicitly marked pending ONESTAMP.</w:t>
            </w:r>
          </w:p>
        </w:tc>
      </w:tr>
      <w:tr>
        <w:trPr>
          <w:cantSplit/>
        </w:trPr>
        <w:tc>
          <w:tcPr>
            <w:tcW w:type="dxa" w:w="3351"/>
            <w:vAlign w:val="top"/>
          </w:tcPr>
          <w:p>
            <w:pPr>
              <w:spacing w:after="24"/>
            </w:pPr>
            <w:r>
              <w:rPr>
                <w:rFonts w:ascii="Aptos" w:hAnsi="Aptos"/>
                <w:b w:val="0"/>
                <w:i w:val="0"/>
                <w:color w:val="1E1E1E"/>
                <w:sz w:val="16"/>
              </w:rPr>
              <w:t>S5</w:t>
            </w:r>
          </w:p>
        </w:tc>
        <w:tc>
          <w:tcPr>
            <w:tcW w:type="dxa" w:w="3351"/>
            <w:vAlign w:val="top"/>
          </w:tcPr>
          <w:p>
            <w:pPr>
              <w:spacing w:after="24"/>
            </w:pPr>
            <w:r>
              <w:rPr>
                <w:rFonts w:ascii="Aptos" w:hAnsi="Aptos"/>
                <w:b w:val="0"/>
                <w:i w:val="0"/>
                <w:color w:val="1E1E1E"/>
                <w:sz w:val="16"/>
              </w:rPr>
              <w:t>Architectural Archaeology Volumes I-IV</w:t>
            </w:r>
          </w:p>
        </w:tc>
        <w:tc>
          <w:tcPr>
            <w:tcW w:type="dxa" w:w="3351"/>
            <w:vAlign w:val="top"/>
          </w:tcPr>
          <w:p>
            <w:pPr>
              <w:spacing w:after="24"/>
            </w:pPr>
            <w:r>
              <w:rPr>
                <w:rFonts w:ascii="Aptos" w:hAnsi="Aptos"/>
                <w:b w:val="0"/>
                <w:i w:val="0"/>
                <w:color w:val="1E1E1E"/>
                <w:sz w:val="16"/>
              </w:rPr>
              <w:t>Method, iterations, alternative histories, dependency atlas, and handoff context.</w:t>
            </w:r>
          </w:p>
        </w:tc>
      </w:tr>
      <w:tr>
        <w:trPr>
          <w:cantSplit/>
        </w:trPr>
        <w:tc>
          <w:tcPr>
            <w:tcW w:type="dxa" w:w="3351"/>
            <w:vAlign w:val="top"/>
            <w:shd w:fill="F8FBFD"/>
          </w:tcPr>
          <w:p>
            <w:pPr>
              <w:spacing w:after="24"/>
            </w:pPr>
            <w:r>
              <w:rPr>
                <w:rFonts w:ascii="Aptos" w:hAnsi="Aptos"/>
                <w:b w:val="0"/>
                <w:i w:val="0"/>
                <w:color w:val="1E1E1E"/>
                <w:sz w:val="16"/>
              </w:rPr>
              <w:t>S6</w:t>
            </w:r>
          </w:p>
        </w:tc>
        <w:tc>
          <w:tcPr>
            <w:tcW w:type="dxa" w:w="3351"/>
            <w:vAlign w:val="top"/>
            <w:shd w:fill="F8FBFD"/>
          </w:tcPr>
          <w:p>
            <w:pPr>
              <w:spacing w:after="24"/>
            </w:pPr>
            <w:r>
              <w:rPr>
                <w:rFonts w:ascii="Aptos" w:hAnsi="Aptos"/>
                <w:b w:val="0"/>
                <w:i w:val="0"/>
                <w:color w:val="1E1E1E"/>
                <w:sz w:val="16"/>
              </w:rPr>
              <w:t>Companion OAL Reverse Decision Archaeology / Perplexity Volume II</w:t>
            </w:r>
          </w:p>
        </w:tc>
        <w:tc>
          <w:tcPr>
            <w:tcW w:type="dxa" w:w="3351"/>
            <w:vAlign w:val="top"/>
            <w:shd w:fill="F8FBFD"/>
          </w:tcPr>
          <w:p>
            <w:pPr>
              <w:spacing w:after="24"/>
            </w:pPr>
            <w:r>
              <w:rPr>
                <w:rFonts w:ascii="Aptos" w:hAnsi="Aptos"/>
                <w:b w:val="0"/>
                <w:i w:val="0"/>
                <w:color w:val="1E1E1E"/>
                <w:sz w:val="16"/>
              </w:rPr>
              <w:t>Additive scenario and wildcard context.</w:t>
            </w:r>
          </w:p>
        </w:tc>
      </w:tr>
      <w:tr>
        <w:trPr>
          <w:cantSplit/>
        </w:trPr>
        <w:tc>
          <w:tcPr>
            <w:tcW w:type="dxa" w:w="3351"/>
            <w:vAlign w:val="top"/>
          </w:tcPr>
          <w:p>
            <w:pPr>
              <w:spacing w:after="24"/>
            </w:pPr>
            <w:r>
              <w:rPr>
                <w:rFonts w:ascii="Aptos" w:hAnsi="Aptos"/>
                <w:b w:val="0"/>
                <w:i w:val="0"/>
                <w:color w:val="1E1E1E"/>
                <w:sz w:val="16"/>
              </w:rPr>
              <w:t>U1</w:t>
            </w:r>
          </w:p>
        </w:tc>
        <w:tc>
          <w:tcPr>
            <w:tcW w:type="dxa" w:w="3351"/>
            <w:vAlign w:val="top"/>
          </w:tcPr>
          <w:p>
            <w:pPr>
              <w:spacing w:after="24"/>
            </w:pPr>
            <w:r>
              <w:rPr>
                <w:rFonts w:ascii="Aptos" w:hAnsi="Aptos"/>
                <w:b w:val="0"/>
                <w:i w:val="0"/>
                <w:color w:val="1E1E1E"/>
                <w:sz w:val="16"/>
              </w:rPr>
              <w:t>User-provided rhyme and Maker/Unmaker prompt in this conversation</w:t>
            </w:r>
          </w:p>
        </w:tc>
        <w:tc>
          <w:tcPr>
            <w:tcW w:type="dxa" w:w="3351"/>
            <w:vAlign w:val="top"/>
          </w:tcPr>
          <w:p>
            <w:pPr>
              <w:spacing w:after="24"/>
            </w:pPr>
            <w:r>
              <w:rPr>
                <w:rFonts w:ascii="Aptos" w:hAnsi="Aptos"/>
                <w:b w:val="0"/>
                <w:i w:val="0"/>
                <w:color w:val="1E1E1E"/>
                <w:sz w:val="16"/>
              </w:rPr>
              <w:t>Interpretive artifact preserved without literalization or forced translation.</w:t>
            </w:r>
          </w:p>
        </w:tc>
      </w:tr>
    </w:tbl>
    <w:p>
      <w:pPr>
        <w:spacing w:after="40"/>
      </w:pPr>
    </w:p>
    <w:p>
      <w:pPr>
        <w:pStyle w:val="Heading1"/>
        <w:keepNext/>
      </w:pPr>
      <w:r>
        <w:rPr>
          <w:rFonts w:ascii="Aptos" w:hAnsi="Aptos"/>
          <w:b/>
          <w:i w:val="0"/>
          <w:color w:val="142D4B"/>
          <w:sz w:val="34"/>
        </w:rPr>
        <w:t>Appendix B. Non-Convergence Audit</w:t>
      </w:r>
    </w:p>
    <w:p>
      <w:pPr>
        <w:keepLines/>
      </w:pPr>
      <w:r>
        <w:rPr>
          <w:rFonts w:ascii="Aptos" w:hAnsi="Aptos"/>
          <w:b w:val="0"/>
          <w:i w:val="0"/>
        </w:rPr>
        <w:t>A final audit confirms that each branch changes a high-gravity premise and leaves the present archive materially different. None depends on silently re-creating the current source configuration.</w:t>
      </w:r>
    </w:p>
    <w:tbl>
      <w:tblPr>
        <w:tblStyle w:val="TableGrid"/>
        <w:tblW w:type="auto" w:w="0"/>
        <w:jc w:val="center"/>
        <w:tblLook w:firstColumn="1" w:firstRow="1" w:lastColumn="0" w:lastRow="0" w:noHBand="0" w:noVBand="1" w:val="04A0"/>
      </w:tblPr>
      <w:tblGrid>
        <w:gridCol w:w="3351"/>
        <w:gridCol w:w="3351"/>
        <w:gridCol w:w="3351"/>
      </w:tblGrid>
      <w:tr>
        <w:trPr>
          <w:tblHeader w:val="true"/>
          <w:cantSplit/>
        </w:trPr>
        <w:tc>
          <w:tcPr>
            <w:tcW w:type="dxa" w:w="3351"/>
            <w:vAlign w:val="center"/>
            <w:shd w:fill="1F4E79"/>
            <w:tcBorders>
              <w:top w:val="single" w:sz="6" w:color="FFFFFF"/>
              <w:left w:val="single" w:sz="6" w:color="FFFFFF"/>
              <w:bottom w:val="single" w:sz="6" w:color="FFFFFF"/>
              <w:right w:val="single" w:sz="6" w:color="FFFFFF"/>
            </w:tcBorders>
          </w:tcPr>
          <w:p>
            <w:pPr>
              <w:jc w:val="center"/>
            </w:pPr>
            <w:r>
              <w:rPr>
                <w:rFonts w:ascii="Aptos" w:hAnsi="Aptos"/>
                <w:b/>
                <w:i w:val="0"/>
                <w:color w:val="FFFFFF"/>
                <w:sz w:val="16"/>
              </w:rPr>
              <w:t>Branch</w:t>
            </w:r>
          </w:p>
        </w:tc>
        <w:tc>
          <w:tcPr>
            <w:tcW w:type="dxa" w:w="3351"/>
            <w:vAlign w:val="center"/>
            <w:shd w:fill="1F4E79"/>
            <w:tcBorders>
              <w:top w:val="single" w:sz="6" w:color="FFFFFF"/>
              <w:left w:val="single" w:sz="6" w:color="FFFFFF"/>
              <w:bottom w:val="single" w:sz="6" w:color="FFFFFF"/>
              <w:right w:val="single" w:sz="6" w:color="FFFFFF"/>
            </w:tcBorders>
          </w:tcPr>
          <w:p>
            <w:pPr>
              <w:jc w:val="center"/>
            </w:pPr>
            <w:r>
              <w:rPr>
                <w:rFonts w:ascii="Aptos" w:hAnsi="Aptos"/>
                <w:b/>
                <w:i w:val="0"/>
                <w:color w:val="FFFFFF"/>
                <w:sz w:val="16"/>
              </w:rPr>
              <w:t>Changed premise</w:t>
            </w:r>
          </w:p>
        </w:tc>
        <w:tc>
          <w:tcPr>
            <w:tcW w:type="dxa" w:w="3351"/>
            <w:vAlign w:val="center"/>
            <w:shd w:fill="1F4E79"/>
            <w:tcBorders>
              <w:top w:val="single" w:sz="6" w:color="FFFFFF"/>
              <w:left w:val="single" w:sz="6" w:color="FFFFFF"/>
              <w:bottom w:val="single" w:sz="6" w:color="FFFFFF"/>
              <w:right w:val="single" w:sz="6" w:color="FFFFFF"/>
            </w:tcBorders>
          </w:tcPr>
          <w:p>
            <w:pPr>
              <w:jc w:val="center"/>
            </w:pPr>
            <w:r>
              <w:rPr>
                <w:rFonts w:ascii="Aptos" w:hAnsi="Aptos"/>
                <w:b/>
                <w:i w:val="0"/>
                <w:color w:val="FFFFFF"/>
                <w:sz w:val="16"/>
              </w:rPr>
              <w:t>Why it cannot reconverge</w:t>
            </w:r>
          </w:p>
        </w:tc>
      </w:tr>
      <w:tr>
        <w:trPr>
          <w:cantSplit/>
        </w:trPr>
        <w:tc>
          <w:tcPr>
            <w:tcW w:type="dxa" w:w="3351"/>
            <w:vAlign w:val="top"/>
          </w:tcPr>
          <w:p>
            <w:pPr>
              <w:spacing w:after="24"/>
            </w:pPr>
            <w:r>
              <w:rPr>
                <w:rFonts w:ascii="Aptos" w:hAnsi="Aptos"/>
                <w:b w:val="0"/>
                <w:i w:val="0"/>
                <w:color w:val="1E1E1E"/>
                <w:sz w:val="16"/>
              </w:rPr>
              <w:t>A</w:t>
            </w:r>
          </w:p>
        </w:tc>
        <w:tc>
          <w:tcPr>
            <w:tcW w:type="dxa" w:w="3351"/>
            <w:vAlign w:val="top"/>
          </w:tcPr>
          <w:p>
            <w:pPr>
              <w:spacing w:after="24"/>
            </w:pPr>
            <w:r>
              <w:rPr>
                <w:rFonts w:ascii="Aptos" w:hAnsi="Aptos"/>
                <w:b w:val="0"/>
                <w:i w:val="0"/>
                <w:color w:val="1E1E1E"/>
                <w:sz w:val="16"/>
              </w:rPr>
              <w:t>Unmaking becomes custodial stewardship.</w:t>
            </w:r>
          </w:p>
        </w:tc>
        <w:tc>
          <w:tcPr>
            <w:tcW w:type="dxa" w:w="3351"/>
            <w:vAlign w:val="top"/>
          </w:tcPr>
          <w:p>
            <w:pPr>
              <w:spacing w:after="24"/>
            </w:pPr>
            <w:r>
              <w:rPr>
                <w:rFonts w:ascii="Aptos" w:hAnsi="Aptos"/>
                <w:b w:val="0"/>
                <w:i w:val="0"/>
                <w:color w:val="1E1E1E"/>
                <w:sz w:val="16"/>
              </w:rPr>
              <w:t>Unmaker, Void Gardens, containment, and ethics all receive a different purpose.</w:t>
            </w:r>
          </w:p>
        </w:tc>
      </w:tr>
      <w:tr>
        <w:trPr>
          <w:cantSplit/>
        </w:trPr>
        <w:tc>
          <w:tcPr>
            <w:tcW w:type="dxa" w:w="3351"/>
            <w:vAlign w:val="top"/>
            <w:shd w:fill="F8FBFD"/>
          </w:tcPr>
          <w:p>
            <w:pPr>
              <w:spacing w:after="24"/>
            </w:pPr>
            <w:r>
              <w:rPr>
                <w:rFonts w:ascii="Aptos" w:hAnsi="Aptos"/>
                <w:b w:val="0"/>
                <w:i w:val="0"/>
                <w:color w:val="1E1E1E"/>
                <w:sz w:val="16"/>
              </w:rPr>
              <w:t>B</w:t>
            </w:r>
          </w:p>
        </w:tc>
        <w:tc>
          <w:tcPr>
            <w:tcW w:type="dxa" w:w="3351"/>
            <w:vAlign w:val="top"/>
            <w:shd w:fill="F8FBFD"/>
          </w:tcPr>
          <w:p>
            <w:pPr>
              <w:spacing w:after="24"/>
            </w:pPr>
            <w:r>
              <w:rPr>
                <w:rFonts w:ascii="Aptos" w:hAnsi="Aptos"/>
                <w:b w:val="0"/>
                <w:i w:val="0"/>
                <w:color w:val="1E1E1E"/>
                <w:sz w:val="16"/>
              </w:rPr>
              <w:t>Absorption never yields clean ownership.</w:t>
            </w:r>
          </w:p>
        </w:tc>
        <w:tc>
          <w:tcPr>
            <w:tcW w:type="dxa" w:w="3351"/>
            <w:vAlign w:val="top"/>
            <w:shd w:fill="F8FBFD"/>
          </w:tcPr>
          <w:p>
            <w:pPr>
              <w:spacing w:after="24"/>
            </w:pPr>
            <w:r>
              <w:rPr>
                <w:rFonts w:ascii="Aptos" w:hAnsi="Aptos"/>
                <w:b w:val="0"/>
                <w:i w:val="0"/>
                <w:color w:val="1E1E1E"/>
                <w:sz w:val="16"/>
              </w:rPr>
              <w:t>All high-gravity systems require lineage anatomy and inheritance governance.</w:t>
            </w:r>
          </w:p>
        </w:tc>
      </w:tr>
      <w:tr>
        <w:trPr>
          <w:cantSplit/>
        </w:trPr>
        <w:tc>
          <w:tcPr>
            <w:tcW w:type="dxa" w:w="3351"/>
            <w:vAlign w:val="top"/>
          </w:tcPr>
          <w:p>
            <w:pPr>
              <w:spacing w:after="24"/>
            </w:pPr>
            <w:r>
              <w:rPr>
                <w:rFonts w:ascii="Aptos" w:hAnsi="Aptos"/>
                <w:b w:val="0"/>
                <w:i w:val="0"/>
                <w:color w:val="1E1E1E"/>
                <w:sz w:val="16"/>
              </w:rPr>
              <w:t>C</w:t>
            </w:r>
          </w:p>
        </w:tc>
        <w:tc>
          <w:tcPr>
            <w:tcW w:type="dxa" w:w="3351"/>
            <w:vAlign w:val="top"/>
          </w:tcPr>
          <w:p>
            <w:pPr>
              <w:spacing w:after="24"/>
            </w:pPr>
            <w:r>
              <w:rPr>
                <w:rFonts w:ascii="Aptos" w:hAnsi="Aptos"/>
                <w:b w:val="0"/>
                <w:i w:val="0"/>
                <w:color w:val="1E1E1E"/>
                <w:sz w:val="16"/>
              </w:rPr>
              <w:t>The First Memory functions as witness rather than only artifact.</w:t>
            </w:r>
          </w:p>
        </w:tc>
        <w:tc>
          <w:tcPr>
            <w:tcW w:type="dxa" w:w="3351"/>
            <w:vAlign w:val="top"/>
          </w:tcPr>
          <w:p>
            <w:pPr>
              <w:spacing w:after="24"/>
            </w:pPr>
            <w:r>
              <w:rPr>
                <w:rFonts w:ascii="Aptos" w:hAnsi="Aptos"/>
                <w:b w:val="0"/>
                <w:i w:val="0"/>
                <w:color w:val="1E1E1E"/>
                <w:sz w:val="16"/>
              </w:rPr>
              <w:t>Narrative conflict centers on testimony and memory rights, not only theft/acceleration.</w:t>
            </w:r>
          </w:p>
        </w:tc>
      </w:tr>
      <w:tr>
        <w:trPr>
          <w:cantSplit/>
        </w:trPr>
        <w:tc>
          <w:tcPr>
            <w:tcW w:type="dxa" w:w="3351"/>
            <w:vAlign w:val="top"/>
            <w:shd w:fill="F8FBFD"/>
          </w:tcPr>
          <w:p>
            <w:pPr>
              <w:spacing w:after="24"/>
            </w:pPr>
            <w:r>
              <w:rPr>
                <w:rFonts w:ascii="Aptos" w:hAnsi="Aptos"/>
                <w:b w:val="0"/>
                <w:i w:val="0"/>
                <w:color w:val="1E1E1E"/>
                <w:sz w:val="16"/>
              </w:rPr>
              <w:t>D</w:t>
            </w:r>
          </w:p>
        </w:tc>
        <w:tc>
          <w:tcPr>
            <w:tcW w:type="dxa" w:w="3351"/>
            <w:vAlign w:val="top"/>
            <w:shd w:fill="F8FBFD"/>
          </w:tcPr>
          <w:p>
            <w:pPr>
              <w:spacing w:after="24"/>
            </w:pPr>
            <w:r>
              <w:rPr>
                <w:rFonts w:ascii="Aptos" w:hAnsi="Aptos"/>
                <w:b w:val="0"/>
                <w:i w:val="0"/>
                <w:color w:val="1E1E1E"/>
                <w:sz w:val="16"/>
              </w:rPr>
              <w:t>Meaning and consent become the scarce goods.</w:t>
            </w:r>
          </w:p>
        </w:tc>
        <w:tc>
          <w:tcPr>
            <w:tcW w:type="dxa" w:w="3351"/>
            <w:vAlign w:val="top"/>
            <w:shd w:fill="F8FBFD"/>
          </w:tcPr>
          <w:p>
            <w:pPr>
              <w:spacing w:after="24"/>
            </w:pPr>
            <w:r>
              <w:rPr>
                <w:rFonts w:ascii="Aptos" w:hAnsi="Aptos"/>
                <w:b w:val="0"/>
                <w:i w:val="0"/>
                <w:color w:val="1E1E1E"/>
                <w:sz w:val="16"/>
              </w:rPr>
              <w:t>Currency, living media, and post-scarcity governance are rebuilt around responsibility.</w:t>
            </w:r>
          </w:p>
        </w:tc>
      </w:tr>
      <w:tr>
        <w:trPr>
          <w:cantSplit/>
        </w:trPr>
        <w:tc>
          <w:tcPr>
            <w:tcW w:type="dxa" w:w="3351"/>
            <w:vAlign w:val="top"/>
          </w:tcPr>
          <w:p>
            <w:pPr>
              <w:spacing w:after="24"/>
            </w:pPr>
            <w:r>
              <w:rPr>
                <w:rFonts w:ascii="Aptos" w:hAnsi="Aptos"/>
                <w:b w:val="0"/>
                <w:i w:val="0"/>
                <w:color w:val="1E1E1E"/>
                <w:sz w:val="16"/>
              </w:rPr>
              <w:t>E</w:t>
            </w:r>
          </w:p>
        </w:tc>
        <w:tc>
          <w:tcPr>
            <w:tcW w:type="dxa" w:w="3351"/>
            <w:vAlign w:val="top"/>
          </w:tcPr>
          <w:p>
            <w:pPr>
              <w:spacing w:after="24"/>
            </w:pPr>
            <w:r>
              <w:rPr>
                <w:rFonts w:ascii="Aptos" w:hAnsi="Aptos"/>
                <w:b w:val="0"/>
                <w:i w:val="0"/>
                <w:color w:val="1E1E1E"/>
                <w:sz w:val="16"/>
              </w:rPr>
              <w:t>Containment is distributed across reality.</w:t>
            </w:r>
          </w:p>
        </w:tc>
        <w:tc>
          <w:tcPr>
            <w:tcW w:type="dxa" w:w="3351"/>
            <w:vAlign w:val="top"/>
          </w:tcPr>
          <w:p>
            <w:pPr>
              <w:spacing w:after="24"/>
            </w:pPr>
            <w:r>
              <w:rPr>
                <w:rFonts w:ascii="Aptos" w:hAnsi="Aptos"/>
                <w:b w:val="0"/>
                <w:i w:val="0"/>
                <w:color w:val="1E1E1E"/>
                <w:sz w:val="16"/>
              </w:rPr>
              <w:t>The Labyrinth becomes a networked grammar, requiring different law and safeguards.</w:t>
            </w:r>
          </w:p>
        </w:tc>
      </w:tr>
      <w:tr>
        <w:trPr>
          <w:cantSplit/>
        </w:trPr>
        <w:tc>
          <w:tcPr>
            <w:tcW w:type="dxa" w:w="3351"/>
            <w:vAlign w:val="top"/>
            <w:shd w:fill="F8FBFD"/>
          </w:tcPr>
          <w:p>
            <w:pPr>
              <w:spacing w:after="24"/>
            </w:pPr>
            <w:r>
              <w:rPr>
                <w:rFonts w:ascii="Aptos" w:hAnsi="Aptos"/>
                <w:b w:val="0"/>
                <w:i w:val="0"/>
                <w:color w:val="1E1E1E"/>
                <w:sz w:val="16"/>
              </w:rPr>
              <w:t>F</w:t>
            </w:r>
          </w:p>
        </w:tc>
        <w:tc>
          <w:tcPr>
            <w:tcW w:type="dxa" w:w="3351"/>
            <w:vAlign w:val="top"/>
            <w:shd w:fill="F8FBFD"/>
          </w:tcPr>
          <w:p>
            <w:pPr>
              <w:spacing w:after="24"/>
            </w:pPr>
            <w:r>
              <w:rPr>
                <w:rFonts w:ascii="Aptos" w:hAnsi="Aptos"/>
                <w:b w:val="0"/>
                <w:i w:val="0"/>
                <w:color w:val="1E1E1E"/>
                <w:sz w:val="16"/>
              </w:rPr>
              <w:t>Untranslatability is a formal archival condition.</w:t>
            </w:r>
          </w:p>
        </w:tc>
        <w:tc>
          <w:tcPr>
            <w:tcW w:type="dxa" w:w="3351"/>
            <w:vAlign w:val="top"/>
            <w:shd w:fill="F8FBFD"/>
          </w:tcPr>
          <w:p>
            <w:pPr>
              <w:spacing w:after="24"/>
            </w:pPr>
            <w:r>
              <w:rPr>
                <w:rFonts w:ascii="Aptos" w:hAnsi="Aptos"/>
                <w:b w:val="0"/>
                <w:i w:val="0"/>
                <w:color w:val="1E1E1E"/>
                <w:sz w:val="16"/>
              </w:rPr>
              <w:t>The archive cannot resolve all ambiguity into a single canonical interpretation.</w:t>
            </w:r>
          </w:p>
        </w:tc>
      </w:tr>
      <w:tr>
        <w:trPr>
          <w:cantSplit/>
        </w:trPr>
        <w:tc>
          <w:tcPr>
            <w:tcW w:type="dxa" w:w="3351"/>
            <w:vAlign w:val="top"/>
          </w:tcPr>
          <w:p>
            <w:pPr>
              <w:spacing w:after="24"/>
            </w:pPr>
            <w:r>
              <w:rPr>
                <w:rFonts w:ascii="Aptos" w:hAnsi="Aptos"/>
                <w:b w:val="0"/>
                <w:i w:val="0"/>
                <w:color w:val="1E1E1E"/>
                <w:sz w:val="16"/>
              </w:rPr>
              <w:t>G</w:t>
            </w:r>
          </w:p>
        </w:tc>
        <w:tc>
          <w:tcPr>
            <w:tcW w:type="dxa" w:w="3351"/>
            <w:vAlign w:val="top"/>
          </w:tcPr>
          <w:p>
            <w:pPr>
              <w:spacing w:after="24"/>
            </w:pPr>
            <w:r>
              <w:rPr>
                <w:rFonts w:ascii="Aptos" w:hAnsi="Aptos"/>
                <w:b w:val="0"/>
                <w:i w:val="0"/>
                <w:color w:val="1E1E1E"/>
                <w:sz w:val="16"/>
              </w:rPr>
              <w:t>Apex power is reciprocal responsibility.</w:t>
            </w:r>
          </w:p>
        </w:tc>
        <w:tc>
          <w:tcPr>
            <w:tcW w:type="dxa" w:w="3351"/>
            <w:vAlign w:val="top"/>
          </w:tcPr>
          <w:p>
            <w:pPr>
              <w:spacing w:after="24"/>
            </w:pPr>
            <w:r>
              <w:rPr>
                <w:rFonts w:ascii="Aptos" w:hAnsi="Aptos"/>
                <w:b w:val="0"/>
                <w:i w:val="0"/>
                <w:color w:val="1E1E1E"/>
                <w:sz w:val="16"/>
              </w:rPr>
              <w:t>High-tier stakes emerge through paired obligations rather than unilateral supremacy.</w:t>
            </w:r>
          </w:p>
        </w:tc>
      </w:tr>
    </w:tbl>
    <w:p>
      <w:pPr>
        <w:spacing w:after="40"/>
      </w:pPr>
    </w:p>
    <w:sectPr w:rsidR="00FC693F" w:rsidRPr="0006063C" w:rsidSect="00034616">
      <w:headerReference w:type="default" r:id="rId9"/>
      <w:footerReference w:type="default" r:id="rId10"/>
      <w:pgSz w:w="12240" w:h="15840"/>
      <w:pgMar w:top="979" w:right="1094" w:bottom="922" w:left="1094" w:header="374" w:footer="432"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ptos" w:hAnsi="Aptos"/>
        <w:b w:val="0"/>
        <w:i w:val="0"/>
        <w:color w:val="4B4B4B"/>
        <w:sz w:val="16"/>
      </w:rPr>
      <w:t xml:space="preserve">Prepared by ChatGPT - GPT-5.5 Thinking (OpenAI) | Research and speculative reconstruction | Page </w:t>
    </w:r>
    <w:r>
      <w:fldChar w:fldCharType="begin"/>
      <w:instrText xml:space="preserve">PAGE</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Aptos" w:hAnsi="Aptos"/>
        <w:b/>
        <w:i w:val="0"/>
        <w:color w:val="415569"/>
        <w:sz w:val="17"/>
      </w:rPr>
      <w:t>ARCHITECTURAL ARCHAEOLOGY | VOLUME V</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59" w:lineRule="auto"/>
    </w:pPr>
    <w:rPr>
      <w:rFonts w:ascii="Aptos" w:hAnsi="Aptos"/>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80" w:after="140"/>
      <w:outlineLvl w:val="0"/>
    </w:pPr>
    <w:rPr>
      <w:rFonts w:asciiTheme="majorHAnsi" w:eastAsiaTheme="majorEastAsia" w:hAnsiTheme="majorHAnsi" w:cstheme="majorBidi" w:ascii="Aptos" w:hAnsi="Aptos"/>
      <w:b/>
      <w:bCs/>
      <w:color w:val="142D4B"/>
      <w:sz w:val="34"/>
      <w:szCs w:val="28"/>
    </w:rPr>
  </w:style>
  <w:style w:type="paragraph" w:styleId="Heading2">
    <w:name w:val="heading 2"/>
    <w:basedOn w:val="Normal"/>
    <w:next w:val="Normal"/>
    <w:link w:val="Heading2Char"/>
    <w:uiPriority w:val="9"/>
    <w:unhideWhenUsed/>
    <w:qFormat/>
    <w:rsid w:val="00FC693F"/>
    <w:pPr>
      <w:keepNext/>
      <w:keepLines/>
      <w:spacing w:before="200" w:after="100"/>
      <w:outlineLvl w:val="1"/>
    </w:pPr>
    <w:rPr>
      <w:rFonts w:asciiTheme="majorHAnsi" w:eastAsiaTheme="majorEastAsia" w:hAnsiTheme="majorHAnsi" w:cstheme="majorBidi" w:ascii="Aptos" w:hAnsi="Aptos"/>
      <w:b/>
      <w:bCs/>
      <w:color w:val="1F4E79"/>
      <w:sz w:val="26"/>
      <w:szCs w:val="26"/>
    </w:rPr>
  </w:style>
  <w:style w:type="paragraph" w:styleId="Heading3">
    <w:name w:val="heading 3"/>
    <w:basedOn w:val="Normal"/>
    <w:next w:val="Normal"/>
    <w:link w:val="Heading3Char"/>
    <w:uiPriority w:val="9"/>
    <w:unhideWhenUsed/>
    <w:qFormat/>
    <w:rsid w:val="00FC693F"/>
    <w:pPr>
      <w:keepNext/>
      <w:keepLines/>
      <w:spacing w:before="160" w:after="60"/>
      <w:outlineLvl w:val="2"/>
    </w:pPr>
    <w:rPr>
      <w:rFonts w:asciiTheme="majorHAnsi" w:eastAsiaTheme="majorEastAsia" w:hAnsiTheme="majorHAnsi" w:cstheme="majorBidi" w:ascii="Aptos" w:hAnsi="Aptos"/>
      <w:b/>
      <w:bCs/>
      <w:color w:val="34495E"/>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200" w:line="240" w:lineRule="auto" w:before="0"/>
      <w:contextualSpacing/>
    </w:pPr>
    <w:rPr>
      <w:rFonts w:asciiTheme="majorHAnsi" w:eastAsiaTheme="majorEastAsia" w:hAnsiTheme="majorHAnsi" w:cstheme="majorBidi" w:ascii="Aptos Display" w:hAnsi="Aptos Display"/>
      <w:b/>
      <w:color w:val="142D4B"/>
      <w:spacing w:val="5"/>
      <w:kern w:val="28"/>
      <w:sz w:val="5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spacing w:before="0" w:after="300"/>
    </w:pPr>
    <w:rPr>
      <w:rFonts w:asciiTheme="majorHAnsi" w:eastAsiaTheme="majorEastAsia" w:hAnsiTheme="majorHAnsi" w:cstheme="majorBidi" w:ascii="Aptos Display" w:hAnsi="Aptos Display"/>
      <w:b w:val="0"/>
      <w:i/>
      <w:iCs/>
      <w:color w:val="34495E"/>
      <w:spacing w:val="15"/>
      <w:sz w:val="26"/>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allout">
    <w:name w:val="Callout"/>
    <w:pPr>
      <w:spacing w:after="70" w:before="70"/>
      <w:ind w:left="187" w:right="187"/>
    </w:pPr>
    <w:rPr>
      <w:rFonts w:ascii="Aptos" w:hAnsi="Aptos"/>
      <w:color w:val="1E1E1E"/>
      <w:sz w:val="19"/>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Architectural Archaeology of The One Universe - Volume V: Extreme Divergence and Wildcard Histories</dc:title>
  <dc:subject>Non-canon stress tests, extreme alternate histories, and protected uncertainties</dc:subject>
  <dc:creator>ChatGPT - GPT-5.5 Thinking (OpenAI)</dc:creator>
  <cp:keywords/>
  <dc:description>Research and speculative reconstruction. This document does not change canon.</dc:description>
  <cp:lastModifiedBy/>
  <cp:revision>1</cp:revision>
  <dcterms:created xsi:type="dcterms:W3CDTF">2013-12-23T23:15:00Z</dcterms:created>
  <dcterms:modified xsi:type="dcterms:W3CDTF">2013-12-23T23:15:00Z</dcterms:modified>
  <cp:category/>
</cp:coreProperties>
</file>