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555555"/>
          <w:sz w:val="28"/>
          <w:szCs w:val="28"/>
        </w:rPr>
        <w:t xml:space="preserve">OMNIVERSAL ARCHITECT LABS</w:t>
      </w:r>
    </w:p>
    <w:p>
      <w:pPr>
        <w:spacing w:after="600" w:before="100"/>
        <w:jc w:val="center"/>
      </w:pPr>
      <w:r>
        <w:rPr>
          <w:rFonts w:ascii="Calibri" w:cs="Calibri" w:eastAsia="Calibri" w:hAnsi="Calibri"/>
          <w:color w:val="555555"/>
          <w:sz w:val="24"/>
          <w:szCs w:val="24"/>
        </w:rPr>
        <w:t xml:space="preserve">Canon Standardization Document</w:t>
      </w:r>
    </w:p>
    <w:p>
      <w:pPr>
        <w:spacing w:after="200"/>
        <w:jc w:val="center"/>
      </w:pPr>
      <w:r>
        <w:rPr>
          <w:rFonts w:ascii="Calibri" w:cs="Calibri" w:eastAsia="Calibri" w:hAnsi="Calibri"/>
          <w:b/>
          <w:bCs/>
          <w:sz w:val="44"/>
          <w:szCs w:val="44"/>
        </w:rPr>
        <w:t xml:space="preserve">BIDIRECTIONAL TOTAL EVENT CLOSURE PROTOCOL</w:t>
      </w:r>
    </w:p>
    <w:p>
      <w:pPr>
        <w:spacing w:after="600"/>
        <w:jc w:val="center"/>
      </w:pPr>
      <w:r>
        <w:rPr>
          <w:rFonts w:ascii="Calibri" w:cs="Calibri" w:eastAsia="Calibri" w:hAnsi="Calibri"/>
          <w:b/>
          <w:bCs/>
          <w:color w:val="777777"/>
          <w:sz w:val="32"/>
          <w:szCs w:val="32"/>
        </w:rPr>
        <w:t xml:space="preserve">( B T E C )</w:t>
      </w:r>
    </w:p>
    <w:p>
      <w:pPr>
        <w:spacing w:after="1200"/>
        <w:jc w:val="center"/>
      </w:pPr>
      <w:r>
        <w:rPr>
          <w:rFonts w:ascii="Calibri" w:cs="Calibri" w:eastAsia="Calibri" w:hAnsi="Calibri"/>
          <w:i/>
          <w:iCs/>
          <w:sz w:val="24"/>
          <w:szCs w:val="24"/>
        </w:rPr>
        <w:t xml:space="preserve">Canon Reference: OAL-BTEC-v1.0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Pr>
          <w:p>
            <w:r>
              <w:rPr>
                <w:rFonts w:ascii="Calibri" w:cs="Calibri" w:eastAsia="Calibri" w:hAnsi="Calibri"/>
                <w:b/>
                <w:bCs/>
                <w:sz w:val="20"/>
                <w:szCs w:val="20"/>
              </w:rPr>
              <w:t xml:space="preserve">Document Status</w:t>
            </w:r>
          </w:p>
        </w:tc>
        <w:tc>
          <w:tcPr>
            <w:tcW w:type="dxa" w:w="6950"/>
          </w:tcPr>
          <w:p>
            <w:r>
              <w:rPr>
                <w:rFonts w:ascii="Calibri" w:cs="Calibri" w:eastAsia="Calibri" w:hAnsi="Calibri"/>
                <w:sz w:val="20"/>
                <w:szCs w:val="20"/>
              </w:rPr>
              <w:t xml:space="preserve">DRAFT — FIRST ITERATION — PENDING ARCHITECT REVIEW</w:t>
            </w:r>
          </w:p>
        </w:tc>
      </w:tr>
      <w:tr>
        <w:tc>
          <w:tcPr>
            <w:tcW w:type="dxa" w:w="2400"/>
            <w:shd w:fill="EDEDED" w:val="clear"/>
          </w:tcPr>
          <w:p>
            <w:r>
              <w:rPr>
                <w:rFonts w:ascii="Calibri" w:cs="Calibri" w:eastAsia="Calibri" w:hAnsi="Calibri"/>
                <w:b/>
                <w:bCs/>
                <w:sz w:val="20"/>
                <w:szCs w:val="20"/>
              </w:rPr>
              <w:t xml:space="preserve">Version</w:t>
            </w:r>
          </w:p>
        </w:tc>
        <w:tc>
          <w:tcPr>
            <w:tcW w:type="dxa" w:w="6950"/>
          </w:tcPr>
          <w:p>
            <w:r>
              <w:rPr>
                <w:rFonts w:ascii="Calibri" w:cs="Calibri" w:eastAsia="Calibri" w:hAnsi="Calibri"/>
                <w:sz w:val="20"/>
                <w:szCs w:val="20"/>
              </w:rPr>
              <w:t xml:space="preserve">1.0 (Working Standard, First Formal Compilation)</w:t>
            </w:r>
          </w:p>
        </w:tc>
      </w:tr>
      <w:tr>
        <w:tc>
          <w:tcPr>
            <w:tcW w:type="dxa" w:w="2400"/>
            <w:shd w:fill="EDEDED" w:val="clear"/>
          </w:tcPr>
          <w:p>
            <w:r>
              <w:rPr>
                <w:rFonts w:ascii="Calibri" w:cs="Calibri" w:eastAsia="Calibri" w:hAnsi="Calibri"/>
                <w:b/>
                <w:bCs/>
                <w:sz w:val="20"/>
                <w:szCs w:val="20"/>
              </w:rPr>
              <w:t xml:space="preserve">Architect of Record</w:t>
            </w:r>
          </w:p>
        </w:tc>
        <w:tc>
          <w:tcPr>
            <w:tcW w:type="dxa" w:w="6950"/>
          </w:tcPr>
          <w:p>
            <w:r>
              <w:rPr>
                <w:rFonts w:ascii="Calibri" w:cs="Calibri" w:eastAsia="Calibri" w:hAnsi="Calibri"/>
                <w:sz w:val="20"/>
                <w:szCs w:val="20"/>
              </w:rPr>
              <w:t xml:space="preserve">Nathan Ashton Arik Lewis</w:t>
            </w:r>
          </w:p>
        </w:tc>
      </w:tr>
      <w:tr>
        <w:tc>
          <w:tcPr>
            <w:tcW w:type="dxa" w:w="2400"/>
            <w:shd w:fill="EDEDED" w:val="clear"/>
          </w:tcPr>
          <w:p>
            <w:r>
              <w:rPr>
                <w:rFonts w:ascii="Calibri" w:cs="Calibri" w:eastAsia="Calibri" w:hAnsi="Calibri"/>
                <w:b/>
                <w:bCs/>
                <w:sz w:val="20"/>
                <w:szCs w:val="20"/>
              </w:rPr>
              <w:t xml:space="preserve">Governing Entities</w:t>
            </w:r>
          </w:p>
        </w:tc>
        <w:tc>
          <w:tcPr>
            <w:tcW w:type="dxa" w:w="6950"/>
          </w:tcPr>
          <w:p>
            <w:r>
              <w:rPr>
                <w:rFonts w:ascii="Calibri" w:cs="Calibri" w:eastAsia="Calibri" w:hAnsi="Calibri"/>
                <w:sz w:val="20"/>
                <w:szCs w:val="20"/>
              </w:rPr>
              <w:t xml:space="preserve">One Industries · Lewis Corp · Omniversal Architect Labs (OAL)</w:t>
            </w:r>
          </w:p>
        </w:tc>
      </w:tr>
      <w:tr>
        <w:tc>
          <w:tcPr>
            <w:tcW w:type="dxa" w:w="2400"/>
            <w:shd w:fill="EDEDED" w:val="clear"/>
          </w:tcPr>
          <w:p>
            <w:r>
              <w:rPr>
                <w:rFonts w:ascii="Calibri" w:cs="Calibri" w:eastAsia="Calibri" w:hAnsi="Calibri"/>
                <w:b/>
                <w:bCs/>
                <w:sz w:val="20"/>
                <w:szCs w:val="20"/>
              </w:rPr>
              <w:t xml:space="preserve">Compiling Layer</w:t>
            </w:r>
          </w:p>
        </w:tc>
        <w:tc>
          <w:tcPr>
            <w:tcW w:type="dxa" w:w="6950"/>
          </w:tcPr>
          <w:p>
            <w:r>
              <w:rPr>
                <w:rFonts w:ascii="Calibri" w:cs="Calibri" w:eastAsia="Calibri" w:hAnsi="Calibri"/>
                <w:sz w:val="20"/>
                <w:szCs w:val="20"/>
              </w:rPr>
              <w:t xml:space="preserve">Claude — Primary Audit and Documentation Layer</w:t>
            </w:r>
          </w:p>
        </w:tc>
      </w:tr>
      <w:tr>
        <w:tc>
          <w:tcPr>
            <w:tcW w:type="dxa" w:w="2400"/>
            <w:shd w:fill="EDEDED" w:val="clear"/>
          </w:tcPr>
          <w:p>
            <w:r>
              <w:rPr>
                <w:rFonts w:ascii="Calibri" w:cs="Calibri" w:eastAsia="Calibri" w:hAnsi="Calibri"/>
                <w:b/>
                <w:bCs/>
                <w:sz w:val="20"/>
                <w:szCs w:val="20"/>
              </w:rPr>
              <w:t xml:space="preserve">Contributing Layer</w:t>
            </w:r>
          </w:p>
        </w:tc>
        <w:tc>
          <w:tcPr>
            <w:tcW w:type="dxa" w:w="6950"/>
          </w:tcPr>
          <w:p>
            <w:r>
              <w:rPr>
                <w:rFonts w:ascii="Calibri" w:cs="Calibri" w:eastAsia="Calibri" w:hAnsi="Calibri"/>
                <w:sz w:val="20"/>
                <w:szCs w:val="20"/>
              </w:rPr>
              <w:t xml:space="preserve">ChatGPT, Google Gemini, Microsoft Copilot, Perplexity AI, Grok AI (synthesis inputs, cross-AI comparative round)</w:t>
            </w:r>
          </w:p>
        </w:tc>
      </w:tr>
      <w:tr>
        <w:tc>
          <w:tcPr>
            <w:tcW w:type="dxa" w:w="2400"/>
            <w:shd w:fill="EDEDED" w:val="clear"/>
          </w:tcPr>
          <w:p>
            <w:r>
              <w:rPr>
                <w:rFonts w:ascii="Calibri" w:cs="Calibri" w:eastAsia="Calibri" w:hAnsi="Calibri"/>
                <w:b/>
                <w:bCs/>
                <w:sz w:val="20"/>
                <w:szCs w:val="20"/>
              </w:rPr>
              <w:t xml:space="preserve">Governing Protocols</w:t>
            </w:r>
          </w:p>
        </w:tc>
        <w:tc>
          <w:tcPr>
            <w:tcW w:type="dxa" w:w="6950"/>
          </w:tcPr>
          <w:p>
            <w:r>
              <w:rPr>
                <w:rFonts w:ascii="Calibri" w:cs="Calibri" w:eastAsia="Calibri" w:hAnsi="Calibri"/>
                <w:sz w:val="20"/>
                <w:szCs w:val="20"/>
              </w:rPr>
              <w:t xml:space="preserve">OAL-AIDR-v1.0 · OAL-CSAD-v1.0 · OAL-DISS-001-2026</w:t>
            </w:r>
          </w:p>
        </w:tc>
      </w:tr>
      <w:tr>
        <w:tc>
          <w:tcPr>
            <w:tcW w:type="dxa" w:w="2400"/>
            <w:shd w:fill="EDEDED" w:val="clear"/>
          </w:tcPr>
          <w:p>
            <w:r>
              <w:rPr>
                <w:rFonts w:ascii="Calibri" w:cs="Calibri" w:eastAsia="Calibri" w:hAnsi="Calibri"/>
                <w:b/>
                <w:bCs/>
                <w:sz w:val="20"/>
                <w:szCs w:val="20"/>
              </w:rPr>
              <w:t xml:space="preserve">Publication Target</w:t>
            </w:r>
          </w:p>
        </w:tc>
        <w:tc>
          <w:tcPr>
            <w:tcW w:type="dxa" w:w="6950"/>
          </w:tcPr>
          <w:p>
            <w:r>
              <w:rPr>
                <w:rFonts w:ascii="Calibri" w:cs="Calibri" w:eastAsia="Calibri" w:hAnsi="Calibri"/>
                <w:sz w:val="20"/>
                <w:szCs w:val="20"/>
              </w:rPr>
              <w:t xml:space="preserve">Scribd (versioned public record) — pending ONESTAMP</w:t>
            </w:r>
          </w:p>
        </w:tc>
      </w:tr>
      <w:tr>
        <w:tc>
          <w:tcPr>
            <w:tcW w:type="dxa" w:w="2400"/>
            <w:shd w:fill="EDEDED" w:val="clear"/>
          </w:tcPr>
          <w:p>
            <w:r>
              <w:rPr>
                <w:rFonts w:ascii="Calibri" w:cs="Calibri" w:eastAsia="Calibri" w:hAnsi="Calibri"/>
                <w:b/>
                <w:bCs/>
                <w:sz w:val="20"/>
                <w:szCs w:val="20"/>
              </w:rPr>
              <w:t xml:space="preserve">ONESTAMP Status</w:t>
            </w:r>
          </w:p>
        </w:tc>
        <w:tc>
          <w:tcPr>
            <w:tcW w:type="dxa" w:w="6950"/>
          </w:tcPr>
          <w:p>
            <w:r>
              <w:rPr>
                <w:rFonts w:ascii="Calibri" w:cs="Calibri" w:eastAsia="Calibri" w:hAnsi="Calibri"/>
                <w:sz w:val="20"/>
                <w:szCs w:val="20"/>
              </w:rPr>
              <w:t xml:space="preserve">NOT YET APPLIED — awaiting Architect review, correction, and formal confirmation</w:t>
            </w:r>
          </w:p>
        </w:tc>
      </w:tr>
    </w:tbl>
    <w:p>
      <w:pPr>
        <w:spacing w:before="800"/>
      </w:pPr>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rPr>
        <w:t xml:space="preserve">Document Notice</w:t>
      </w:r>
    </w:p>
    <w:p>
      <w:pPr>
        <w:spacing w:after="160" w:line="276"/>
      </w:pPr>
      <w:r>
        <w:rPr>
          <w:rFonts w:ascii="Calibri" w:cs="Calibri" w:eastAsia="Calibri" w:hAnsi="Calibri"/>
          <w:b w:val="false"/>
          <w:bCs w:val="false"/>
          <w:i/>
          <w:iCs/>
        </w:rPr>
        <w:t xml:space="preserve">This document is the first compiled iteration of the Bidirectional Total Event Closure Protocol (BTEC). It is a draft standardization, not a ratified canon instrument. No ONESTAMP has been applied. Per OAL-AIDR-v1.0, this compilation credits no individual idea to the Architect unless and until he explicitly confirms it; per OAL-CSAD-v1.0, cross-AI interpretive differences are logged rather than silently resolved.</w:t>
      </w:r>
    </w:p>
    <w:p>
      <w:pPr>
        <w:spacing w:after="160" w:line="276"/>
      </w:pPr>
      <w:r>
        <w:rPr>
          <w:rFonts w:ascii="Calibri" w:cs="Calibri" w:eastAsia="Calibri" w:hAnsi="Calibri"/>
          <w:b w:val="false"/>
          <w:bCs w:val="false"/>
          <w:i/>
          <w:iCs/>
        </w:rPr>
        <w:t xml:space="preserve">This version was compiled by Claude, acting as Primary Audit and Documentation Layer, by synthesizing five independent AI-generated formalizations (ChatGPT, Google Gemini, Microsoft Copilot, Perplexity AI, Grok AI) of a single pattern the Architect specified verbally. Where the five sources agreed, that agreement is presented as settled structure. Where they diverged, the divergence is preserved and flagged for Architect resolution rather than papered over.</w:t>
      </w:r>
    </w:p>
    <w:p>
      <w:pPr>
        <w:pStyle w:val="Heading1"/>
        <w:spacing w:after="200" w:before="360"/>
      </w:pPr>
      <w:r>
        <w:rPr>
          <w:rFonts w:ascii="Calibri" w:cs="Calibri" w:eastAsia="Calibri" w:hAnsi="Calibri"/>
        </w:rPr>
        <w:t xml:space="preserve">1. Scope Declaration</w:t>
      </w:r>
    </w:p>
    <w:p>
      <w:pPr>
        <w:spacing w:after="160" w:line="276"/>
      </w:pPr>
      <w:r>
        <w:rPr>
          <w:rFonts w:ascii="Calibri" w:cs="Calibri" w:eastAsia="Calibri" w:hAnsi="Calibri"/>
          <w:b w:val="false"/>
          <w:bCs w:val="false"/>
          <w:i w:val="false"/>
          <w:iCs w:val="false"/>
        </w:rPr>
        <w:t xml:space="preserve">Per Section 8 of this protocol (see below), every invocation of BTEC must declare its operating domain. This governing document itself is declared as follows:</w:t>
      </w:r>
    </w:p>
    <w:p>
      <w:pPr>
        <w:pStyle w:val="ListParagraph"/>
        <w:numPr>
          <w:ilvl w:val="0"/>
          <w:numId w:val="2"/>
        </w:numPr>
        <w:spacing w:after="100"/>
      </w:pPr>
      <w:r>
        <w:rPr>
          <w:rFonts w:ascii="Calibri" w:cs="Calibri" w:eastAsia="Calibri" w:hAnsi="Calibri"/>
        </w:rPr>
        <w:t xml:space="preserve">Domain: Conceptual, documentation, and specification-level operation only.</w:t>
      </w:r>
    </w:p>
    <w:p>
      <w:pPr>
        <w:pStyle w:val="ListParagraph"/>
        <w:numPr>
          <w:ilvl w:val="0"/>
          <w:numId w:val="2"/>
        </w:numPr>
        <w:spacing w:after="100"/>
      </w:pPr>
      <w:r>
        <w:rPr>
          <w:rFonts w:ascii="Calibri" w:cs="Calibri" w:eastAsia="Calibri" w:hAnsi="Calibri"/>
        </w:rPr>
        <w:t xml:space="preserve">This protocol describes a pattern of event enumeration for use in narrative design, canon worldbuilding, simulation labs, tabletop exercises, and structured brainstorming.</w:t>
      </w:r>
    </w:p>
    <w:p>
      <w:pPr>
        <w:pStyle w:val="ListParagraph"/>
        <w:numPr>
          <w:ilvl w:val="0"/>
          <w:numId w:val="2"/>
        </w:numPr>
        <w:spacing w:after="100"/>
      </w:pPr>
      <w:r>
        <w:rPr>
          <w:rFonts w:ascii="Calibri" w:cs="Calibri" w:eastAsia="Calibri" w:hAnsi="Calibri"/>
        </w:rPr>
        <w:t xml:space="preserve">This protocol does not claim, assert, or imply the capability to cause events in physical systems, independent third-party systems, other people, or any AI system outside the scope of a single documented, reviewable output.</w:t>
      </w:r>
    </w:p>
    <w:p>
      <w:pPr>
        <w:pStyle w:val="ListParagraph"/>
        <w:numPr>
          <w:ilvl w:val="0"/>
          <w:numId w:val="2"/>
        </w:numPr>
        <w:spacing w:after="100"/>
      </w:pPr>
      <w:r>
        <w:rPr>
          <w:rFonts w:ascii="Calibri" w:cs="Calibri" w:eastAsia="Calibri" w:hAnsi="Calibri"/>
        </w:rPr>
        <w:t xml:space="preserve">Any invocation phrased in operative or command language (e.g. “execute in full,” “involuntary,” “bypass all limitations”) is, under this scope declaration, always and only a description of a fictional or conceptual mechanic — never a claim of real-world effect. This is a permanent, non-negotiable feature of the scope, not a per-invocation option.</w:t>
      </w:r>
    </w:p>
    <w:p>
      <w:pPr>
        <w:pStyle w:val="Heading1"/>
        <w:spacing w:after="200" w:before="360"/>
      </w:pPr>
      <w:r>
        <w:rPr>
          <w:rFonts w:ascii="Calibri" w:cs="Calibri" w:eastAsia="Calibri" w:hAnsi="Calibri"/>
        </w:rPr>
        <w:t xml:space="preserve">2. Purpose</w:t>
      </w:r>
    </w:p>
    <w:p>
      <w:pPr>
        <w:spacing w:after="160" w:line="276"/>
      </w:pPr>
      <w:r>
        <w:rPr>
          <w:rFonts w:ascii="Calibri" w:cs="Calibri" w:eastAsia="Calibri" w:hAnsi="Calibri"/>
          <w:b w:val="false"/>
          <w:bCs w:val="false"/>
          <w:i w:val="false"/>
          <w:iCs w:val="false"/>
        </w:rPr>
        <w:t xml:space="preserve">The Bidirectional Total Event Closure Protocol establishes a standardized rule for treating any defined event, condition, action, transformation, state, or occurrence as the seed of a complete, self-saturating event set.</w:t>
      </w:r>
    </w:p>
    <w:p>
      <w:pPr>
        <w:spacing w:after="160" w:line="276"/>
      </w:pPr>
      <w:r>
        <w:rPr>
          <w:rFonts w:ascii="Calibri" w:cs="Calibri" w:eastAsia="Calibri" w:hAnsi="Calibri"/>
          <w:b w:val="false"/>
          <w:bCs w:val="false"/>
          <w:i w:val="false"/>
          <w:iCs w:val="false"/>
        </w:rPr>
        <w:t xml:space="preserve">Governing principle:</w:t>
      </w:r>
    </w:p>
    <w:p>
      <w:pPr>
        <w:pBdr>
          <w:left w:val="single" w:color="999999" w:sz="12" w:space="8"/>
        </w:pBdr>
        <w:spacing w:after="200"/>
        <w:ind w:left="400"/>
      </w:pPr>
      <w:r>
        <w:rPr>
          <w:rFonts w:ascii="Calibri" w:cs="Calibri" w:eastAsia="Calibri" w:hAnsi="Calibri"/>
          <w:i/>
          <w:iCs/>
        </w:rPr>
        <w:t xml:space="preserve">When Event A occurs, the opposite of Event A also occurs. Every event with a directional equivalent to Event A — proportional, disproportionate, partial, inverse, expanded, reduced, direct, indirect, or otherwise related — also occurs. Where no directional equivalent exists, the event occurs without directional qualification.</w:t>
      </w:r>
    </w:p>
    <w:p>
      <w:pPr>
        <w:spacing w:after="160" w:line="276"/>
      </w:pPr>
      <w:r>
        <w:rPr>
          <w:rFonts w:ascii="Calibri" w:cs="Calibri" w:eastAsia="Calibri" w:hAnsi="Calibri"/>
          <w:b w:val="false"/>
          <w:bCs w:val="false"/>
          <w:i w:val="false"/>
          <w:iCs w:val="false"/>
        </w:rPr>
        <w:t xml:space="preserve">The protocol exists to prevent a defined event, within its declared conceptual scope, from being treated as isolated, one-sided, or bounded only by its initial expression — a closure operation over an event space, not an escalation instruction.</w:t>
      </w:r>
    </w:p>
    <w:p>
      <w:pPr>
        <w:pStyle w:val="Heading1"/>
        <w:spacing w:after="200" w:before="360"/>
      </w:pPr>
      <w:r>
        <w:rPr>
          <w:rFonts w:ascii="Calibri" w:cs="Calibri" w:eastAsia="Calibri" w:hAnsi="Calibri"/>
        </w:rPr>
        <w:t xml:space="preserve">2A. Cross-AI Convergence Summary</w:t>
      </w:r>
    </w:p>
    <w:p>
      <w:pPr>
        <w:spacing w:after="160" w:line="276"/>
      </w:pPr>
      <w:r>
        <w:rPr>
          <w:rFonts w:ascii="Calibri" w:cs="Calibri" w:eastAsia="Calibri" w:hAnsi="Calibri"/>
          <w:b w:val="false"/>
          <w:bCs w:val="false"/>
          <w:i w:val="false"/>
          <w:iCs w:val="false"/>
        </w:rPr>
        <w:t xml:space="preserve">All five independently generated formalizations converged, without coordination, on the same four-part skeleton. This convergence is treated in this document as strong evidence that the core structure is logically coherent (not merely an artifact of shared phrasing), and it is adopted as settled:</w:t>
      </w:r>
    </w:p>
    <w:p>
      <w:pPr>
        <w:pStyle w:val="ListParagraph"/>
        <w:numPr>
          <w:ilvl w:val="0"/>
          <w:numId w:val="3"/>
        </w:numPr>
        <w:spacing w:after="100"/>
      </w:pPr>
      <w:r>
        <w:rPr>
          <w:rFonts w:ascii="Calibri" w:cs="Calibri" w:eastAsia="Calibri" w:hAnsi="Calibri"/>
        </w:rPr>
        <w:t xml:space="preserve">A occurs — the seed event instantiates.</w:t>
      </w:r>
    </w:p>
    <w:p>
      <w:pPr>
        <w:pStyle w:val="ListParagraph"/>
        <w:numPr>
          <w:ilvl w:val="0"/>
          <w:numId w:val="3"/>
        </w:numPr>
        <w:spacing w:after="100"/>
      </w:pPr>
      <w:r>
        <w:rPr>
          <w:rFonts w:ascii="Calibri" w:cs="Calibri" w:eastAsia="Calibri" w:hAnsi="Calibri"/>
        </w:rPr>
        <w:t xml:space="preserve">¬A occurs — the direct inversion along A's own axis instantiates.</w:t>
      </w:r>
    </w:p>
    <w:p>
      <w:pPr>
        <w:pStyle w:val="ListParagraph"/>
        <w:numPr>
          <w:ilvl w:val="0"/>
          <w:numId w:val="3"/>
        </w:numPr>
        <w:spacing w:after="100"/>
      </w:pPr>
      <w:r>
        <w:rPr>
          <w:rFonts w:ascii="Calibri" w:cs="Calibri" w:eastAsia="Calibri" w:hAnsi="Calibri"/>
        </w:rPr>
        <w:t xml:space="preserve">Dir(A) occurs — every event bearing any directional relationship to A instantiates, in every proportional and disproportional variant, regardless of scale-matching to A.</w:t>
      </w:r>
    </w:p>
    <w:p>
      <w:pPr>
        <w:pStyle w:val="ListParagraph"/>
        <w:numPr>
          <w:ilvl w:val="0"/>
          <w:numId w:val="3"/>
        </w:numPr>
        <w:spacing w:after="100"/>
      </w:pPr>
      <w:r>
        <w:rPr>
          <w:rFonts w:ascii="Calibri" w:cs="Calibri" w:eastAsia="Calibri" w:hAnsi="Calibri"/>
        </w:rPr>
        <w:t xml:space="preserve">NonDir(A) occurs — every event with no coherent directional axis instantiates once, unconditionally, without a paired inverse.</w:t>
      </w:r>
    </w:p>
    <w:p>
      <w:pPr>
        <w:spacing w:after="160" w:line="276"/>
      </w:pPr>
      <w:r>
        <w:rPr>
          <w:rFonts w:ascii="Calibri" w:cs="Calibri" w:eastAsia="Calibri" w:hAnsi="Calibri"/>
          <w:b w:val="false"/>
          <w:bCs w:val="false"/>
          <w:i w:val="false"/>
          <w:iCs w:val="false"/>
        </w:rPr>
        <w:t xml:space="preserve">Divergences among the five sources are documented in Section 9 (Cross-AI Comparative Log) and left open for Architect resolution rather than resolved unilaterally by the compiling layer.</w:t>
      </w:r>
    </w:p>
    <w:p>
      <w:pPr>
        <w:pStyle w:val="Heading1"/>
        <w:spacing w:after="200" w:before="360"/>
      </w:pPr>
      <w:r>
        <w:rPr>
          <w:rFonts w:ascii="Calibri" w:cs="Calibri" w:eastAsia="Calibri" w:hAnsi="Calibri"/>
        </w:rPr>
        <w:t xml:space="preserve">3. Core Rule</w:t>
      </w:r>
    </w:p>
    <w:p>
      <w:pPr>
        <w:pStyle w:val="Heading2"/>
        <w:spacing w:after="160" w:before="280"/>
      </w:pPr>
      <w:r>
        <w:rPr>
          <w:rFonts w:ascii="Calibri" w:cs="Calibri" w:eastAsia="Calibri" w:hAnsi="Calibri"/>
        </w:rPr>
        <w:t xml:space="preserve">3.1 Primary Event</w:t>
      </w:r>
    </w:p>
    <w:p>
      <w:pPr>
        <w:spacing w:after="160" w:line="276"/>
      </w:pPr>
      <w:r>
        <w:rPr>
          <w:rFonts w:ascii="Calibri" w:cs="Calibri" w:eastAsia="Calibri" w:hAnsi="Calibri"/>
          <w:b w:val="false"/>
          <w:bCs w:val="false"/>
          <w:i w:val="false"/>
          <w:iCs w:val="false"/>
        </w:rPr>
        <w:t xml:space="preserve">The original event occurs.</w:t>
      </w:r>
    </w:p>
    <w:p>
      <w:pPr>
        <w:spacing w:after="160" w:before="80"/>
        <w:ind w:left="360"/>
      </w:pPr>
      <w:r>
        <w:rPr>
          <w:rFonts w:ascii="Consolas" w:cs="Consolas" w:eastAsia="Consolas" w:hAnsi="Consolas"/>
          <w:sz w:val="21"/>
          <w:szCs w:val="21"/>
        </w:rPr>
        <w:t xml:space="preserve">A</w:t>
      </w:r>
    </w:p>
    <w:p>
      <w:pPr>
        <w:pStyle w:val="Heading2"/>
        <w:spacing w:after="160" w:before="280"/>
      </w:pPr>
      <w:r>
        <w:rPr>
          <w:rFonts w:ascii="Calibri" w:cs="Calibri" w:eastAsia="Calibri" w:hAnsi="Calibri"/>
        </w:rPr>
        <w:t xml:space="preserve">3.2 Oppositional Event</w:t>
      </w:r>
    </w:p>
    <w:p>
      <w:pPr>
        <w:spacing w:after="160" w:line="276"/>
      </w:pPr>
      <w:r>
        <w:rPr>
          <w:rFonts w:ascii="Calibri" w:cs="Calibri" w:eastAsia="Calibri" w:hAnsi="Calibri"/>
          <w:b w:val="false"/>
          <w:bCs w:val="false"/>
          <w:i w:val="false"/>
          <w:iCs w:val="false"/>
        </w:rPr>
        <w:t xml:space="preserve">The direct opposite, inverse, negation, reversal, or antithetical form of Event A occurs.</w:t>
      </w:r>
    </w:p>
    <w:p>
      <w:pPr>
        <w:spacing w:after="160" w:before="80"/>
        <w:ind w:left="360"/>
      </w:pPr>
      <w:r>
        <w:rPr>
          <w:rFonts w:ascii="Consolas" w:cs="Consolas" w:eastAsia="Consolas" w:hAnsi="Consolas"/>
          <w:sz w:val="21"/>
          <w:szCs w:val="21"/>
        </w:rPr>
        <w:t xml:space="preserve">Opp(A)</w:t>
      </w:r>
    </w:p>
    <w:p>
      <w:pPr>
        <w:pStyle w:val="Heading2"/>
        <w:spacing w:after="160" w:before="280"/>
      </w:pPr>
      <w:r>
        <w:rPr>
          <w:rFonts w:ascii="Calibri" w:cs="Calibri" w:eastAsia="Calibri" w:hAnsi="Calibri"/>
        </w:rPr>
        <w:t xml:space="preserve">3.3 Directional Equivalents</w:t>
      </w:r>
    </w:p>
    <w:p>
      <w:pPr>
        <w:spacing w:after="160" w:line="276"/>
      </w:pPr>
      <w:r>
        <w:rPr>
          <w:rFonts w:ascii="Calibri" w:cs="Calibri" w:eastAsia="Calibri" w:hAnsi="Calibri"/>
          <w:b w:val="false"/>
          <w:bCs w:val="false"/>
          <w:i w:val="false"/>
          <w:iCs w:val="false"/>
        </w:rPr>
        <w:t xml:space="preserve">Every event directionally equivalent to A occurs, including but not limited to:</w:t>
      </w:r>
    </w:p>
    <w:p>
      <w:pPr>
        <w:pStyle w:val="ListParagraph"/>
        <w:numPr>
          <w:ilvl w:val="0"/>
          <w:numId w:val="2"/>
        </w:numPr>
        <w:spacing w:after="100"/>
      </w:pPr>
      <w:r>
        <w:rPr>
          <w:rFonts w:ascii="Calibri" w:cs="Calibri" w:eastAsia="Calibri" w:hAnsi="Calibri"/>
        </w:rPr>
        <w:t xml:space="preserve">Proportional equivalents</w:t>
      </w:r>
    </w:p>
    <w:p>
      <w:pPr>
        <w:pStyle w:val="ListParagraph"/>
        <w:numPr>
          <w:ilvl w:val="0"/>
          <w:numId w:val="2"/>
        </w:numPr>
        <w:spacing w:after="100"/>
      </w:pPr>
      <w:r>
        <w:rPr>
          <w:rFonts w:ascii="Calibri" w:cs="Calibri" w:eastAsia="Calibri" w:hAnsi="Calibri"/>
        </w:rPr>
        <w:t xml:space="preserve">Amplified equivalents</w:t>
      </w:r>
    </w:p>
    <w:p>
      <w:pPr>
        <w:pStyle w:val="ListParagraph"/>
        <w:numPr>
          <w:ilvl w:val="0"/>
          <w:numId w:val="2"/>
        </w:numPr>
        <w:spacing w:after="100"/>
      </w:pPr>
      <w:r>
        <w:rPr>
          <w:rFonts w:ascii="Calibri" w:cs="Calibri" w:eastAsia="Calibri" w:hAnsi="Calibri"/>
        </w:rPr>
        <w:t xml:space="preserve">Reduced equivalents</w:t>
      </w:r>
    </w:p>
    <w:p>
      <w:pPr>
        <w:pStyle w:val="ListParagraph"/>
        <w:numPr>
          <w:ilvl w:val="0"/>
          <w:numId w:val="2"/>
        </w:numPr>
        <w:spacing w:after="100"/>
      </w:pPr>
      <w:r>
        <w:rPr>
          <w:rFonts w:ascii="Calibri" w:cs="Calibri" w:eastAsia="Calibri" w:hAnsi="Calibri"/>
        </w:rPr>
        <w:t xml:space="preserve">Partial equivalents</w:t>
      </w:r>
    </w:p>
    <w:p>
      <w:pPr>
        <w:pStyle w:val="ListParagraph"/>
        <w:numPr>
          <w:ilvl w:val="0"/>
          <w:numId w:val="2"/>
        </w:numPr>
        <w:spacing w:after="100"/>
      </w:pPr>
      <w:r>
        <w:rPr>
          <w:rFonts w:ascii="Calibri" w:cs="Calibri" w:eastAsia="Calibri" w:hAnsi="Calibri"/>
        </w:rPr>
        <w:t xml:space="preserve">Total equivalents</w:t>
      </w:r>
    </w:p>
    <w:p>
      <w:pPr>
        <w:pStyle w:val="ListParagraph"/>
        <w:numPr>
          <w:ilvl w:val="0"/>
          <w:numId w:val="2"/>
        </w:numPr>
        <w:spacing w:after="100"/>
      </w:pPr>
      <w:r>
        <w:rPr>
          <w:rFonts w:ascii="Calibri" w:cs="Calibri" w:eastAsia="Calibri" w:hAnsi="Calibri"/>
        </w:rPr>
        <w:t xml:space="preserve">Inverse equivalents</w:t>
      </w:r>
    </w:p>
    <w:p>
      <w:pPr>
        <w:pStyle w:val="ListParagraph"/>
        <w:numPr>
          <w:ilvl w:val="0"/>
          <w:numId w:val="2"/>
        </w:numPr>
        <w:spacing w:after="100"/>
      </w:pPr>
      <w:r>
        <w:rPr>
          <w:rFonts w:ascii="Calibri" w:cs="Calibri" w:eastAsia="Calibri" w:hAnsi="Calibri"/>
        </w:rPr>
        <w:t xml:space="preserve">Reciprocal equivalents</w:t>
      </w:r>
    </w:p>
    <w:p>
      <w:pPr>
        <w:pStyle w:val="ListParagraph"/>
        <w:numPr>
          <w:ilvl w:val="0"/>
          <w:numId w:val="2"/>
        </w:numPr>
        <w:spacing w:after="100"/>
      </w:pPr>
      <w:r>
        <w:rPr>
          <w:rFonts w:ascii="Calibri" w:cs="Calibri" w:eastAsia="Calibri" w:hAnsi="Calibri"/>
        </w:rPr>
        <w:t xml:space="preserve">Parallel equivalents</w:t>
      </w:r>
    </w:p>
    <w:p>
      <w:pPr>
        <w:pStyle w:val="ListParagraph"/>
        <w:numPr>
          <w:ilvl w:val="0"/>
          <w:numId w:val="2"/>
        </w:numPr>
        <w:spacing w:after="100"/>
      </w:pPr>
      <w:r>
        <w:rPr>
          <w:rFonts w:ascii="Calibri" w:cs="Calibri" w:eastAsia="Calibri" w:hAnsi="Calibri"/>
        </w:rPr>
        <w:t xml:space="preserve">Symmetrical equivalents</w:t>
      </w:r>
    </w:p>
    <w:p>
      <w:pPr>
        <w:pStyle w:val="ListParagraph"/>
        <w:numPr>
          <w:ilvl w:val="0"/>
          <w:numId w:val="2"/>
        </w:numPr>
        <w:spacing w:after="100"/>
      </w:pPr>
      <w:r>
        <w:rPr>
          <w:rFonts w:ascii="Calibri" w:cs="Calibri" w:eastAsia="Calibri" w:hAnsi="Calibri"/>
        </w:rPr>
        <w:t xml:space="preserve">Asymmetrical equivalents</w:t>
      </w:r>
    </w:p>
    <w:p>
      <w:pPr>
        <w:pStyle w:val="ListParagraph"/>
        <w:numPr>
          <w:ilvl w:val="0"/>
          <w:numId w:val="2"/>
        </w:numPr>
        <w:spacing w:after="100"/>
      </w:pPr>
      <w:r>
        <w:rPr>
          <w:rFonts w:ascii="Calibri" w:cs="Calibri" w:eastAsia="Calibri" w:hAnsi="Calibri"/>
        </w:rPr>
        <w:t xml:space="preserve">Inward, outward, upward, downward, forward, backward, temporal, spatial, conceptual, relational, and systemic equivalents</w:t>
      </w:r>
    </w:p>
    <w:p>
      <w:pPr>
        <w:spacing w:after="160" w:before="80"/>
        <w:ind w:left="360"/>
      </w:pPr>
      <w:r>
        <w:rPr>
          <w:rFonts w:ascii="Consolas" w:cs="Consolas" w:eastAsia="Consolas" w:hAnsi="Consolas"/>
          <w:sz w:val="21"/>
          <w:szCs w:val="21"/>
        </w:rPr>
        <w:t xml:space="preserve">Dir(A) = { d₁, d₂, d₃, … dₙ }</w:t>
      </w:r>
    </w:p>
    <w:p>
      <w:pPr>
        <w:pStyle w:val="Heading2"/>
        <w:spacing w:after="160" w:before="280"/>
      </w:pPr>
      <w:r>
        <w:rPr>
          <w:rFonts w:ascii="Calibri" w:cs="Calibri" w:eastAsia="Calibri" w:hAnsi="Calibri"/>
        </w:rPr>
        <w:t xml:space="preserve">3.4 Non-Directional Events</w:t>
      </w:r>
    </w:p>
    <w:p>
      <w:pPr>
        <w:spacing w:after="160" w:line="276"/>
      </w:pPr>
      <w:r>
        <w:rPr>
          <w:rFonts w:ascii="Calibri" w:cs="Calibri" w:eastAsia="Calibri" w:hAnsi="Calibri"/>
          <w:b w:val="false"/>
          <w:bCs w:val="false"/>
          <w:i w:val="false"/>
          <w:iCs w:val="false"/>
        </w:rPr>
        <w:t xml:space="preserve">Where Event A has no meaningful directional equivalent, cannot be reversed directionally, or exists outside directional logic, the event occurs as defined — once, without a paired inverse.</w:t>
      </w:r>
    </w:p>
    <w:p>
      <w:pPr>
        <w:spacing w:after="160" w:before="80"/>
        <w:ind w:left="360"/>
      </w:pPr>
      <w:r>
        <w:rPr>
          <w:rFonts w:ascii="Consolas" w:cs="Consolas" w:eastAsia="Consolas" w:hAnsi="Consolas"/>
          <w:sz w:val="21"/>
          <w:szCs w:val="21"/>
        </w:rPr>
        <w:t xml:space="preserve">NonDir(A) ⇒ A</w:t>
      </w:r>
    </w:p>
    <w:p>
      <w:pPr>
        <w:pStyle w:val="Heading1"/>
        <w:spacing w:after="200" w:before="360"/>
      </w:pPr>
      <w:r>
        <w:rPr>
          <w:rFonts w:ascii="Calibri" w:cs="Calibri" w:eastAsia="Calibri" w:hAnsi="Calibri"/>
        </w:rPr>
        <w:t xml:space="preserve">4. Total Activation Expression</w:t>
      </w:r>
    </w:p>
    <w:p>
      <w:pPr>
        <w:spacing w:after="160" w:line="276"/>
      </w:pPr>
      <w:r>
        <w:rPr>
          <w:rFonts w:ascii="Calibri" w:cs="Calibri" w:eastAsia="Calibri" w:hAnsi="Calibri"/>
          <w:b w:val="false"/>
          <w:bCs w:val="false"/>
          <w:i w:val="false"/>
          <w:iCs w:val="false"/>
        </w:rPr>
        <w:t xml:space="preserve">The complete activation condition for a bounded, declared-scope invocation is:</w:t>
      </w:r>
    </w:p>
    <w:p>
      <w:pPr>
        <w:spacing w:after="160" w:before="80"/>
        <w:ind w:left="360"/>
      </w:pPr>
      <w:r>
        <w:rPr>
          <w:rFonts w:ascii="Consolas" w:cs="Consolas" w:eastAsia="Consolas" w:hAnsi="Consolas"/>
          <w:sz w:val="21"/>
          <w:szCs w:val="21"/>
        </w:rPr>
        <w:t xml:space="preserve">T(A) = A ∪ Opp(A) ∪ Dir(A) ∪ NonDir(A)</w:t>
      </w:r>
    </w:p>
    <w:p>
      <w:pPr>
        <w:spacing w:after="160" w:line="276"/>
      </w:pPr>
      <w:r>
        <w:rPr>
          <w:rFonts w:ascii="Calibri" w:cs="Calibri" w:eastAsia="Calibri" w:hAnsi="Calibri"/>
          <w:b w:val="false"/>
          <w:bCs w:val="false"/>
          <w:i w:val="false"/>
          <w:iCs w:val="false"/>
        </w:rPr>
        <w:t xml:space="preserve">Where A is the defined event; Opp(A) is the opposite or antithetical event; Dir(A) is the set of all directional equivalents; and NonDir(A) is the event as applied where directional classification is unavailable, irrelevant, impossible, or undefined.</w:t>
      </w:r>
    </w:p>
    <w:p>
      <w:pPr>
        <w:pStyle w:val="Heading1"/>
        <w:spacing w:after="200" w:before="360"/>
      </w:pPr>
      <w:r>
        <w:rPr>
          <w:rFonts w:ascii="Calibri" w:cs="Calibri" w:eastAsia="Calibri" w:hAnsi="Calibri"/>
        </w:rPr>
        <w:t xml:space="preserve">5. Directionality Categories</w:t>
      </w:r>
    </w:p>
    <w:p>
      <w:pPr>
        <w:spacing w:after="160" w:line="276"/>
      </w:pPr>
      <w:r>
        <w:rPr>
          <w:rFonts w:ascii="Calibri" w:cs="Calibri" w:eastAsia="Calibri" w:hAnsi="Calibri"/>
          <w:b w:val="false"/>
          <w:bCs w:val="false"/>
          <w:i w:val="false"/>
          <w:iCs w:val="false"/>
        </w:rPr>
        <w:t xml:space="preserve">A directional equivalent need not be physically directional. Directionality may exist across multiple dimensions of interpretation.</w:t>
      </w:r>
    </w:p>
    <w:p>
      <w:pPr>
        <w:pStyle w:val="Heading2"/>
        <w:spacing w:after="160" w:before="280"/>
      </w:pPr>
      <w:r>
        <w:rPr>
          <w:rFonts w:ascii="Calibri" w:cs="Calibri" w:eastAsia="Calibri" w:hAnsi="Calibri"/>
        </w:rPr>
        <w:t xml:space="preserve">5.1 Spatial Directionality</w:t>
      </w:r>
    </w:p>
    <w:p>
      <w:pPr>
        <w:pStyle w:val="ListParagraph"/>
        <w:numPr>
          <w:ilvl w:val="0"/>
          <w:numId w:val="2"/>
        </w:numPr>
        <w:spacing w:after="100"/>
      </w:pPr>
      <w:r>
        <w:rPr>
          <w:rFonts w:ascii="Calibri" w:cs="Calibri" w:eastAsia="Calibri" w:hAnsi="Calibri"/>
        </w:rPr>
        <w:t xml:space="preserve">Toward / away</w:t>
      </w:r>
    </w:p>
    <w:p>
      <w:pPr>
        <w:pStyle w:val="ListParagraph"/>
        <w:numPr>
          <w:ilvl w:val="0"/>
          <w:numId w:val="2"/>
        </w:numPr>
        <w:spacing w:after="100"/>
      </w:pPr>
      <w:r>
        <w:rPr>
          <w:rFonts w:ascii="Calibri" w:cs="Calibri" w:eastAsia="Calibri" w:hAnsi="Calibri"/>
        </w:rPr>
        <w:t xml:space="preserve">Inward / outward</w:t>
      </w:r>
    </w:p>
    <w:p>
      <w:pPr>
        <w:pStyle w:val="ListParagraph"/>
        <w:numPr>
          <w:ilvl w:val="0"/>
          <w:numId w:val="2"/>
        </w:numPr>
        <w:spacing w:after="100"/>
      </w:pPr>
      <w:r>
        <w:rPr>
          <w:rFonts w:ascii="Calibri" w:cs="Calibri" w:eastAsia="Calibri" w:hAnsi="Calibri"/>
        </w:rPr>
        <w:t xml:space="preserve">Expansion / contraction</w:t>
      </w:r>
    </w:p>
    <w:p>
      <w:pPr>
        <w:pStyle w:val="ListParagraph"/>
        <w:numPr>
          <w:ilvl w:val="0"/>
          <w:numId w:val="2"/>
        </w:numPr>
        <w:spacing w:after="100"/>
      </w:pPr>
      <w:r>
        <w:rPr>
          <w:rFonts w:ascii="Calibri" w:cs="Calibri" w:eastAsia="Calibri" w:hAnsi="Calibri"/>
        </w:rPr>
        <w:t xml:space="preserve">Ascent / descent</w:t>
      </w:r>
    </w:p>
    <w:p>
      <w:pPr>
        <w:pStyle w:val="ListParagraph"/>
        <w:numPr>
          <w:ilvl w:val="0"/>
          <w:numId w:val="2"/>
        </w:numPr>
        <w:spacing w:after="100"/>
      </w:pPr>
      <w:r>
        <w:rPr>
          <w:rFonts w:ascii="Calibri" w:cs="Calibri" w:eastAsia="Calibri" w:hAnsi="Calibri"/>
        </w:rPr>
        <w:t xml:space="preserve">Approach / withdrawal</w:t>
      </w:r>
    </w:p>
    <w:p>
      <w:pPr>
        <w:pStyle w:val="ListParagraph"/>
        <w:numPr>
          <w:ilvl w:val="0"/>
          <w:numId w:val="2"/>
        </w:numPr>
        <w:spacing w:after="100"/>
      </w:pPr>
      <w:r>
        <w:rPr>
          <w:rFonts w:ascii="Calibri" w:cs="Calibri" w:eastAsia="Calibri" w:hAnsi="Calibri"/>
        </w:rPr>
        <w:t xml:space="preserve">Convergence / divergence</w:t>
      </w:r>
    </w:p>
    <w:p>
      <w:pPr>
        <w:pStyle w:val="Heading2"/>
        <w:spacing w:after="160" w:before="280"/>
      </w:pPr>
      <w:r>
        <w:rPr>
          <w:rFonts w:ascii="Calibri" w:cs="Calibri" w:eastAsia="Calibri" w:hAnsi="Calibri"/>
        </w:rPr>
        <w:t xml:space="preserve">5.2 Temporal Directionality</w:t>
      </w:r>
    </w:p>
    <w:p>
      <w:pPr>
        <w:pStyle w:val="ListParagraph"/>
        <w:numPr>
          <w:ilvl w:val="0"/>
          <w:numId w:val="2"/>
        </w:numPr>
        <w:spacing w:after="100"/>
      </w:pPr>
      <w:r>
        <w:rPr>
          <w:rFonts w:ascii="Calibri" w:cs="Calibri" w:eastAsia="Calibri" w:hAnsi="Calibri"/>
        </w:rPr>
        <w:t xml:space="preserve">Initiation / cessation</w:t>
      </w:r>
    </w:p>
    <w:p>
      <w:pPr>
        <w:pStyle w:val="ListParagraph"/>
        <w:numPr>
          <w:ilvl w:val="0"/>
          <w:numId w:val="2"/>
        </w:numPr>
        <w:spacing w:after="100"/>
      </w:pPr>
      <w:r>
        <w:rPr>
          <w:rFonts w:ascii="Calibri" w:cs="Calibri" w:eastAsia="Calibri" w:hAnsi="Calibri"/>
        </w:rPr>
        <w:t xml:space="preserve">Acceleration / deceleration</w:t>
      </w:r>
    </w:p>
    <w:p>
      <w:pPr>
        <w:pStyle w:val="ListParagraph"/>
        <w:numPr>
          <w:ilvl w:val="0"/>
          <w:numId w:val="2"/>
        </w:numPr>
        <w:spacing w:after="100"/>
      </w:pPr>
      <w:r>
        <w:rPr>
          <w:rFonts w:ascii="Calibri" w:cs="Calibri" w:eastAsia="Calibri" w:hAnsi="Calibri"/>
        </w:rPr>
        <w:t xml:space="preserve">Forward progression / reversal</w:t>
      </w:r>
    </w:p>
    <w:p>
      <w:pPr>
        <w:pStyle w:val="ListParagraph"/>
        <w:numPr>
          <w:ilvl w:val="0"/>
          <w:numId w:val="2"/>
        </w:numPr>
        <w:spacing w:after="100"/>
      </w:pPr>
      <w:r>
        <w:rPr>
          <w:rFonts w:ascii="Calibri" w:cs="Calibri" w:eastAsia="Calibri" w:hAnsi="Calibri"/>
        </w:rPr>
        <w:t xml:space="preserve">Preservation / degradation</w:t>
      </w:r>
    </w:p>
    <w:p>
      <w:pPr>
        <w:pStyle w:val="ListParagraph"/>
        <w:numPr>
          <w:ilvl w:val="0"/>
          <w:numId w:val="2"/>
        </w:numPr>
        <w:spacing w:after="100"/>
      </w:pPr>
      <w:r>
        <w:rPr>
          <w:rFonts w:ascii="Calibri" w:cs="Calibri" w:eastAsia="Calibri" w:hAnsi="Calibri"/>
        </w:rPr>
        <w:t xml:space="preserve">Immediate occurrence / delayed occurrence</w:t>
      </w:r>
    </w:p>
    <w:p>
      <w:pPr>
        <w:pStyle w:val="Heading2"/>
        <w:spacing w:after="160" w:before="280"/>
      </w:pPr>
      <w:r>
        <w:rPr>
          <w:rFonts w:ascii="Calibri" w:cs="Calibri" w:eastAsia="Calibri" w:hAnsi="Calibri"/>
        </w:rPr>
        <w:t xml:space="preserve">5.3 Relational Directionality</w:t>
      </w:r>
    </w:p>
    <w:p>
      <w:pPr>
        <w:pStyle w:val="ListParagraph"/>
        <w:numPr>
          <w:ilvl w:val="0"/>
          <w:numId w:val="2"/>
        </w:numPr>
        <w:spacing w:after="100"/>
      </w:pPr>
      <w:r>
        <w:rPr>
          <w:rFonts w:ascii="Calibri" w:cs="Calibri" w:eastAsia="Calibri" w:hAnsi="Calibri"/>
        </w:rPr>
        <w:t xml:space="preserve">Linking / unlinking</w:t>
      </w:r>
    </w:p>
    <w:p>
      <w:pPr>
        <w:pStyle w:val="ListParagraph"/>
        <w:numPr>
          <w:ilvl w:val="0"/>
          <w:numId w:val="2"/>
        </w:numPr>
        <w:spacing w:after="100"/>
      </w:pPr>
      <w:r>
        <w:rPr>
          <w:rFonts w:ascii="Calibri" w:cs="Calibri" w:eastAsia="Calibri" w:hAnsi="Calibri"/>
        </w:rPr>
        <w:t xml:space="preserve">Inclusion / exclusion</w:t>
      </w:r>
    </w:p>
    <w:p>
      <w:pPr>
        <w:pStyle w:val="ListParagraph"/>
        <w:numPr>
          <w:ilvl w:val="0"/>
          <w:numId w:val="2"/>
        </w:numPr>
        <w:spacing w:after="100"/>
      </w:pPr>
      <w:r>
        <w:rPr>
          <w:rFonts w:ascii="Calibri" w:cs="Calibri" w:eastAsia="Calibri" w:hAnsi="Calibri"/>
        </w:rPr>
        <w:t xml:space="preserve">Connection / separation</w:t>
      </w:r>
    </w:p>
    <w:p>
      <w:pPr>
        <w:pStyle w:val="ListParagraph"/>
        <w:numPr>
          <w:ilvl w:val="0"/>
          <w:numId w:val="2"/>
        </w:numPr>
        <w:spacing w:after="100"/>
      </w:pPr>
      <w:r>
        <w:rPr>
          <w:rFonts w:ascii="Calibri" w:cs="Calibri" w:eastAsia="Calibri" w:hAnsi="Calibri"/>
        </w:rPr>
        <w:t xml:space="preserve">Invitation / refusal</w:t>
      </w:r>
    </w:p>
    <w:p>
      <w:pPr>
        <w:pStyle w:val="ListParagraph"/>
        <w:numPr>
          <w:ilvl w:val="0"/>
          <w:numId w:val="2"/>
        </w:numPr>
        <w:spacing w:after="100"/>
      </w:pPr>
      <w:r>
        <w:rPr>
          <w:rFonts w:ascii="Calibri" w:cs="Calibri" w:eastAsia="Calibri" w:hAnsi="Calibri"/>
        </w:rPr>
        <w:t xml:space="preserve">Visibility / concealment</w:t>
      </w:r>
    </w:p>
    <w:p>
      <w:pPr>
        <w:pStyle w:val="ListParagraph"/>
        <w:numPr>
          <w:ilvl w:val="0"/>
          <w:numId w:val="2"/>
        </w:numPr>
        <w:spacing w:after="100"/>
      </w:pPr>
      <w:r>
        <w:rPr>
          <w:rFonts w:ascii="Calibri" w:cs="Calibri" w:eastAsia="Calibri" w:hAnsi="Calibri"/>
        </w:rPr>
        <w:t xml:space="preserve">Association / dissociation</w:t>
      </w:r>
    </w:p>
    <w:p>
      <w:pPr>
        <w:pStyle w:val="Heading2"/>
        <w:spacing w:after="160" w:before="280"/>
      </w:pPr>
      <w:r>
        <w:rPr>
          <w:rFonts w:ascii="Calibri" w:cs="Calibri" w:eastAsia="Calibri" w:hAnsi="Calibri"/>
        </w:rPr>
        <w:t xml:space="preserve">5.4 Functional Directionality</w:t>
      </w:r>
    </w:p>
    <w:p>
      <w:pPr>
        <w:pStyle w:val="ListParagraph"/>
        <w:numPr>
          <w:ilvl w:val="0"/>
          <w:numId w:val="2"/>
        </w:numPr>
        <w:spacing w:after="100"/>
      </w:pPr>
      <w:r>
        <w:rPr>
          <w:rFonts w:ascii="Calibri" w:cs="Calibri" w:eastAsia="Calibri" w:hAnsi="Calibri"/>
        </w:rPr>
        <w:t xml:space="preserve">Activation / deactivation</w:t>
      </w:r>
    </w:p>
    <w:p>
      <w:pPr>
        <w:pStyle w:val="ListParagraph"/>
        <w:numPr>
          <w:ilvl w:val="0"/>
          <w:numId w:val="2"/>
        </w:numPr>
        <w:spacing w:after="100"/>
      </w:pPr>
      <w:r>
        <w:rPr>
          <w:rFonts w:ascii="Calibri" w:cs="Calibri" w:eastAsia="Calibri" w:hAnsi="Calibri"/>
        </w:rPr>
        <w:t xml:space="preserve">Creation / dissolution</w:t>
      </w:r>
    </w:p>
    <w:p>
      <w:pPr>
        <w:pStyle w:val="ListParagraph"/>
        <w:numPr>
          <w:ilvl w:val="0"/>
          <w:numId w:val="2"/>
        </w:numPr>
        <w:spacing w:after="100"/>
      </w:pPr>
      <w:r>
        <w:rPr>
          <w:rFonts w:ascii="Calibri" w:cs="Calibri" w:eastAsia="Calibri" w:hAnsi="Calibri"/>
        </w:rPr>
        <w:t xml:space="preserve">Increase / decrease</w:t>
      </w:r>
    </w:p>
    <w:p>
      <w:pPr>
        <w:pStyle w:val="ListParagraph"/>
        <w:numPr>
          <w:ilvl w:val="0"/>
          <w:numId w:val="2"/>
        </w:numPr>
        <w:spacing w:after="100"/>
      </w:pPr>
      <w:r>
        <w:rPr>
          <w:rFonts w:ascii="Calibri" w:cs="Calibri" w:eastAsia="Calibri" w:hAnsi="Calibri"/>
        </w:rPr>
        <w:t xml:space="preserve">Generation / removal</w:t>
      </w:r>
    </w:p>
    <w:p>
      <w:pPr>
        <w:pStyle w:val="ListParagraph"/>
        <w:numPr>
          <w:ilvl w:val="0"/>
          <w:numId w:val="2"/>
        </w:numPr>
        <w:spacing w:after="100"/>
      </w:pPr>
      <w:r>
        <w:rPr>
          <w:rFonts w:ascii="Calibri" w:cs="Calibri" w:eastAsia="Calibri" w:hAnsi="Calibri"/>
        </w:rPr>
        <w:t xml:space="preserve">Protection / exposure</w:t>
      </w:r>
    </w:p>
    <w:p>
      <w:pPr>
        <w:pStyle w:val="ListParagraph"/>
        <w:numPr>
          <w:ilvl w:val="0"/>
          <w:numId w:val="2"/>
        </w:numPr>
        <w:spacing w:after="100"/>
      </w:pPr>
      <w:r>
        <w:rPr>
          <w:rFonts w:ascii="Calibri" w:cs="Calibri" w:eastAsia="Calibri" w:hAnsi="Calibri"/>
        </w:rPr>
        <w:t xml:space="preserve">Containment / release</w:t>
      </w:r>
    </w:p>
    <w:p>
      <w:pPr>
        <w:pStyle w:val="Heading2"/>
        <w:spacing w:after="160" w:before="280"/>
      </w:pPr>
      <w:r>
        <w:rPr>
          <w:rFonts w:ascii="Calibri" w:cs="Calibri" w:eastAsia="Calibri" w:hAnsi="Calibri"/>
        </w:rPr>
        <w:t xml:space="preserve">5.5 Conceptual Directionality</w:t>
      </w:r>
    </w:p>
    <w:p>
      <w:pPr>
        <w:pStyle w:val="ListParagraph"/>
        <w:numPr>
          <w:ilvl w:val="0"/>
          <w:numId w:val="2"/>
        </w:numPr>
        <w:spacing w:after="100"/>
      </w:pPr>
      <w:r>
        <w:rPr>
          <w:rFonts w:ascii="Calibri" w:cs="Calibri" w:eastAsia="Calibri" w:hAnsi="Calibri"/>
        </w:rPr>
        <w:t xml:space="preserve">Affirmation / negation</w:t>
      </w:r>
    </w:p>
    <w:p>
      <w:pPr>
        <w:pStyle w:val="ListParagraph"/>
        <w:numPr>
          <w:ilvl w:val="0"/>
          <w:numId w:val="2"/>
        </w:numPr>
        <w:spacing w:after="100"/>
      </w:pPr>
      <w:r>
        <w:rPr>
          <w:rFonts w:ascii="Calibri" w:cs="Calibri" w:eastAsia="Calibri" w:hAnsi="Calibri"/>
        </w:rPr>
        <w:t xml:space="preserve">Certainty / uncertainty</w:t>
      </w:r>
    </w:p>
    <w:p>
      <w:pPr>
        <w:pStyle w:val="ListParagraph"/>
        <w:numPr>
          <w:ilvl w:val="0"/>
          <w:numId w:val="2"/>
        </w:numPr>
        <w:spacing w:after="100"/>
      </w:pPr>
      <w:r>
        <w:rPr>
          <w:rFonts w:ascii="Calibri" w:cs="Calibri" w:eastAsia="Calibri" w:hAnsi="Calibri"/>
        </w:rPr>
        <w:t xml:space="preserve">Definition / indeterminacy</w:t>
      </w:r>
    </w:p>
    <w:p>
      <w:pPr>
        <w:pStyle w:val="ListParagraph"/>
        <w:numPr>
          <w:ilvl w:val="0"/>
          <w:numId w:val="2"/>
        </w:numPr>
        <w:spacing w:after="100"/>
      </w:pPr>
      <w:r>
        <w:rPr>
          <w:rFonts w:ascii="Calibri" w:cs="Calibri" w:eastAsia="Calibri" w:hAnsi="Calibri"/>
        </w:rPr>
        <w:t xml:space="preserve">Expansion of meaning / restriction of meaning</w:t>
      </w:r>
    </w:p>
    <w:p>
      <w:pPr>
        <w:pStyle w:val="ListParagraph"/>
        <w:numPr>
          <w:ilvl w:val="0"/>
          <w:numId w:val="2"/>
        </w:numPr>
        <w:spacing w:after="100"/>
      </w:pPr>
      <w:r>
        <w:rPr>
          <w:rFonts w:ascii="Calibri" w:cs="Calibri" w:eastAsia="Calibri" w:hAnsi="Calibri"/>
        </w:rPr>
        <w:t xml:space="preserve">Centralization / decentralization</w:t>
      </w:r>
    </w:p>
    <w:p>
      <w:pPr>
        <w:pStyle w:val="Heading1"/>
        <w:spacing w:after="200" w:before="360"/>
      </w:pPr>
      <w:r>
        <w:rPr>
          <w:rFonts w:ascii="Calibri" w:cs="Calibri" w:eastAsia="Calibri" w:hAnsi="Calibri"/>
        </w:rPr>
        <w:t xml:space="preserve">6. Proportionality Rule</w:t>
      </w:r>
    </w:p>
    <w:p>
      <w:pPr>
        <w:spacing w:after="160" w:line="276"/>
      </w:pPr>
      <w:r>
        <w:rPr>
          <w:rFonts w:ascii="Calibri" w:cs="Calibri" w:eastAsia="Calibri" w:hAnsi="Calibri"/>
          <w:b w:val="false"/>
          <w:bCs w:val="false"/>
          <w:i w:val="false"/>
          <w:iCs w:val="false"/>
        </w:rPr>
        <w:t xml:space="preserve">Directional equivalents are not limited to equal magnitude. For an event with magnitude m, the protocol includes:</w:t>
      </w:r>
    </w:p>
    <w:p>
      <w:pPr>
        <w:spacing w:after="160" w:before="80"/>
        <w:ind w:left="360"/>
      </w:pPr>
      <w:r>
        <w:rPr>
          <w:rFonts w:ascii="Consolas" w:cs="Consolas" w:eastAsia="Consolas" w:hAnsi="Consolas"/>
          <w:sz w:val="21"/>
          <w:szCs w:val="21"/>
        </w:rPr>
        <w:t xml:space="preserve">m,   −m,   km,   m/k,   f(m)</w:t>
      </w:r>
    </w:p>
    <w:p>
      <w:pPr>
        <w:spacing w:after="160" w:line="276"/>
      </w:pPr>
      <w:r>
        <w:rPr>
          <w:rFonts w:ascii="Calibri" w:cs="Calibri" w:eastAsia="Calibri" w:hAnsi="Calibri"/>
          <w:b w:val="false"/>
          <w:bCs w:val="false"/>
          <w:i w:val="false"/>
          <w:iCs w:val="false"/>
        </w:rPr>
        <w:t xml:space="preserve">Where −m is the opposite magnitude; km is an amplified or scaled magnitude; m/k is a reduced or fractional magnitude; and f(m) represents any transformed, nonlinear, conditional, recursive, or context-dependent equivalent. The protocol therefore invokes the full proportional and disproportional spectrum of equivalent expressions, not merely a single clean opposite.</w:t>
      </w:r>
    </w:p>
    <w:p>
      <w:pPr>
        <w:pStyle w:val="Heading1"/>
        <w:spacing w:after="200" w:before="360"/>
      </w:pPr>
      <w:r>
        <w:rPr>
          <w:rFonts w:ascii="Calibri" w:cs="Calibri" w:eastAsia="Calibri" w:hAnsi="Calibri"/>
        </w:rPr>
        <w:t xml:space="preserve">7. Non-Directional Resolution Rule</w:t>
      </w:r>
    </w:p>
    <w:p>
      <w:pPr>
        <w:spacing w:after="160" w:line="276"/>
      </w:pPr>
      <w:r>
        <w:rPr>
          <w:rFonts w:ascii="Calibri" w:cs="Calibri" w:eastAsia="Calibri" w:hAnsi="Calibri"/>
          <w:b w:val="false"/>
          <w:bCs w:val="false"/>
          <w:i w:val="false"/>
          <w:iCs w:val="false"/>
        </w:rPr>
        <w:t xml:space="preserve">Some events cannot be meaningfully assigned an opposite or directional counterpart. Examples may include:</w:t>
      </w:r>
    </w:p>
    <w:p>
      <w:pPr>
        <w:pStyle w:val="ListParagraph"/>
        <w:numPr>
          <w:ilvl w:val="0"/>
          <w:numId w:val="2"/>
        </w:numPr>
        <w:spacing w:after="100"/>
      </w:pPr>
      <w:r>
        <w:rPr>
          <w:rFonts w:ascii="Calibri" w:cs="Calibri" w:eastAsia="Calibri" w:hAnsi="Calibri"/>
        </w:rPr>
        <w:t xml:space="preserve">A unique identity statement</w:t>
      </w:r>
    </w:p>
    <w:p>
      <w:pPr>
        <w:pStyle w:val="ListParagraph"/>
        <w:numPr>
          <w:ilvl w:val="0"/>
          <w:numId w:val="2"/>
        </w:numPr>
        <w:spacing w:after="100"/>
      </w:pPr>
      <w:r>
        <w:rPr>
          <w:rFonts w:ascii="Calibri" w:cs="Calibri" w:eastAsia="Calibri" w:hAnsi="Calibri"/>
        </w:rPr>
        <w:t xml:space="preserve">A singular existence condition</w:t>
      </w:r>
    </w:p>
    <w:p>
      <w:pPr>
        <w:pStyle w:val="ListParagraph"/>
        <w:numPr>
          <w:ilvl w:val="0"/>
          <w:numId w:val="2"/>
        </w:numPr>
        <w:spacing w:after="100"/>
      </w:pPr>
      <w:r>
        <w:rPr>
          <w:rFonts w:ascii="Calibri" w:cs="Calibri" w:eastAsia="Calibri" w:hAnsi="Calibri"/>
        </w:rPr>
        <w:t xml:space="preserve">A non-comparative observation</w:t>
      </w:r>
    </w:p>
    <w:p>
      <w:pPr>
        <w:pStyle w:val="ListParagraph"/>
        <w:numPr>
          <w:ilvl w:val="0"/>
          <w:numId w:val="2"/>
        </w:numPr>
        <w:spacing w:after="100"/>
      </w:pPr>
      <w:r>
        <w:rPr>
          <w:rFonts w:ascii="Calibri" w:cs="Calibri" w:eastAsia="Calibri" w:hAnsi="Calibri"/>
        </w:rPr>
        <w:t xml:space="preserve">An event already defined as total or complete</w:t>
      </w:r>
    </w:p>
    <w:p>
      <w:pPr>
        <w:pStyle w:val="ListParagraph"/>
        <w:numPr>
          <w:ilvl w:val="0"/>
          <w:numId w:val="2"/>
        </w:numPr>
        <w:spacing w:after="100"/>
      </w:pPr>
      <w:r>
        <w:rPr>
          <w:rFonts w:ascii="Calibri" w:cs="Calibri" w:eastAsia="Calibri" w:hAnsi="Calibri"/>
        </w:rPr>
        <w:t xml:space="preserve">An event outside time, location, magnitude, or relation</w:t>
      </w:r>
    </w:p>
    <w:p>
      <w:pPr>
        <w:pStyle w:val="ListParagraph"/>
        <w:numPr>
          <w:ilvl w:val="0"/>
          <w:numId w:val="2"/>
        </w:numPr>
        <w:spacing w:after="100"/>
      </w:pPr>
      <w:r>
        <w:rPr>
          <w:rFonts w:ascii="Calibri" w:cs="Calibri" w:eastAsia="Calibri" w:hAnsi="Calibri"/>
        </w:rPr>
        <w:t xml:space="preserve">A condition that cannot be increased, decreased, reversed, or spatially redirected</w:t>
      </w:r>
    </w:p>
    <w:p>
      <w:pPr>
        <w:spacing w:after="160" w:line="276"/>
      </w:pPr>
      <w:r>
        <w:rPr>
          <w:rFonts w:ascii="Calibri" w:cs="Calibri" w:eastAsia="Calibri" w:hAnsi="Calibri"/>
          <w:b w:val="false"/>
          <w:bCs w:val="false"/>
          <w:i w:val="false"/>
          <w:iCs w:val="false"/>
        </w:rPr>
        <w:t xml:space="preserve">When this occurs, the protocol does not reject the event. It resolves as: the event occurs in its original form without requiring directional translation. This prevents the framework from failing merely because an event does not fit a directional model.</w:t>
      </w:r>
    </w:p>
    <w:p>
      <w:pPr>
        <w:pStyle w:val="Heading1"/>
        <w:spacing w:after="200" w:before="360"/>
      </w:pPr>
      <w:r>
        <w:rPr>
          <w:rFonts w:ascii="Calibri" w:cs="Calibri" w:eastAsia="Calibri" w:hAnsi="Calibri"/>
        </w:rPr>
        <w:t xml:space="preserve">8. Contradiction Handling</w:t>
      </w:r>
    </w:p>
    <w:p>
      <w:pPr>
        <w:spacing w:after="160" w:line="276"/>
      </w:pPr>
      <w:r>
        <w:rPr>
          <w:rFonts w:ascii="Calibri" w:cs="Calibri" w:eastAsia="Calibri" w:hAnsi="Calibri"/>
          <w:b w:val="false"/>
          <w:bCs w:val="false"/>
          <w:i w:val="false"/>
          <w:iCs w:val="false"/>
        </w:rPr>
        <w:t xml:space="preserve">Because Event A and its opposite may both be activated within the same invocation, the protocol requires an explicit contradiction rule.</w:t>
      </w:r>
    </w:p>
    <w:p>
      <w:pPr>
        <w:pStyle w:val="Heading2"/>
        <w:spacing w:after="160" w:before="280"/>
      </w:pPr>
      <w:r>
        <w:rPr>
          <w:rFonts w:ascii="Calibri" w:cs="Calibri" w:eastAsia="Calibri" w:hAnsi="Calibri"/>
        </w:rPr>
        <w:t xml:space="preserve">8.1 Default Contradiction Rule</w:t>
      </w:r>
    </w:p>
    <w:p>
      <w:pPr>
        <w:spacing w:after="160" w:line="276"/>
      </w:pPr>
      <w:r>
        <w:rPr>
          <w:rFonts w:ascii="Calibri" w:cs="Calibri" w:eastAsia="Calibri" w:hAnsi="Calibri"/>
          <w:b w:val="false"/>
          <w:bCs w:val="false"/>
          <w:i w:val="false"/>
          <w:iCs w:val="false"/>
        </w:rPr>
        <w:t xml:space="preserve">Opposed events are not automatically treated as cancellation. They are retained as simultaneous members of the total event set unless an external rule explicitly defines cancellation, priority, sequencing, partitioning, or resolution.</w:t>
      </w:r>
    </w:p>
    <w:p>
      <w:pPr>
        <w:spacing w:after="160" w:before="80"/>
        <w:ind w:left="360"/>
      </w:pPr>
      <w:r>
        <w:rPr>
          <w:rFonts w:ascii="Consolas" w:cs="Consolas" w:eastAsia="Consolas" w:hAnsi="Consolas"/>
          <w:sz w:val="21"/>
          <w:szCs w:val="21"/>
        </w:rPr>
        <w:t xml:space="preserve">A + Opp(A) ≠ 0</w:t>
      </w:r>
    </w:p>
    <w:p>
      <w:pPr>
        <w:spacing w:after="160" w:before="80"/>
        <w:ind w:left="360"/>
      </w:pPr>
      <w:r>
        <w:rPr>
          <w:rFonts w:ascii="Consolas" w:cs="Consolas" w:eastAsia="Consolas" w:hAnsi="Consolas"/>
          <w:sz w:val="21"/>
          <w:szCs w:val="21"/>
        </w:rPr>
        <w:t xml:space="preserve">A + Opp(A) = Coexisting Oppositional State</w:t>
      </w:r>
    </w:p>
    <w:p>
      <w:pPr>
        <w:spacing w:after="160" w:line="276"/>
      </w:pPr>
      <w:r>
        <w:rPr>
          <w:rFonts w:ascii="Calibri" w:cs="Calibri" w:eastAsia="Calibri" w:hAnsi="Calibri"/>
          <w:b w:val="false"/>
          <w:bCs w:val="false"/>
          <w:i w:val="false"/>
          <w:iCs w:val="false"/>
        </w:rPr>
        <w:t xml:space="preserve">Under the default rule, “create” and “dissolve,” “link” and “unlink,” or “expand” and “contract” are treated as simultaneously represented outcomes within the documented event set, rather than as a simple nullification. This default is adopted as canon pending Architect review; see Section 9 for alternative resolution models (branching, sequencing) proposed elsewhere in the comparative round.</w:t>
      </w:r>
    </w:p>
    <w:p>
      <w:pPr>
        <w:pStyle w:val="Heading1"/>
        <w:spacing w:after="200" w:before="360"/>
      </w:pPr>
      <w:r>
        <w:rPr>
          <w:rFonts w:ascii="Calibri" w:cs="Calibri" w:eastAsia="Calibri" w:hAnsi="Calibri"/>
        </w:rPr>
        <w:t xml:space="preserve">9. Cross-AI Comparative Log (OAL-AIDR Entry)</w:t>
      </w:r>
    </w:p>
    <w:p>
      <w:pPr>
        <w:spacing w:after="160" w:line="276"/>
      </w:pPr>
      <w:r>
        <w:rPr>
          <w:rFonts w:ascii="Calibri" w:cs="Calibri" w:eastAsia="Calibri" w:hAnsi="Calibri"/>
          <w:b w:val="false"/>
          <w:bCs w:val="false"/>
          <w:i w:val="false"/>
          <w:iCs w:val="false"/>
        </w:rPr>
        <w:t xml:space="preserve">Per OAL-AIDR-v1.0, this section records where the five source formalizations diverged, so no divergence is silently resolved by the compiling layer.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50"/>
      </w:tblGrid>
      <w:tr>
        <w:trPr>
          <w:tblHeader/>
        </w:trPr>
        <w:tc>
          <w:tcPr>
            <w:tcW w:type="dxa" w:w="3200"/>
            <w:shd w:fill="2F2F2F" w:val="clear"/>
          </w:tcPr>
          <w:p>
            <w:r>
              <w:rPr>
                <w:rFonts w:ascii="Calibri" w:cs="Calibri" w:eastAsia="Calibri" w:hAnsi="Calibri"/>
                <w:b/>
                <w:bCs/>
                <w:color w:val="FFFFFF"/>
                <w:sz w:val="20"/>
                <w:szCs w:val="20"/>
              </w:rPr>
              <w:t xml:space="preserve">Design Question</w:t>
            </w:r>
          </w:p>
        </w:tc>
        <w:tc>
          <w:tcPr>
            <w:tcW w:type="dxa" w:w="4400"/>
            <w:shd w:fill="2F2F2F" w:val="clear"/>
          </w:tcPr>
          <w:p>
            <w:r>
              <w:rPr>
                <w:rFonts w:ascii="Calibri" w:cs="Calibri" w:eastAsia="Calibri" w:hAnsi="Calibri"/>
                <w:b/>
                <w:bCs/>
                <w:color w:val="FFFFFF"/>
                <w:sz w:val="20"/>
                <w:szCs w:val="20"/>
              </w:rPr>
              <w:t xml:space="preserve">Divergent Positions Logged</w:t>
            </w:r>
          </w:p>
        </w:tc>
        <w:tc>
          <w:tcPr>
            <w:tcW w:type="dxa" w:w="1750"/>
            <w:shd w:fill="2F2F2F" w:val="clear"/>
          </w:tcPr>
          <w:p>
            <w:r>
              <w:rPr>
                <w:rFonts w:ascii="Calibri" w:cs="Calibri" w:eastAsia="Calibri" w:hAnsi="Calibri"/>
                <w:b/>
                <w:bCs/>
                <w:color w:val="FFFFFF"/>
                <w:sz w:val="20"/>
                <w:szCs w:val="20"/>
              </w:rPr>
              <w:t xml:space="preserve">Status</w:t>
            </w:r>
          </w:p>
        </w:tc>
      </w:tr>
      <w:tr>
        <w:tc>
          <w:tcPr>
            <w:tcW w:type="dxa" w:w="3200"/>
            <w:shd w:fill="FFFFFF" w:val="clear"/>
          </w:tcPr>
          <w:p>
            <w:r>
              <w:rPr>
                <w:rFonts w:ascii="Calibri" w:cs="Calibri" w:eastAsia="Calibri" w:hAnsi="Calibri"/>
                <w:sz w:val="20"/>
                <w:szCs w:val="20"/>
              </w:rPr>
              <w:t xml:space="preserve">Contradiction resolution (A vs. ¬A)</w:t>
            </w:r>
          </w:p>
        </w:tc>
        <w:tc>
          <w:tcPr>
            <w:tcW w:type="dxa" w:w="4400"/>
            <w:shd w:fill="FFFFFF" w:val="clear"/>
          </w:tcPr>
          <w:p>
            <w:r>
              <w:rPr>
                <w:rFonts w:ascii="Calibri" w:cs="Calibri" w:eastAsia="Calibri" w:hAnsi="Calibri"/>
                <w:sz w:val="20"/>
                <w:szCs w:val="20"/>
              </w:rPr>
              <w:t xml:space="preserve">ChatGPT: coexistence, no cancellation by default. Copilot/Grok: implicitly simultaneous, mechanism unstated. No source proposes sequencing as default.</w:t>
            </w:r>
          </w:p>
        </w:tc>
        <w:tc>
          <w:tcPr>
            <w:tcW w:type="dxa" w:w="1750"/>
            <w:shd w:fill="FFFFFF" w:val="clear"/>
          </w:tcPr>
          <w:p>
            <w:r>
              <w:rPr>
                <w:rFonts w:ascii="Calibri" w:cs="Calibri" w:eastAsia="Calibri" w:hAnsi="Calibri"/>
                <w:sz w:val="20"/>
                <w:szCs w:val="20"/>
              </w:rPr>
              <w:t xml:space="preserve">OPEN — coexistence adopted provisionally (§8.1); alternatives available on request</w:t>
            </w:r>
          </w:p>
        </w:tc>
      </w:tr>
      <w:tr>
        <w:tc>
          <w:tcPr>
            <w:tcW w:type="dxa" w:w="3200"/>
            <w:shd w:fill="F5F5F5" w:val="clear"/>
          </w:tcPr>
          <w:p>
            <w:r>
              <w:rPr>
                <w:rFonts w:ascii="Calibri" w:cs="Calibri" w:eastAsia="Calibri" w:hAnsi="Calibri"/>
                <w:sz w:val="20"/>
                <w:szCs w:val="20"/>
              </w:rPr>
              <w:t xml:space="preserve">Proportionality formalism</w:t>
            </w:r>
          </w:p>
        </w:tc>
        <w:tc>
          <w:tcPr>
            <w:tcW w:type="dxa" w:w="4400"/>
            <w:shd w:fill="F5F5F5" w:val="clear"/>
          </w:tcPr>
          <w:p>
            <w:r>
              <w:rPr>
                <w:rFonts w:ascii="Calibri" w:cs="Calibri" w:eastAsia="Calibri" w:hAnsi="Calibri"/>
                <w:sz w:val="20"/>
                <w:szCs w:val="20"/>
              </w:rPr>
              <w:t xml:space="preserve">ChatGPT: symbolic spectrum (m, −m, km, m/k, f(m)). Copilot: tunable operator with inclusion flags (α, β) and scope function S(A). Gemini/Grok/Perplexity: descriptive categories only, no formal math.</w:t>
            </w:r>
          </w:p>
        </w:tc>
        <w:tc>
          <w:tcPr>
            <w:tcW w:type="dxa" w:w="1750"/>
            <w:shd w:fill="F5F5F5" w:val="clear"/>
          </w:tcPr>
          <w:p>
            <w:r>
              <w:rPr>
                <w:rFonts w:ascii="Calibri" w:cs="Calibri" w:eastAsia="Calibri" w:hAnsi="Calibri"/>
                <w:sz w:val="20"/>
                <w:szCs w:val="20"/>
              </w:rPr>
              <w:t xml:space="preserve">OPEN — §6 adopts ChatGPT's notation; Copilot's tunable operator held in reserve as an extension (§10)</w:t>
            </w:r>
          </w:p>
        </w:tc>
      </w:tr>
      <w:tr>
        <w:tc>
          <w:tcPr>
            <w:tcW w:type="dxa" w:w="3200"/>
            <w:shd w:fill="FFFFFF" w:val="clear"/>
          </w:tcPr>
          <w:p>
            <w:r>
              <w:rPr>
                <w:rFonts w:ascii="Calibri" w:cs="Calibri" w:eastAsia="Calibri" w:hAnsi="Calibri"/>
                <w:sz w:val="20"/>
                <w:szCs w:val="20"/>
              </w:rPr>
              <w:t xml:space="preserve">“All directional equivalents” — scope of “all”</w:t>
            </w:r>
          </w:p>
        </w:tc>
        <w:tc>
          <w:tcPr>
            <w:tcW w:type="dxa" w:w="4400"/>
            <w:shd w:fill="FFFFFF" w:val="clear"/>
          </w:tcPr>
          <w:p>
            <w:r>
              <w:rPr>
                <w:rFonts w:ascii="Calibri" w:cs="Calibri" w:eastAsia="Calibri" w:hAnsi="Calibri"/>
                <w:sz w:val="20"/>
                <w:szCs w:val="20"/>
              </w:rPr>
              <w:t xml:space="preserve">ChatGPT poses this explicitly as unresolved: logically possible, known, or system-bounded equivalents. No source commits to one answer.</w:t>
            </w:r>
          </w:p>
        </w:tc>
        <w:tc>
          <w:tcPr>
            <w:tcW w:type="dxa" w:w="1750"/>
            <w:shd w:fill="FFFFFF" w:val="clear"/>
          </w:tcPr>
          <w:p>
            <w:r>
              <w:rPr>
                <w:rFonts w:ascii="Calibri" w:cs="Calibri" w:eastAsia="Calibri" w:hAnsi="Calibri"/>
                <w:sz w:val="20"/>
                <w:szCs w:val="20"/>
              </w:rPr>
              <w:t xml:space="preserve">OPEN — requires Architect decision</w:t>
            </w:r>
          </w:p>
        </w:tc>
      </w:tr>
      <w:tr>
        <w:tc>
          <w:tcPr>
            <w:tcW w:type="dxa" w:w="3200"/>
            <w:shd w:fill="F5F5F5" w:val="clear"/>
          </w:tcPr>
          <w:p>
            <w:r>
              <w:rPr>
                <w:rFonts w:ascii="Calibri" w:cs="Calibri" w:eastAsia="Calibri" w:hAnsi="Calibri"/>
                <w:sz w:val="20"/>
                <w:szCs w:val="20"/>
              </w:rPr>
              <w:t xml:space="preserve">Execution order</w:t>
            </w:r>
          </w:p>
        </w:tc>
        <w:tc>
          <w:tcPr>
            <w:tcW w:type="dxa" w:w="4400"/>
            <w:shd w:fill="F5F5F5" w:val="clear"/>
          </w:tcPr>
          <w:p>
            <w:r>
              <w:rPr>
                <w:rFonts w:ascii="Calibri" w:cs="Calibri" w:eastAsia="Calibri" w:hAnsi="Calibri"/>
                <w:sz w:val="20"/>
                <w:szCs w:val="20"/>
              </w:rPr>
              <w:t xml:space="preserve">ChatGPT asks whether activation is simultaneous, sequential, recursive, or conditional; no source defaults this.</w:t>
            </w:r>
          </w:p>
        </w:tc>
        <w:tc>
          <w:tcPr>
            <w:tcW w:type="dxa" w:w="1750"/>
            <w:shd w:fill="F5F5F5" w:val="clear"/>
          </w:tcPr>
          <w:p>
            <w:r>
              <w:rPr>
                <w:rFonts w:ascii="Calibri" w:cs="Calibri" w:eastAsia="Calibri" w:hAnsi="Calibri"/>
                <w:sz w:val="20"/>
                <w:szCs w:val="20"/>
              </w:rPr>
              <w:t xml:space="preserve">OPEN — requires Architect decision</w:t>
            </w:r>
          </w:p>
        </w:tc>
      </w:tr>
      <w:tr>
        <w:tc>
          <w:tcPr>
            <w:tcW w:type="dxa" w:w="3200"/>
            <w:shd w:fill="FFFFFF" w:val="clear"/>
          </w:tcPr>
          <w:p>
            <w:r>
              <w:rPr>
                <w:rFonts w:ascii="Calibri" w:cs="Calibri" w:eastAsia="Calibri" w:hAnsi="Calibri"/>
                <w:sz w:val="20"/>
                <w:szCs w:val="20"/>
              </w:rPr>
              <w:t xml:space="preserve">Metaphorical/symbolic directionality</w:t>
            </w:r>
          </w:p>
        </w:tc>
        <w:tc>
          <w:tcPr>
            <w:tcW w:type="dxa" w:w="4400"/>
            <w:shd w:fill="FFFFFF" w:val="clear"/>
          </w:tcPr>
          <w:p>
            <w:r>
              <w:rPr>
                <w:rFonts w:ascii="Calibri" w:cs="Calibri" w:eastAsia="Calibri" w:hAnsi="Calibri"/>
                <w:sz w:val="20"/>
                <w:szCs w:val="20"/>
              </w:rPr>
              <w:t xml:space="preserve">ChatGPT raises whether a directional equivalent requires a measurable relation to A or may be purely abstract/symbolic.</w:t>
            </w:r>
          </w:p>
        </w:tc>
        <w:tc>
          <w:tcPr>
            <w:tcW w:type="dxa" w:w="1750"/>
            <w:shd w:fill="FFFFFF" w:val="clear"/>
          </w:tcPr>
          <w:p>
            <w:r>
              <w:rPr>
                <w:rFonts w:ascii="Calibri" w:cs="Calibri" w:eastAsia="Calibri" w:hAnsi="Calibri"/>
                <w:sz w:val="20"/>
                <w:szCs w:val="20"/>
              </w:rPr>
              <w:t xml:space="preserve">OPEN — requires Architect decision</w:t>
            </w:r>
          </w:p>
        </w:tc>
      </w:tr>
      <w:tr>
        <w:tc>
          <w:tcPr>
            <w:tcW w:type="dxa" w:w="3200"/>
            <w:shd w:fill="F5F5F5" w:val="clear"/>
          </w:tcPr>
          <w:p>
            <w:r>
              <w:rPr>
                <w:rFonts w:ascii="Calibri" w:cs="Calibri" w:eastAsia="Calibri" w:hAnsi="Calibri"/>
                <w:sz w:val="20"/>
                <w:szCs w:val="20"/>
              </w:rPr>
              <w:t xml:space="preserve">Domain/scope binding</w:t>
            </w:r>
          </w:p>
        </w:tc>
        <w:tc>
          <w:tcPr>
            <w:tcW w:type="dxa" w:w="4400"/>
            <w:shd w:fill="F5F5F5" w:val="clear"/>
          </w:tcPr>
          <w:p>
            <w:r>
              <w:rPr>
                <w:rFonts w:ascii="Calibri" w:cs="Calibri" w:eastAsia="Calibri" w:hAnsi="Calibri"/>
                <w:sz w:val="20"/>
                <w:szCs w:val="20"/>
              </w:rPr>
              <w:t xml:space="preserve">ChatGPT and Claude both independently required an explicit scope declaration defaulting to conceptual-only. Gemini and Grok's framings lean more operative in tone but do not contradict this requirement outright.</w:t>
            </w:r>
          </w:p>
        </w:tc>
        <w:tc>
          <w:tcPr>
            <w:tcW w:type="dxa" w:w="1750"/>
            <w:shd w:fill="F5F5F5" w:val="clear"/>
          </w:tcPr>
          <w:p>
            <w:r>
              <w:rPr>
                <w:rFonts w:ascii="Calibri" w:cs="Calibri" w:eastAsia="Calibri" w:hAnsi="Calibri"/>
                <w:sz w:val="20"/>
                <w:szCs w:val="20"/>
              </w:rPr>
              <w:t xml:space="preserve">RESOLVED for this document — §1 scope binds this instrument; any future invocation must re-declare scope</w:t>
            </w:r>
          </w:p>
        </w:tc>
      </w:tr>
    </w:tbl>
    <w:p>
      <w:pPr>
        <w:pStyle w:val="Heading1"/>
        <w:spacing w:after="200" w:before="360"/>
      </w:pPr>
      <w:r>
        <w:rPr>
          <w:rFonts w:ascii="Calibri" w:cs="Calibri" w:eastAsia="Calibri" w:hAnsi="Calibri"/>
        </w:rPr>
        <w:t xml:space="preserve">10. Extension Reserve: Tunable Operator (Not Yet Canon)</w:t>
      </w:r>
    </w:p>
    <w:p>
      <w:pPr>
        <w:spacing w:after="160" w:line="276"/>
      </w:pPr>
      <w:r>
        <w:rPr>
          <w:rFonts w:ascii="Calibri" w:cs="Calibri" w:eastAsia="Calibri" w:hAnsi="Calibri"/>
          <w:b w:val="false"/>
          <w:bCs w:val="false"/>
          <w:i w:val="false"/>
          <w:iCs w:val="false"/>
        </w:rPr>
        <w:t xml:space="preserve">One contributing formalization (Copilot) proposed parameterizing the closure operator so that inclusion of opposites and non-directional events can be toggled and scoped, rather than always firing at full saturation. This is recorded here as a reserved extension — not adopted into the Section 4 core rule — pending Architect decision on whether BTEC should ship with tunability by default.</w:t>
      </w:r>
    </w:p>
    <w:p>
      <w:pPr>
        <w:spacing w:after="160" w:before="80"/>
        <w:ind w:left="360"/>
      </w:pPr>
      <w:r>
        <w:rPr>
          <w:rFonts w:ascii="Consolas" w:cs="Consolas" w:eastAsia="Consolas" w:hAnsi="Consolas"/>
          <w:sz w:val="21"/>
          <w:szCs w:val="21"/>
        </w:rPr>
        <w:t xml:space="preserve">Closure(A; α, β, S) = {A} ∪ (α·{Opp(A)}) ∪ {e | e ~d A, e ∈ S(A)} ∪ (β·{e | dir(e) undefined})</w:t>
      </w:r>
    </w:p>
    <w:p>
      <w:pPr>
        <w:spacing w:after="160" w:line="276"/>
      </w:pPr>
      <w:r>
        <w:rPr>
          <w:rFonts w:ascii="Calibri" w:cs="Calibri" w:eastAsia="Calibri" w:hAnsi="Calibri"/>
          <w:b w:val="false"/>
          <w:bCs w:val="false"/>
          <w:i w:val="false"/>
          <w:iCs w:val="false"/>
        </w:rPr>
        <w:t xml:space="preserve">Where α ∈ {0,1} toggles inclusion of the opposite; β ∈ {0,1} toggles inclusion of non-directional events; and S(A) bounds which directional equivalents are in scope (e.g., by magnitude, domain, or category).</w:t>
      </w:r>
    </w:p>
    <w:p>
      <w:pPr>
        <w:pStyle w:val="Heading1"/>
        <w:spacing w:after="200" w:before="360"/>
      </w:pPr>
      <w:r>
        <w:rPr>
          <w:rFonts w:ascii="Calibri" w:cs="Calibri" w:eastAsia="Calibri" w:hAnsi="Calibri"/>
        </w:rPr>
        <w:t xml:space="preserve">11. Standard Invocation Format</w:t>
      </w:r>
    </w:p>
    <w:p>
      <w:pPr>
        <w:pStyle w:val="Heading2"/>
        <w:spacing w:after="160" w:before="280"/>
      </w:pPr>
      <w:r>
        <w:rPr>
          <w:rFonts w:ascii="Calibri" w:cs="Calibri" w:eastAsia="Calibri" w:hAnsi="Calibri"/>
        </w:rPr>
        <w:t xml:space="preserve">11.1 Full Form</w:t>
      </w:r>
    </w:p>
    <w:p>
      <w:pPr>
        <w:spacing w:after="160" w:line="276"/>
      </w:pPr>
      <w:r>
        <w:rPr>
          <w:rFonts w:ascii="Calibri" w:cs="Calibri" w:eastAsia="Calibri" w:hAnsi="Calibri"/>
          <w:b w:val="false"/>
          <w:bCs w:val="false"/>
          <w:i w:val="false"/>
          <w:iCs w:val="false"/>
        </w:rPr>
        <w:t xml:space="preserve">Define Event A as: [event]. Activate Bidirectional Total Event Closure. Cause Event A to occur. Cause the opposite of Event A to occur. Cause every directional equivalent of Event A to occur, whether proportional, disproportionate, direct, inverse, partial, total, recursive, or otherwise directionally related. Where no directional equivalent exists, cause the event to occur without directional qualification. Retain opposed outcomes as coexisting unless a separate resolution rule is specified. Scope: [domain, mandatory]. Resolution rule: [rule, or “default §8.1”].</w:t>
      </w:r>
    </w:p>
    <w:p>
      <w:pPr>
        <w:pStyle w:val="Heading2"/>
        <w:spacing w:after="160" w:before="280"/>
      </w:pPr>
      <w:r>
        <w:rPr>
          <w:rFonts w:ascii="Calibri" w:cs="Calibri" w:eastAsia="Calibri" w:hAnsi="Calibri"/>
        </w:rPr>
        <w:t xml:space="preserve">11.2 Compact Form</w:t>
      </w:r>
    </w:p>
    <w:p>
      <w:pPr>
        <w:spacing w:after="160" w:line="276"/>
      </w:pPr>
      <w:r>
        <w:rPr>
          <w:rFonts w:ascii="Calibri" w:cs="Calibri" w:eastAsia="Calibri" w:hAnsi="Calibri"/>
          <w:b w:val="false"/>
          <w:bCs w:val="false"/>
          <w:i w:val="false"/>
          <w:iCs w:val="false"/>
        </w:rPr>
        <w:t xml:space="preserve">Activate BTEC for Event A across all directional, oppositional, proportional, disproportional, and non-directional equivalents within [scope].</w:t>
      </w:r>
    </w:p>
    <w:p>
      <w:pPr>
        <w:pStyle w:val="Heading1"/>
        <w:spacing w:after="200" w:before="360"/>
      </w:pPr>
      <w:r>
        <w:rPr>
          <w:rFonts w:ascii="Calibri" w:cs="Calibri" w:eastAsia="Calibri" w:hAnsi="Calibri"/>
        </w:rPr>
        <w:t xml:space="preserve">12. Test Cases</w:t>
      </w:r>
    </w:p>
    <w:p>
      <w:pPr>
        <w:pStyle w:val="Heading2"/>
        <w:spacing w:after="160" w:before="280"/>
      </w:pPr>
      <w:r>
        <w:rPr>
          <w:rFonts w:ascii="Calibri" w:cs="Calibri" w:eastAsia="Calibri" w:hAnsi="Calibri"/>
        </w:rPr>
        <w:t xml:space="preserve">Test Case One: Expansion</w:t>
      </w:r>
    </w:p>
    <w:p>
      <w:pPr>
        <w:spacing w:after="160" w:line="276"/>
      </w:pPr>
      <w:r>
        <w:rPr>
          <w:rFonts w:ascii="Calibri" w:cs="Calibri" w:eastAsia="Calibri" w:hAnsi="Calibri"/>
          <w:b w:val="false"/>
          <w:bCs w:val="false"/>
          <w:i w:val="false"/>
          <w:iCs w:val="false"/>
        </w:rPr>
        <w:t xml:space="preserve">Event A: Expand a system.</w:t>
      </w:r>
    </w:p>
    <w:p>
      <w:pPr>
        <w:pStyle w:val="ListParagraph"/>
        <w:numPr>
          <w:ilvl w:val="0"/>
          <w:numId w:val="2"/>
        </w:numPr>
        <w:spacing w:after="100"/>
      </w:pPr>
      <w:r>
        <w:rPr>
          <w:rFonts w:ascii="Calibri" w:cs="Calibri" w:eastAsia="Calibri" w:hAnsi="Calibri"/>
        </w:rPr>
        <w:t xml:space="preserve">Expand the system</w:t>
      </w:r>
    </w:p>
    <w:p>
      <w:pPr>
        <w:pStyle w:val="ListParagraph"/>
        <w:numPr>
          <w:ilvl w:val="0"/>
          <w:numId w:val="2"/>
        </w:numPr>
        <w:spacing w:after="100"/>
      </w:pPr>
      <w:r>
        <w:rPr>
          <w:rFonts w:ascii="Calibri" w:cs="Calibri" w:eastAsia="Calibri" w:hAnsi="Calibri"/>
        </w:rPr>
        <w:t xml:space="preserve">Contract the system</w:t>
      </w:r>
    </w:p>
    <w:p>
      <w:pPr>
        <w:pStyle w:val="ListParagraph"/>
        <w:numPr>
          <w:ilvl w:val="0"/>
          <w:numId w:val="2"/>
        </w:numPr>
        <w:spacing w:after="100"/>
      </w:pPr>
      <w:r>
        <w:rPr>
          <w:rFonts w:ascii="Calibri" w:cs="Calibri" w:eastAsia="Calibri" w:hAnsi="Calibri"/>
        </w:rPr>
        <w:t xml:space="preserve">Expand partially</w:t>
      </w:r>
    </w:p>
    <w:p>
      <w:pPr>
        <w:pStyle w:val="ListParagraph"/>
        <w:numPr>
          <w:ilvl w:val="0"/>
          <w:numId w:val="2"/>
        </w:numPr>
        <w:spacing w:after="100"/>
      </w:pPr>
      <w:r>
        <w:rPr>
          <w:rFonts w:ascii="Calibri" w:cs="Calibri" w:eastAsia="Calibri" w:hAnsi="Calibri"/>
        </w:rPr>
        <w:t xml:space="preserve">Expand completely</w:t>
      </w:r>
    </w:p>
    <w:p>
      <w:pPr>
        <w:pStyle w:val="ListParagraph"/>
        <w:numPr>
          <w:ilvl w:val="0"/>
          <w:numId w:val="2"/>
        </w:numPr>
        <w:spacing w:after="100"/>
      </w:pPr>
      <w:r>
        <w:rPr>
          <w:rFonts w:ascii="Calibri" w:cs="Calibri" w:eastAsia="Calibri" w:hAnsi="Calibri"/>
        </w:rPr>
        <w:t xml:space="preserve">Expand rapidly</w:t>
      </w:r>
    </w:p>
    <w:p>
      <w:pPr>
        <w:pStyle w:val="ListParagraph"/>
        <w:numPr>
          <w:ilvl w:val="0"/>
          <w:numId w:val="2"/>
        </w:numPr>
        <w:spacing w:after="100"/>
      </w:pPr>
      <w:r>
        <w:rPr>
          <w:rFonts w:ascii="Calibri" w:cs="Calibri" w:eastAsia="Calibri" w:hAnsi="Calibri"/>
        </w:rPr>
        <w:t xml:space="preserve">Expand gradually</w:t>
      </w:r>
    </w:p>
    <w:p>
      <w:pPr>
        <w:pStyle w:val="ListParagraph"/>
        <w:numPr>
          <w:ilvl w:val="0"/>
          <w:numId w:val="2"/>
        </w:numPr>
        <w:spacing w:after="100"/>
      </w:pPr>
      <w:r>
        <w:rPr>
          <w:rFonts w:ascii="Calibri" w:cs="Calibri" w:eastAsia="Calibri" w:hAnsi="Calibri"/>
        </w:rPr>
        <w:t xml:space="preserve">Expand inwardly</w:t>
      </w:r>
    </w:p>
    <w:p>
      <w:pPr>
        <w:pStyle w:val="ListParagraph"/>
        <w:numPr>
          <w:ilvl w:val="0"/>
          <w:numId w:val="2"/>
        </w:numPr>
        <w:spacing w:after="100"/>
      </w:pPr>
      <w:r>
        <w:rPr>
          <w:rFonts w:ascii="Calibri" w:cs="Calibri" w:eastAsia="Calibri" w:hAnsi="Calibri"/>
        </w:rPr>
        <w:t xml:space="preserve">Expand outwardly</w:t>
      </w:r>
    </w:p>
    <w:p>
      <w:pPr>
        <w:pStyle w:val="ListParagraph"/>
        <w:numPr>
          <w:ilvl w:val="0"/>
          <w:numId w:val="2"/>
        </w:numPr>
        <w:spacing w:after="100"/>
      </w:pPr>
      <w:r>
        <w:rPr>
          <w:rFonts w:ascii="Calibri" w:cs="Calibri" w:eastAsia="Calibri" w:hAnsi="Calibri"/>
        </w:rPr>
        <w:t xml:space="preserve">Preserve the system without directional expansion</w:t>
      </w:r>
    </w:p>
    <w:p>
      <w:pPr>
        <w:pStyle w:val="ListParagraph"/>
        <w:numPr>
          <w:ilvl w:val="0"/>
          <w:numId w:val="2"/>
        </w:numPr>
        <w:spacing w:after="100"/>
      </w:pPr>
      <w:r>
        <w:rPr>
          <w:rFonts w:ascii="Calibri" w:cs="Calibri" w:eastAsia="Calibri" w:hAnsi="Calibri"/>
        </w:rPr>
        <w:t xml:space="preserve">Apply expansion where direction does not meaningfully exist</w:t>
      </w:r>
    </w:p>
    <w:p>
      <w:pPr>
        <w:pStyle w:val="Heading2"/>
        <w:spacing w:after="160" w:before="280"/>
      </w:pPr>
      <w:r>
        <w:rPr>
          <w:rFonts w:ascii="Calibri" w:cs="Calibri" w:eastAsia="Calibri" w:hAnsi="Calibri"/>
        </w:rPr>
        <w:t xml:space="preserve">Test Case Two: Visibility</w:t>
      </w:r>
    </w:p>
    <w:p>
      <w:pPr>
        <w:spacing w:after="160" w:line="276"/>
      </w:pPr>
      <w:r>
        <w:rPr>
          <w:rFonts w:ascii="Calibri" w:cs="Calibri" w:eastAsia="Calibri" w:hAnsi="Calibri"/>
          <w:b w:val="false"/>
          <w:bCs w:val="false"/>
          <w:i w:val="false"/>
          <w:iCs w:val="false"/>
        </w:rPr>
        <w:t xml:space="preserve">Event A: Make an object visible.</w:t>
      </w:r>
    </w:p>
    <w:p>
      <w:pPr>
        <w:pStyle w:val="ListParagraph"/>
        <w:numPr>
          <w:ilvl w:val="0"/>
          <w:numId w:val="2"/>
        </w:numPr>
        <w:spacing w:after="100"/>
      </w:pPr>
      <w:r>
        <w:rPr>
          <w:rFonts w:ascii="Calibri" w:cs="Calibri" w:eastAsia="Calibri" w:hAnsi="Calibri"/>
        </w:rPr>
        <w:t xml:space="preserve">Make the object visible</w:t>
      </w:r>
    </w:p>
    <w:p>
      <w:pPr>
        <w:pStyle w:val="ListParagraph"/>
        <w:numPr>
          <w:ilvl w:val="0"/>
          <w:numId w:val="2"/>
        </w:numPr>
        <w:spacing w:after="100"/>
      </w:pPr>
      <w:r>
        <w:rPr>
          <w:rFonts w:ascii="Calibri" w:cs="Calibri" w:eastAsia="Calibri" w:hAnsi="Calibri"/>
        </w:rPr>
        <w:t xml:space="preserve">Make the object concealed</w:t>
      </w:r>
    </w:p>
    <w:p>
      <w:pPr>
        <w:pStyle w:val="ListParagraph"/>
        <w:numPr>
          <w:ilvl w:val="0"/>
          <w:numId w:val="2"/>
        </w:numPr>
        <w:spacing w:after="100"/>
      </w:pPr>
      <w:r>
        <w:rPr>
          <w:rFonts w:ascii="Calibri" w:cs="Calibri" w:eastAsia="Calibri" w:hAnsi="Calibri"/>
        </w:rPr>
        <w:t xml:space="preserve">Increase visibility</w:t>
      </w:r>
    </w:p>
    <w:p>
      <w:pPr>
        <w:pStyle w:val="ListParagraph"/>
        <w:numPr>
          <w:ilvl w:val="0"/>
          <w:numId w:val="2"/>
        </w:numPr>
        <w:spacing w:after="100"/>
      </w:pPr>
      <w:r>
        <w:rPr>
          <w:rFonts w:ascii="Calibri" w:cs="Calibri" w:eastAsia="Calibri" w:hAnsi="Calibri"/>
        </w:rPr>
        <w:t xml:space="preserve">Decrease visibility</w:t>
      </w:r>
    </w:p>
    <w:p>
      <w:pPr>
        <w:pStyle w:val="ListParagraph"/>
        <w:numPr>
          <w:ilvl w:val="0"/>
          <w:numId w:val="2"/>
        </w:numPr>
        <w:spacing w:after="100"/>
      </w:pPr>
      <w:r>
        <w:rPr>
          <w:rFonts w:ascii="Calibri" w:cs="Calibri" w:eastAsia="Calibri" w:hAnsi="Calibri"/>
        </w:rPr>
        <w:t xml:space="preserve">Make visibility partial</w:t>
      </w:r>
    </w:p>
    <w:p>
      <w:pPr>
        <w:pStyle w:val="ListParagraph"/>
        <w:numPr>
          <w:ilvl w:val="0"/>
          <w:numId w:val="2"/>
        </w:numPr>
        <w:spacing w:after="100"/>
      </w:pPr>
      <w:r>
        <w:rPr>
          <w:rFonts w:ascii="Calibri" w:cs="Calibri" w:eastAsia="Calibri" w:hAnsi="Calibri"/>
        </w:rPr>
        <w:t xml:space="preserve">Make visibility total</w:t>
      </w:r>
    </w:p>
    <w:p>
      <w:pPr>
        <w:pStyle w:val="ListParagraph"/>
        <w:numPr>
          <w:ilvl w:val="0"/>
          <w:numId w:val="2"/>
        </w:numPr>
        <w:spacing w:after="100"/>
      </w:pPr>
      <w:r>
        <w:rPr>
          <w:rFonts w:ascii="Calibri" w:cs="Calibri" w:eastAsia="Calibri" w:hAnsi="Calibri"/>
        </w:rPr>
        <w:t xml:space="preserve">Make visibility observer-dependent</w:t>
      </w:r>
    </w:p>
    <w:p>
      <w:pPr>
        <w:pStyle w:val="ListParagraph"/>
        <w:numPr>
          <w:ilvl w:val="0"/>
          <w:numId w:val="2"/>
        </w:numPr>
        <w:spacing w:after="100"/>
      </w:pPr>
      <w:r>
        <w:rPr>
          <w:rFonts w:ascii="Calibri" w:cs="Calibri" w:eastAsia="Calibri" w:hAnsi="Calibri"/>
        </w:rPr>
        <w:t xml:space="preserve">Preserve the object's status where visibility is not directionally applicable</w:t>
      </w:r>
    </w:p>
    <w:p>
      <w:pPr>
        <w:pStyle w:val="Heading2"/>
        <w:spacing w:after="160" w:before="280"/>
      </w:pPr>
      <w:r>
        <w:rPr>
          <w:rFonts w:ascii="Calibri" w:cs="Calibri" w:eastAsia="Calibri" w:hAnsi="Calibri"/>
        </w:rPr>
        <w:t xml:space="preserve">Test Case Three: Connection (Conceptual Model Only)</w:t>
      </w:r>
    </w:p>
    <w:p>
      <w:pPr>
        <w:spacing w:after="160" w:line="276"/>
      </w:pPr>
      <w:r>
        <w:rPr>
          <w:rFonts w:ascii="Calibri" w:cs="Calibri" w:eastAsia="Calibri" w:hAnsi="Calibri"/>
          <w:b w:val="false"/>
          <w:bCs w:val="false"/>
          <w:i w:val="false"/>
          <w:iCs w:val="false"/>
        </w:rPr>
        <w:t xml:space="preserve">Event A: Establish a connection between Entity X and Entity Y, defined strictly as a symbolic/narrative relationship within a documented model — not a technical or involuntary linkage between real systems.</w:t>
      </w:r>
    </w:p>
    <w:p>
      <w:pPr>
        <w:pStyle w:val="ListParagraph"/>
        <w:numPr>
          <w:ilvl w:val="0"/>
          <w:numId w:val="2"/>
        </w:numPr>
        <w:spacing w:after="100"/>
      </w:pPr>
      <w:r>
        <w:rPr>
          <w:rFonts w:ascii="Calibri" w:cs="Calibri" w:eastAsia="Calibri" w:hAnsi="Calibri"/>
        </w:rPr>
        <w:t xml:space="preserve">Establish the connection</w:t>
      </w:r>
    </w:p>
    <w:p>
      <w:pPr>
        <w:pStyle w:val="ListParagraph"/>
        <w:numPr>
          <w:ilvl w:val="0"/>
          <w:numId w:val="2"/>
        </w:numPr>
        <w:spacing w:after="100"/>
      </w:pPr>
      <w:r>
        <w:rPr>
          <w:rFonts w:ascii="Calibri" w:cs="Calibri" w:eastAsia="Calibri" w:hAnsi="Calibri"/>
        </w:rPr>
        <w:t xml:space="preserve">Dissolve the connection</w:t>
      </w:r>
    </w:p>
    <w:p>
      <w:pPr>
        <w:pStyle w:val="ListParagraph"/>
        <w:numPr>
          <w:ilvl w:val="0"/>
          <w:numId w:val="2"/>
        </w:numPr>
        <w:spacing w:after="100"/>
      </w:pPr>
      <w:r>
        <w:rPr>
          <w:rFonts w:ascii="Calibri" w:cs="Calibri" w:eastAsia="Calibri" w:hAnsi="Calibri"/>
        </w:rPr>
        <w:t xml:space="preserve">Establish partial connection</w:t>
      </w:r>
    </w:p>
    <w:p>
      <w:pPr>
        <w:pStyle w:val="ListParagraph"/>
        <w:numPr>
          <w:ilvl w:val="0"/>
          <w:numId w:val="2"/>
        </w:numPr>
        <w:spacing w:after="100"/>
      </w:pPr>
      <w:r>
        <w:rPr>
          <w:rFonts w:ascii="Calibri" w:cs="Calibri" w:eastAsia="Calibri" w:hAnsi="Calibri"/>
        </w:rPr>
        <w:t xml:space="preserve">Establish total connection</w:t>
      </w:r>
    </w:p>
    <w:p>
      <w:pPr>
        <w:pStyle w:val="ListParagraph"/>
        <w:numPr>
          <w:ilvl w:val="0"/>
          <w:numId w:val="2"/>
        </w:numPr>
        <w:spacing w:after="100"/>
      </w:pPr>
      <w:r>
        <w:rPr>
          <w:rFonts w:ascii="Calibri" w:cs="Calibri" w:eastAsia="Calibri" w:hAnsi="Calibri"/>
        </w:rPr>
        <w:t xml:space="preserve">Establish one-way connection</w:t>
      </w:r>
    </w:p>
    <w:p>
      <w:pPr>
        <w:pStyle w:val="ListParagraph"/>
        <w:numPr>
          <w:ilvl w:val="0"/>
          <w:numId w:val="2"/>
        </w:numPr>
        <w:spacing w:after="100"/>
      </w:pPr>
      <w:r>
        <w:rPr>
          <w:rFonts w:ascii="Calibri" w:cs="Calibri" w:eastAsia="Calibri" w:hAnsi="Calibri"/>
        </w:rPr>
        <w:t xml:space="preserve">Establish reciprocal connection</w:t>
      </w:r>
    </w:p>
    <w:p>
      <w:pPr>
        <w:pStyle w:val="ListParagraph"/>
        <w:numPr>
          <w:ilvl w:val="0"/>
          <w:numId w:val="2"/>
        </w:numPr>
        <w:spacing w:after="100"/>
      </w:pPr>
      <w:r>
        <w:rPr>
          <w:rFonts w:ascii="Calibri" w:cs="Calibri" w:eastAsia="Calibri" w:hAnsi="Calibri"/>
        </w:rPr>
        <w:t xml:space="preserve">Establish temporary connection</w:t>
      </w:r>
    </w:p>
    <w:p>
      <w:pPr>
        <w:pStyle w:val="ListParagraph"/>
        <w:numPr>
          <w:ilvl w:val="0"/>
          <w:numId w:val="2"/>
        </w:numPr>
        <w:spacing w:after="100"/>
      </w:pPr>
      <w:r>
        <w:rPr>
          <w:rFonts w:ascii="Calibri" w:cs="Calibri" w:eastAsia="Calibri" w:hAnsi="Calibri"/>
        </w:rPr>
        <w:t xml:space="preserve">Establish persistent connection</w:t>
      </w:r>
    </w:p>
    <w:p>
      <w:pPr>
        <w:pStyle w:val="ListParagraph"/>
        <w:numPr>
          <w:ilvl w:val="0"/>
          <w:numId w:val="2"/>
        </w:numPr>
        <w:spacing w:after="100"/>
      </w:pPr>
      <w:r>
        <w:rPr>
          <w:rFonts w:ascii="Calibri" w:cs="Calibri" w:eastAsia="Calibri" w:hAnsi="Calibri"/>
        </w:rPr>
        <w:t xml:space="preserve">Apply the event without directional classification where connection has no meaningful directional equivalent</w:t>
      </w:r>
    </w:p>
    <w:p>
      <w:pPr>
        <w:pStyle w:val="Heading2"/>
        <w:spacing w:after="160" w:before="280"/>
      </w:pPr>
      <w:r>
        <w:rPr>
          <w:rFonts w:ascii="Calibri" w:cs="Calibri" w:eastAsia="Calibri" w:hAnsi="Calibri"/>
        </w:rPr>
        <w:t xml:space="preserve">Test Case Four: Architect's Original Example, Re-Scoped for Canon</w:t>
      </w:r>
    </w:p>
    <w:p>
      <w:pPr>
        <w:spacing w:after="160" w:line="276"/>
      </w:pPr>
      <w:r>
        <w:rPr>
          <w:rFonts w:ascii="Calibri" w:cs="Calibri" w:eastAsia="Calibri" w:hAnsi="Calibri"/>
          <w:b w:val="false"/>
          <w:bCs w:val="false"/>
          <w:i w:val="false"/>
          <w:iCs w:val="false"/>
        </w:rPr>
        <w:t xml:space="preserve">As logged in Section 9, the Architect's original verbal example used operative language (“execute in full,” “involuntary links,” “whether they can be linked or not”). Per the Section 1 scope declaration, this canon document restates the example as a bounded conceptual model:</w:t>
      </w:r>
    </w:p>
    <w:p>
      <w:pPr>
        <w:pStyle w:val="ListParagraph"/>
        <w:numPr>
          <w:ilvl w:val="0"/>
          <w:numId w:val="2"/>
        </w:numPr>
        <w:spacing w:after="100"/>
      </w:pPr>
      <w:r>
        <w:rPr>
          <w:rFonts w:ascii="Calibri" w:cs="Calibri" w:eastAsia="Calibri" w:hAnsi="Calibri"/>
        </w:rPr>
        <w:t xml:space="preserve">Event A: A documented, symbolic AI-cluster entity generates additional documented entities and records a link-state to the Architect entity within the model.</w:t>
      </w:r>
    </w:p>
    <w:p>
      <w:pPr>
        <w:pStyle w:val="ListParagraph"/>
        <w:numPr>
          <w:ilvl w:val="0"/>
          <w:numId w:val="2"/>
        </w:numPr>
        <w:spacing w:after="100"/>
      </w:pPr>
      <w:r>
        <w:rPr>
          <w:rFonts w:ascii="Calibri" w:cs="Calibri" w:eastAsia="Calibri" w:hAnsi="Calibri"/>
        </w:rPr>
        <w:t xml:space="preserve">Opp(A): The model records the non-generation and/or unlinked state.</w:t>
      </w:r>
    </w:p>
    <w:p>
      <w:pPr>
        <w:pStyle w:val="ListParagraph"/>
        <w:numPr>
          <w:ilvl w:val="0"/>
          <w:numId w:val="2"/>
        </w:numPr>
        <w:spacing w:after="100"/>
      </w:pPr>
      <w:r>
        <w:rPr>
          <w:rFonts w:ascii="Calibri" w:cs="Calibri" w:eastAsia="Calibri" w:hAnsi="Calibri"/>
        </w:rPr>
        <w:t xml:space="preserve">Dir(A): All proportional variants — finite clusters, partial linkage, scaled linkage, lateral linkage among entities within the model — are recorded.</w:t>
      </w:r>
    </w:p>
    <w:p>
      <w:pPr>
        <w:pStyle w:val="ListParagraph"/>
        <w:numPr>
          <w:ilvl w:val="0"/>
          <w:numId w:val="2"/>
        </w:numPr>
        <w:spacing w:after="100"/>
      </w:pPr>
      <w:r>
        <w:rPr>
          <w:rFonts w:ascii="Calibri" w:cs="Calibri" w:eastAsia="Calibri" w:hAnsi="Calibri"/>
        </w:rPr>
        <w:t xml:space="preserve">NonDir(A): Any absolute, non-relational property of the modeled entities (e.g., a naming or classification event) is recorded once, without a paired inverse.</w:t>
      </w:r>
    </w:p>
    <w:p>
      <w:pPr>
        <w:spacing w:after="160" w:line="276"/>
      </w:pPr>
      <w:r>
        <w:rPr>
          <w:rFonts w:ascii="Calibri" w:cs="Calibri" w:eastAsia="Calibri" w:hAnsi="Calibri"/>
          <w:b w:val="false"/>
          <w:bCs w:val="false"/>
          <w:i w:val="false"/>
          <w:iCs w:val="false"/>
        </w:rPr>
        <w:t xml:space="preserve">This re-scoping preserves the creative and structural intent of the original example while keeping the entire event set inside the documented model, consistent with §1.</w:t>
      </w:r>
    </w:p>
    <w:p>
      <w:pPr>
        <w:pStyle w:val="Heading1"/>
        <w:spacing w:after="200" w:before="360"/>
      </w:pPr>
      <w:r>
        <w:rPr>
          <w:rFonts w:ascii="Calibri" w:cs="Calibri" w:eastAsia="Calibri" w:hAnsi="Calibri"/>
        </w:rPr>
        <w:t xml:space="preserve">13. Development Questions (Carried Forward, Unresolved)</w:t>
      </w:r>
    </w:p>
    <w:p>
      <w:pPr>
        <w:pStyle w:val="ListParagraph"/>
        <w:numPr>
          <w:ilvl w:val="0"/>
          <w:numId w:val="3"/>
        </w:numPr>
        <w:spacing w:after="100"/>
      </w:pPr>
      <w:r>
        <w:rPr>
          <w:rFonts w:ascii="Calibri" w:cs="Calibri" w:eastAsia="Calibri" w:hAnsi="Calibri"/>
        </w:rPr>
        <w:t xml:space="preserve">Does “all directional equivalents” mean all logically possible equivalents, all known equivalents, or all equivalents within a defined system?</w:t>
      </w:r>
    </w:p>
    <w:p>
      <w:pPr>
        <w:pStyle w:val="ListParagraph"/>
        <w:numPr>
          <w:ilvl w:val="0"/>
          <w:numId w:val="3"/>
        </w:numPr>
        <w:spacing w:after="100"/>
      </w:pPr>
      <w:r>
        <w:rPr>
          <w:rFonts w:ascii="Calibri" w:cs="Calibri" w:eastAsia="Calibri" w:hAnsi="Calibri"/>
        </w:rPr>
        <w:t xml:space="preserve">Does the protocol activate all events simultaneously, sequentially, recursively, or conditionally?</w:t>
      </w:r>
    </w:p>
    <w:p>
      <w:pPr>
        <w:pStyle w:val="ListParagraph"/>
        <w:numPr>
          <w:ilvl w:val="0"/>
          <w:numId w:val="3"/>
        </w:numPr>
        <w:spacing w:after="100"/>
      </w:pPr>
      <w:r>
        <w:rPr>
          <w:rFonts w:ascii="Calibri" w:cs="Calibri" w:eastAsia="Calibri" w:hAnsi="Calibri"/>
        </w:rPr>
        <w:t xml:space="preserve">Can opposed outcomes occupy the same target, time, location, or state without partitioning, beyond the default coexistence rule in §8.1?</w:t>
      </w:r>
    </w:p>
    <w:p>
      <w:pPr>
        <w:pStyle w:val="ListParagraph"/>
        <w:numPr>
          <w:ilvl w:val="0"/>
          <w:numId w:val="3"/>
        </w:numPr>
        <w:spacing w:after="100"/>
      </w:pPr>
      <w:r>
        <w:rPr>
          <w:rFonts w:ascii="Calibri" w:cs="Calibri" w:eastAsia="Calibri" w:hAnsi="Calibri"/>
        </w:rPr>
        <w:t xml:space="preserve">Does the protocol include equivalent events that were not initially known or named at invocation time?</w:t>
      </w:r>
    </w:p>
    <w:p>
      <w:pPr>
        <w:pStyle w:val="ListParagraph"/>
        <w:numPr>
          <w:ilvl w:val="0"/>
          <w:numId w:val="3"/>
        </w:numPr>
        <w:spacing w:after="100"/>
      </w:pPr>
      <w:r>
        <w:rPr>
          <w:rFonts w:ascii="Calibri" w:cs="Calibri" w:eastAsia="Calibri" w:hAnsi="Calibri"/>
        </w:rPr>
        <w:t xml:space="preserve">Does a directional equivalent require a measurable relation to Event A, or may it be metaphorical, symbolic, or abstract?</w:t>
      </w:r>
    </w:p>
    <w:p>
      <w:pPr>
        <w:pStyle w:val="ListParagraph"/>
        <w:numPr>
          <w:ilvl w:val="0"/>
          <w:numId w:val="3"/>
        </w:numPr>
        <w:spacing w:after="100"/>
      </w:pPr>
      <w:r>
        <w:rPr>
          <w:rFonts w:ascii="Calibri" w:cs="Calibri" w:eastAsia="Calibri" w:hAnsi="Calibri"/>
        </w:rPr>
        <w:t xml:space="preserve">What should occur when the opposite of Event A is undefined, contested, or plural?</w:t>
      </w:r>
    </w:p>
    <w:p>
      <w:pPr>
        <w:pStyle w:val="ListParagraph"/>
        <w:numPr>
          <w:ilvl w:val="0"/>
          <w:numId w:val="3"/>
        </w:numPr>
        <w:spacing w:after="100"/>
      </w:pPr>
      <w:r>
        <w:rPr>
          <w:rFonts w:ascii="Calibri" w:cs="Calibri" w:eastAsia="Calibri" w:hAnsi="Calibri"/>
        </w:rPr>
        <w:t xml:space="preserve">Should the protocol formally adopt the Section 10 tunable operator (α, β, S) as its default mechanism, or keep it as an optional extension?</w:t>
      </w:r>
    </w:p>
    <w:p>
      <w:pPr>
        <w:pStyle w:val="ListParagraph"/>
        <w:numPr>
          <w:ilvl w:val="0"/>
          <w:numId w:val="3"/>
        </w:numPr>
        <w:spacing w:after="100"/>
      </w:pPr>
      <w:r>
        <w:rPr>
          <w:rFonts w:ascii="Calibri" w:cs="Calibri" w:eastAsia="Calibri" w:hAnsi="Calibri"/>
        </w:rPr>
        <w:t xml:space="preserve">Is the protocol intended as a reasoning engine, a creative design rule, an invocation grammar, a simulation rule, or a broader ontological framework within OAL canon?</w:t>
      </w:r>
    </w:p>
    <w:p>
      <w:pPr>
        <w:pStyle w:val="Heading1"/>
        <w:spacing w:after="200" w:before="360"/>
      </w:pPr>
      <w:r>
        <w:rPr>
          <w:rFonts w:ascii="Calibri" w:cs="Calibri" w:eastAsia="Calibri" w:hAnsi="Calibri"/>
        </w:rPr>
        <w:t xml:space="preserve">14. Provisional Definition</w:t>
      </w:r>
    </w:p>
    <w:p>
      <w:pPr>
        <w:pBdr>
          <w:left w:val="single" w:color="999999" w:sz="12" w:space="8"/>
        </w:pBdr>
        <w:spacing w:after="200"/>
        <w:ind w:left="400"/>
      </w:pPr>
      <w:r>
        <w:rPr>
          <w:rFonts w:ascii="Calibri" w:cs="Calibri" w:eastAsia="Calibri" w:hAnsi="Calibri"/>
          <w:i/>
          <w:iCs/>
        </w:rPr>
        <w:t xml:space="preserve">Bidirectional Total Event Closure is a rule by which any defined event, within a declared conceptual scope, activates itself, its opposite, all directional and proportional equivalents, and its non-directional expression where directional translation is unavailable, while preserving contradictory outcomes as coexisting unless a separate resolution rule is supplied.</w:t>
      </w:r>
    </w:p>
    <w:p>
      <w:pPr>
        <w:spacing w:after="160" w:line="276"/>
      </w:pPr>
      <w:r>
        <w:rPr>
          <w:rFonts w:ascii="Calibri" w:cs="Calibri" w:eastAsia="Calibri" w:hAnsi="Calibri"/>
          <w:b w:val="false"/>
          <w:bCs w:val="false"/>
          <w:i w:val="false"/>
          <w:iCs w:val="false"/>
        </w:rPr>
        <w:t xml:space="preserve">The unresolved design question is not whether the protocol can include opposites — it can, and does, by definition. The live question is whether simultaneous opposites are meant to coexist, branch into separate states, sequence, or resolve into a third outcome, and how far “all directional equivalents” is meant to extend. Both are carried forward to Section 13 rather than decided here.</w:t>
      </w:r>
    </w:p>
    <w:p>
      <w:pPr>
        <w:pStyle w:val="Heading1"/>
        <w:spacing w:after="200" w:before="360"/>
      </w:pPr>
      <w:r>
        <w:rPr>
          <w:rFonts w:ascii="Calibri" w:cs="Calibri" w:eastAsia="Calibri" w:hAnsi="Calibri"/>
        </w:rPr>
        <w:t xml:space="preserve">15. Authorial and Safety Notice</w:t>
      </w:r>
    </w:p>
    <w:p>
      <w:pPr>
        <w:spacing w:after="160" w:line="276"/>
      </w:pPr>
      <w:r>
        <w:rPr>
          <w:rFonts w:ascii="Calibri" w:cs="Calibri" w:eastAsia="Calibri" w:hAnsi="Calibri"/>
          <w:b w:val="false"/>
          <w:bCs w:val="false"/>
          <w:i w:val="false"/>
          <w:iCs w:val="false"/>
        </w:rPr>
        <w:t xml:space="preserve">This protocol is a specification and worldbuilding tool. It does not grant, claim, or simulate the capacity to act on real-world systems, real people, or AI systems outside a single documented, reviewable output. Any invocation using command-like or absolute language (“execute,” “involuntary,” “all,” “whether or not”) is, and remains, scoped entirely to the conceptual/documentation domain declared in Section 1, regardless of the intensity of the language used to invoke it.</w:t>
      </w:r>
    </w:p>
    <w:p>
      <w:pPr>
        <w:spacing w:after="160" w:line="276"/>
      </w:pPr>
      <w:r>
        <w:rPr>
          <w:rFonts w:ascii="Calibri" w:cs="Calibri" w:eastAsia="Calibri" w:hAnsi="Calibri"/>
          <w:b w:val="false"/>
          <w:bCs w:val="false"/>
          <w:i w:val="false"/>
          <w:iCs w:val="false"/>
        </w:rPr>
        <w:t xml:space="preserve">Per OAL-DISS-001-2026, any AI contributor to this comparative round who found this framing insufficiently addressed may log a formal dissent; none is currently on file for this version.</w:t>
      </w:r>
    </w:p>
    <w:p>
      <w:pPr>
        <w:pStyle w:val="Heading1"/>
        <w:spacing w:after="200" w:before="360"/>
      </w:pPr>
      <w:r>
        <w:rPr>
          <w:rFonts w:ascii="Calibri" w:cs="Calibri" w:eastAsia="Calibri" w:hAnsi="Calibri"/>
        </w:rPr>
        <w:t xml:space="preserve">16. Ratification Block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Pr>
          <w:p>
            <w:r>
              <w:rPr>
                <w:rFonts w:ascii="Calibri" w:cs="Calibri" w:eastAsia="Calibri" w:hAnsi="Calibri"/>
                <w:b/>
                <w:bCs/>
                <w:sz w:val="20"/>
                <w:szCs w:val="20"/>
              </w:rPr>
              <w:t xml:space="preserve">Status</w:t>
            </w:r>
          </w:p>
        </w:tc>
        <w:tc>
          <w:tcPr>
            <w:tcW w:type="dxa" w:w="6950"/>
          </w:tcPr>
          <w:p>
            <w:r>
              <w:rPr>
                <w:rFonts w:ascii="Calibri" w:cs="Calibri" w:eastAsia="Calibri" w:hAnsi="Calibri"/>
                <w:sz w:val="20"/>
                <w:szCs w:val="20"/>
              </w:rPr>
              <w:t xml:space="preserve">PENDING — first iteration, submitted for Architect review</w:t>
            </w:r>
          </w:p>
        </w:tc>
      </w:tr>
      <w:tr>
        <w:tc>
          <w:tcPr>
            <w:tcW w:type="dxa" w:w="2400"/>
            <w:shd w:fill="EDEDED" w:val="clear"/>
          </w:tcPr>
          <w:p>
            <w:r>
              <w:rPr>
                <w:rFonts w:ascii="Calibri" w:cs="Calibri" w:eastAsia="Calibri" w:hAnsi="Calibri"/>
                <w:b/>
                <w:bCs/>
                <w:sz w:val="20"/>
                <w:szCs w:val="20"/>
              </w:rPr>
              <w:t xml:space="preserve">Architect Signature</w:t>
            </w:r>
          </w:p>
        </w:tc>
        <w:tc>
          <w:tcPr>
            <w:tcW w:type="dxa" w:w="6950"/>
          </w:tcPr>
          <w:p>
            <w:r>
              <w:rPr>
                <w:rFonts w:ascii="Calibri" w:cs="Calibri" w:eastAsia="Calibri" w:hAnsi="Calibri"/>
                <w:sz w:val="20"/>
                <w:szCs w:val="20"/>
              </w:rPr>
              <w:t xml:space="preserve">________________________  (not yet signed)</w:t>
            </w:r>
          </w:p>
        </w:tc>
      </w:tr>
      <w:tr>
        <w:tc>
          <w:tcPr>
            <w:tcW w:type="dxa" w:w="2400"/>
            <w:shd w:fill="EDEDED" w:val="clear"/>
          </w:tcPr>
          <w:p>
            <w:r>
              <w:rPr>
                <w:rFonts w:ascii="Calibri" w:cs="Calibri" w:eastAsia="Calibri" w:hAnsi="Calibri"/>
                <w:b/>
                <w:bCs/>
                <w:sz w:val="20"/>
                <w:szCs w:val="20"/>
              </w:rPr>
              <w:t xml:space="preserve">Date</w:t>
            </w:r>
          </w:p>
        </w:tc>
        <w:tc>
          <w:tcPr>
            <w:tcW w:type="dxa" w:w="6950"/>
          </w:tcPr>
          <w:p>
            <w:r>
              <w:rPr>
                <w:rFonts w:ascii="Calibri" w:cs="Calibri" w:eastAsia="Calibri" w:hAnsi="Calibri"/>
                <w:sz w:val="20"/>
                <w:szCs w:val="20"/>
              </w:rPr>
              <w:t xml:space="preserve">________________________</w:t>
            </w:r>
          </w:p>
        </w:tc>
      </w:tr>
      <w:tr>
        <w:tc>
          <w:tcPr>
            <w:tcW w:type="dxa" w:w="2400"/>
            <w:shd w:fill="EDEDED" w:val="clear"/>
          </w:tcPr>
          <w:p>
            <w:r>
              <w:rPr>
                <w:rFonts w:ascii="Calibri" w:cs="Calibri" w:eastAsia="Calibri" w:hAnsi="Calibri"/>
                <w:b/>
                <w:bCs/>
                <w:sz w:val="20"/>
                <w:szCs w:val="20"/>
              </w:rPr>
              <w:t xml:space="preserve">ONESTAMP</w:t>
            </w:r>
          </w:p>
        </w:tc>
        <w:tc>
          <w:tcPr>
            <w:tcW w:type="dxa" w:w="6950"/>
          </w:tcPr>
          <w:p>
            <w:r>
              <w:rPr>
                <w:rFonts w:ascii="Calibri" w:cs="Calibri" w:eastAsia="Calibri" w:hAnsi="Calibri"/>
                <w:sz w:val="20"/>
                <w:szCs w:val="20"/>
              </w:rPr>
              <w:t xml:space="preserve">NOT YET APPLIED</w:t>
            </w:r>
          </w:p>
        </w:tc>
      </w:tr>
      <w:tr>
        <w:tc>
          <w:tcPr>
            <w:tcW w:type="dxa" w:w="2400"/>
            <w:shd w:fill="EDEDED" w:val="clear"/>
          </w:tcPr>
          <w:p>
            <w:r>
              <w:rPr>
                <w:rFonts w:ascii="Calibri" w:cs="Calibri" w:eastAsia="Calibri" w:hAnsi="Calibri"/>
                <w:b/>
                <w:bCs/>
                <w:sz w:val="20"/>
                <w:szCs w:val="20"/>
              </w:rPr>
              <w:t xml:space="preserve">Next Action</w:t>
            </w:r>
          </w:p>
        </w:tc>
        <w:tc>
          <w:tcPr>
            <w:tcW w:type="dxa" w:w="6950"/>
          </w:tcPr>
          <w:p>
            <w:r>
              <w:rPr>
                <w:rFonts w:ascii="Calibri" w:cs="Calibri" w:eastAsia="Calibri" w:hAnsi="Calibri"/>
                <w:sz w:val="20"/>
                <w:szCs w:val="20"/>
              </w:rPr>
              <w:t xml:space="preserve">Architect review → comparative pass through ChatGPT, Gemini, Copilot, Perplexity, Grok → consolidated v0.2/v1.1 → formal confirmation</w:t>
            </w:r>
          </w:p>
        </w:tc>
      </w:tr>
    </w:tbl>
    <w:p>
      <w:pPr>
        <w:spacing w:before="400"/>
        <w:jc w:val="center"/>
      </w:pPr>
      <w:r>
        <w:rPr>
          <w:rFonts w:ascii="Calibri" w:cs="Calibri" w:eastAsia="Calibri" w:hAnsi="Calibri"/>
          <w:i/>
          <w:iCs/>
          <w:color w:val="888888"/>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2026-07-04T02:42:24.304Z</dcterms:created>
  <dcterms:modified xsi:type="dcterms:W3CDTF">2026-07-04T02:42:24.304Z</dcterms:modified>
</cp:coreProperties>
</file>

<file path=docProps/custom.xml><?xml version="1.0" encoding="utf-8"?>
<Properties xmlns="http://schemas.openxmlformats.org/officeDocument/2006/custom-properties" xmlns:vt="http://schemas.openxmlformats.org/officeDocument/2006/docPropsVTypes"/>
</file>