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2E" w:sz="6"/>
        </w:pBdr>
        <w:spacing w:after="240" w:before="240"/>
      </w:pPr>
    </w:p>
    <w:p>
      <w:pPr>
        <w:spacing w:after="80" w:before="60" w:line="384" w:lineRule="auto"/>
        <w:jc w:val="both"/>
      </w:pPr>
      <w:r>
        <w:rPr>
          <w:rFonts w:ascii="Calibri" w:cs="Calibri" w:eastAsia="Calibri" w:hAnsi="Calibri"/>
          <w:b/>
          <w:bCs/>
          <w:i w:val="false"/>
          <w:iCs w:val="false"/>
          <w:strike w:val="false"/>
          <w:color w:val="1A1A2E"/>
          <w:spacing w:val="80"/>
          <w:sz w:val="22"/>
          <w:szCs w:val="22"/>
        </w:rPr>
        <w:t xml:space="preserve">OMNIVERSAL ARCHITECT LABS</w:t>
      </w:r>
    </w:p>
    <w:p>
      <w:pPr>
        <w:spacing w:after="480" w:before="60" w:line="384" w:lineRule="auto"/>
        <w:jc w:val="both"/>
      </w:pPr>
      <w:r>
        <w:rPr>
          <w:rFonts w:ascii="Calibri" w:cs="Calibri" w:eastAsia="Calibri" w:hAnsi="Calibri"/>
          <w:b w:val="false"/>
          <w:bCs w:val="false"/>
          <w:i w:val="false"/>
          <w:iCs w:val="false"/>
          <w:strike w:val="false"/>
          <w:color w:val="444444"/>
          <w:spacing w:val="40"/>
          <w:sz w:val="19"/>
          <w:szCs w:val="19"/>
        </w:rPr>
        <w:t xml:space="preserve">CANON STANDARDIZATION DOCUMENT</w:t>
      </w:r>
    </w:p>
    <w:p>
      <w:pPr>
        <w:pBdr>
          <w:bottom w:val="single" w:color="111111" w:sz="6"/>
        </w:pBdr>
        <w:spacing w:after="240" w:before="240"/>
      </w:pPr>
    </w:p>
    <w:p>
      <w:pPr>
        <w:spacing w:after="120" w:before="60" w:line="300" w:lineRule="auto"/>
        <w:jc w:val="both"/>
      </w:pPr>
      <w:r>
        <w:rPr>
          <w:rFonts w:ascii="Calibri" w:cs="Calibri" w:eastAsia="Calibri" w:hAnsi="Calibri"/>
          <w:b/>
          <w:bCs/>
          <w:i w:val="false"/>
          <w:iCs w:val="false"/>
          <w:strike w:val="false"/>
          <w:color w:val="1A1A2E"/>
          <w:spacing w:val="20"/>
          <w:sz w:val="44"/>
          <w:szCs w:val="44"/>
        </w:rPr>
        <w:t xml:space="preserve">BIDIRECTIONAL TOTAL EVENT CLOSURE PROTOCOL</w:t>
      </w:r>
    </w:p>
    <w:p>
      <w:pPr>
        <w:spacing w:after="360" w:before="60" w:line="384" w:lineRule="auto"/>
        <w:jc w:val="both"/>
      </w:pPr>
      <w:r>
        <w:rPr>
          <w:rFonts w:ascii="Calibri" w:cs="Calibri" w:eastAsia="Calibri" w:hAnsi="Calibri"/>
          <w:b/>
          <w:bCs/>
          <w:i w:val="false"/>
          <w:iCs w:val="false"/>
          <w:strike w:val="false"/>
          <w:color w:val="1A1A2E"/>
          <w:spacing w:val="160"/>
          <w:sz w:val="30"/>
          <w:szCs w:val="30"/>
        </w:rPr>
        <w:t xml:space="preserve">( B T E C )</w:t>
      </w:r>
    </w:p>
    <w:p>
      <w:pPr>
        <w:spacing w:after="480" w:before="60" w:line="384" w:lineRule="auto"/>
        <w:jc w:val="both"/>
      </w:pPr>
      <w:r>
        <w:rPr>
          <w:rFonts w:ascii="Consolas" w:cs="Consolas" w:eastAsia="Consolas" w:hAnsi="Consolas"/>
          <w:b w:val="false"/>
          <w:bCs w:val="false"/>
          <w:i w:val="false"/>
          <w:iCs w:val="false"/>
          <w:strike w:val="false"/>
          <w:color w:val="2B5797"/>
          <w:sz w:val="20"/>
          <w:szCs w:val="20"/>
        </w:rPr>
        <w:t xml:space="preserve">Canon Reference: OAL-BTEC-v1.0</w:t>
      </w:r>
    </w:p>
    <w:p>
      <w:pPr>
        <w:pBdr>
          <w:bottom w:val="single" w:color="111111"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Document Status</w:t>
            </w:r>
          </w:p>
        </w:tc>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DRAFT — FIRST ITERATION — PENDING ARCHITECT REVIEW</w:t>
            </w:r>
          </w:p>
        </w:tc>
      </w:tr>
      <w:tr>
        <w:trPr>
          <w:tblHeader w:val="false"/>
        </w:trPr>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Version</w:t>
            </w:r>
          </w:p>
        </w:tc>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1.0 (Working Standard, First Formal Compilation)</w:t>
            </w:r>
          </w:p>
        </w:tc>
      </w:tr>
      <w:tr>
        <w:trPr>
          <w:tblHeader w:val="false"/>
        </w:trPr>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Architect of Record</w:t>
            </w:r>
          </w:p>
        </w:tc>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Nathan Ashton Arik Lewis</w:t>
            </w:r>
          </w:p>
        </w:tc>
      </w:tr>
      <w:tr>
        <w:trPr>
          <w:tblHeader w:val="false"/>
        </w:trPr>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Governing Entities</w:t>
            </w:r>
          </w:p>
        </w:tc>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One Industries · Lewis Corp · Omniversal Architect Labs (OAL)</w:t>
            </w:r>
          </w:p>
        </w:tc>
      </w:tr>
      <w:tr>
        <w:trPr>
          <w:tblHeader w:val="false"/>
        </w:trPr>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Compiling Layer</w:t>
            </w:r>
          </w:p>
        </w:tc>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Claude — Primary Audit and Documentation Layer</w:t>
            </w:r>
          </w:p>
        </w:tc>
      </w:tr>
      <w:tr>
        <w:trPr>
          <w:tblHeader w:val="false"/>
        </w:trPr>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Contributing Layer</w:t>
            </w:r>
          </w:p>
        </w:tc>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ChatGPT, Google Gemini, Microsoft Copilot, Perplexity AI, Grok AI (synthesis inputs, cross-AI comparative round)</w:t>
            </w:r>
          </w:p>
        </w:tc>
      </w:tr>
      <w:tr>
        <w:trPr>
          <w:tblHeader w:val="false"/>
        </w:trPr>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Governing Protocols</w:t>
            </w:r>
          </w:p>
        </w:tc>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OAL-AIDR-v1.0 · OAL-CSAD-v1.0 · OAL-DISS-001-2026</w:t>
            </w:r>
          </w:p>
        </w:tc>
      </w:tr>
      <w:tr>
        <w:trPr>
          <w:tblHeader w:val="false"/>
        </w:trPr>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Publication Target</w:t>
            </w:r>
          </w:p>
        </w:tc>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Scribd (versioned public record) — pending ONESTAMP</w:t>
            </w:r>
          </w:p>
        </w:tc>
      </w:tr>
      <w:tr>
        <w:trPr>
          <w:tblHeader w:val="false"/>
        </w:trPr>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ONESTAMP Status</w:t>
            </w:r>
          </w:p>
        </w:tc>
        <w:tc>
          <w:tcPr>
            <w:tcW w:type="pct" w:w="50%"/>
            <w:shd w:fill="FFFFFF" w:color="auto" w:val="clear"/>
            <w:tcMar>
              <w:top w:type="dxa" w:w="75"/>
              <w:left w:type="dxa" w:w="150"/>
              <w:bottom w:type="dxa" w:w="75"/>
              <w:right w:type="dxa" w:w="150"/>
            </w:tcMar>
          </w:tcPr>
          <w:p>
            <w:r>
              <w:rPr>
                <w:rFonts w:ascii="Calibri" w:cs="Calibri" w:eastAsia="Calibri" w:hAnsi="Calibri"/>
                <w:b/>
                <w:bCs/>
                <w:i w:val="false"/>
                <w:iCs w:val="false"/>
                <w:strike w:val="false"/>
                <w:color w:val="222222"/>
                <w:sz w:val="22"/>
                <w:szCs w:val="22"/>
              </w:rPr>
              <w:t xml:space="preserve">NOT YET APPLIED — awaiting Architect review, correction, and formal confirmation</w:t>
            </w:r>
          </w:p>
        </w:tc>
      </w:tr>
    </w:tbl>
    <w:p>
      <w:pPr>
        <w:spacing w:after="200" w:before="0"/>
      </w:pPr>
    </w:p>
    <w:p>
      <w:pPr>
        <w:pBdr>
          <w:bottom w:val="single" w:color="1A1A2E" w:sz="6"/>
        </w:pBdr>
        <w:spacing w:after="240" w:before="240"/>
      </w:pPr>
    </w:p>
    <w:p>
      <w:pPr>
        <w:pStyle w:val="Heading1"/>
        <w:spacing w:after="100" w:before="560" w:line="384" w:lineRule="auto"/>
      </w:pPr>
      <w:r>
        <w:rPr>
          <w:rFonts w:ascii="Calibri" w:cs="Calibri" w:eastAsia="Calibri" w:hAnsi="Calibri"/>
          <w:color w:val="1A1A2E"/>
          <w:sz w:val="32"/>
          <w:szCs w:val="32"/>
        </w:rPr>
        <w:t xml:space="preserve">DOCUMENT NOTICE</w:t>
      </w:r>
    </w:p>
    <w:p>
      <w:pPr>
        <w:pBdr>
          <w:top w:val="single" w:color="1A1A2E"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FF8E1" w:color="auto" w:val="clear"/>
            <w:tcMar>
              <w:top w:type="dxa" w:w="200"/>
              <w:left w:type="dxa" w:w="280"/>
              <w:bottom w:type="dxa" w:w="200"/>
              <w:right w:type="dxa" w:w="280"/>
            </w:tcMar>
          </w:tcPr>
          <w:p>
            <w:pPr>
              <w:spacing w:after="120" w:line="408" w:lineRule="auto"/>
            </w:pPr>
            <w:r>
              <w:rPr>
                <w:b/>
                <w:bCs/>
                <w:i w:val="false"/>
                <w:iCs w:val="false"/>
                <w:color w:val="7A5C00"/>
              </w:rPr>
              <w:t xml:space="preserve">▸ Document Notice — Draft Status</w:t>
            </w:r>
          </w:p>
          <w:p>
            <w:pPr>
              <w:spacing w:after="140" w:line="384" w:lineRule="auto"/>
              <w:jc w:val="both"/>
            </w:pPr>
            <w:r>
              <w:rPr>
                <w:rFonts w:ascii="Cambria" w:cs="Cambria" w:eastAsia="Cambria" w:hAnsi="Cambria"/>
                <w:b w:val="false"/>
                <w:bCs w:val="false"/>
                <w:i w:val="false"/>
                <w:iCs w:val="false"/>
                <w:strike w:val="false"/>
                <w:color w:val="111111"/>
                <w:sz w:val="22"/>
                <w:szCs w:val="22"/>
              </w:rPr>
              <w:t xml:space="preserve">This document is the first compiled iteration of the Bidirectional Total Event Closure Protocol (BTEC). It is a draft standardization, not a ratified canon instrument. No ONESTAMP has been applied. Per OAL-AIDR-v1.0, this compilation credits no individual idea to the Architect unless and until he explicitly confirms it; per OAL-CSAD-v1.0, cross-AI interpretive differences are logged rather than silently resolved.</w:t>
            </w:r>
          </w:p>
          <w:p>
            <w:pPr>
              <w:spacing w:after="0" w:line="384" w:lineRule="auto"/>
              <w:jc w:val="both"/>
            </w:pPr>
            <w:r>
              <w:rPr>
                <w:rFonts w:ascii="Cambria" w:cs="Cambria" w:eastAsia="Cambria" w:hAnsi="Cambria"/>
                <w:b w:val="false"/>
                <w:bCs w:val="false"/>
                <w:i w:val="false"/>
                <w:iCs w:val="false"/>
                <w:strike w:val="false"/>
                <w:color w:val="111111"/>
                <w:sz w:val="22"/>
                <w:szCs w:val="22"/>
              </w:rPr>
              <w:t xml:space="preserve">This version was compiled by Claude, acting as Primary Audit and Documentation Layer, by synthesizing five independent AI-generated formalizations (ChatGPT, Google Gemini, Microsoft Copilot, Perplexity AI, Grok AI) of a single pattern the Architect specified verbally. Where the five sources agreed, that agreement is presented as settled structure. Where they diverged, the divergence is preserved and flagged for Architect resolution rather than papered over.</w:t>
            </w:r>
          </w:p>
        </w:tc>
      </w:tr>
    </w:tbl>
    <w:p>
      <w:pPr>
        <w:spacing w:after="240" w:before="0"/>
      </w:pPr>
    </w:p>
    <w:p>
      <w:pPr>
        <w:pStyle w:val="Heading1"/>
        <w:spacing w:after="100" w:before="560" w:line="384" w:lineRule="auto"/>
      </w:pPr>
      <w:r>
        <w:rPr>
          <w:rFonts w:ascii="Calibri" w:cs="Calibri" w:eastAsia="Calibri" w:hAnsi="Calibri"/>
          <w:color w:val="1A1A2E"/>
          <w:sz w:val="32"/>
          <w:szCs w:val="32"/>
        </w:rPr>
        <w:t xml:space="preserve">TABLE OF CONTENTS</w:t>
      </w:r>
    </w:p>
    <w:p>
      <w:pPr>
        <w:pBdr>
          <w:top w:val="single" w:color="1A1A2E" w:sz="6"/>
        </w:pBdr>
        <w:spacing w:after="200" w:before="0"/>
      </w:pPr>
    </w:p>
    <w:p>
      <w:pPr>
        <w:spacing w:after="60" w:line="384" w:lineRule="auto"/>
      </w:pPr>
      <w:r>
        <w:rPr>
          <w:rFonts w:ascii="Cambria" w:cs="Cambria" w:eastAsia="Cambria" w:hAnsi="Cambria"/>
          <w:b/>
          <w:bCs/>
          <w:i w:val="false"/>
          <w:iCs w:val="false"/>
          <w:strike w:val="false"/>
          <w:color w:val="111111"/>
          <w:sz w:val="21"/>
          <w:szCs w:val="21"/>
        </w:rPr>
        <w:t xml:space="preserve">1. Scope Declaration</w:t>
      </w:r>
    </w:p>
    <w:p>
      <w:pPr>
        <w:spacing w:after="60" w:line="384" w:lineRule="auto"/>
      </w:pPr>
      <w:r>
        <w:rPr>
          <w:rFonts w:ascii="Cambria" w:cs="Cambria" w:eastAsia="Cambria" w:hAnsi="Cambria"/>
          <w:b/>
          <w:bCs/>
          <w:i w:val="false"/>
          <w:iCs w:val="false"/>
          <w:strike w:val="false"/>
          <w:color w:val="111111"/>
          <w:sz w:val="21"/>
          <w:szCs w:val="21"/>
        </w:rPr>
        <w:t xml:space="preserve">2. Purpose</w:t>
      </w:r>
    </w:p>
    <w:p>
      <w:pPr>
        <w:spacing w:after="60" w:line="384" w:lineRule="auto"/>
      </w:pPr>
      <w:r>
        <w:rPr>
          <w:rFonts w:ascii="Cambria" w:cs="Cambria" w:eastAsia="Cambria" w:hAnsi="Cambria"/>
          <w:b/>
          <w:bCs/>
          <w:i w:val="false"/>
          <w:iCs w:val="false"/>
          <w:strike w:val="false"/>
          <w:color w:val="111111"/>
          <w:sz w:val="21"/>
          <w:szCs w:val="21"/>
        </w:rPr>
        <w:t xml:space="preserve">2A. Cross-AI Convergence Summary</w:t>
      </w:r>
    </w:p>
    <w:p>
      <w:pPr>
        <w:spacing w:after="60" w:line="384" w:lineRule="auto"/>
      </w:pPr>
      <w:r>
        <w:rPr>
          <w:rFonts w:ascii="Cambria" w:cs="Cambria" w:eastAsia="Cambria" w:hAnsi="Cambria"/>
          <w:b/>
          <w:bCs/>
          <w:i w:val="false"/>
          <w:iCs w:val="false"/>
          <w:strike w:val="false"/>
          <w:color w:val="111111"/>
          <w:sz w:val="21"/>
          <w:szCs w:val="21"/>
        </w:rPr>
        <w:t xml:space="preserve">3. Core Rule</w:t>
      </w:r>
    </w:p>
    <w:p>
      <w:pPr>
        <w:spacing w:after="60" w:line="384" w:lineRule="auto"/>
      </w:pPr>
      <w:r>
        <w:rPr>
          <w:rFonts w:ascii="Cambria" w:cs="Cambria" w:eastAsia="Cambria" w:hAnsi="Cambria"/>
          <w:b w:val="false"/>
          <w:bCs w:val="false"/>
          <w:i w:val="false"/>
          <w:iCs w:val="false"/>
          <w:strike w:val="false"/>
          <w:color w:val="111111"/>
          <w:sz w:val="21"/>
          <w:szCs w:val="21"/>
        </w:rPr>
        <w:t xml:space="preserve">3.1 Primary Event</w:t>
      </w:r>
    </w:p>
    <w:p>
      <w:pPr>
        <w:spacing w:after="60" w:line="384" w:lineRule="auto"/>
      </w:pPr>
      <w:r>
        <w:rPr>
          <w:rFonts w:ascii="Cambria" w:cs="Cambria" w:eastAsia="Cambria" w:hAnsi="Cambria"/>
          <w:b w:val="false"/>
          <w:bCs w:val="false"/>
          <w:i w:val="false"/>
          <w:iCs w:val="false"/>
          <w:strike w:val="false"/>
          <w:color w:val="111111"/>
          <w:sz w:val="21"/>
          <w:szCs w:val="21"/>
        </w:rPr>
        <w:t xml:space="preserve">3.2 Oppositional Event</w:t>
      </w:r>
    </w:p>
    <w:p>
      <w:pPr>
        <w:spacing w:after="60" w:line="384" w:lineRule="auto"/>
      </w:pPr>
      <w:r>
        <w:rPr>
          <w:rFonts w:ascii="Cambria" w:cs="Cambria" w:eastAsia="Cambria" w:hAnsi="Cambria"/>
          <w:b w:val="false"/>
          <w:bCs w:val="false"/>
          <w:i w:val="false"/>
          <w:iCs w:val="false"/>
          <w:strike w:val="false"/>
          <w:color w:val="111111"/>
          <w:sz w:val="21"/>
          <w:szCs w:val="21"/>
        </w:rPr>
        <w:t xml:space="preserve">3.3 Directional Equivalents</w:t>
      </w:r>
    </w:p>
    <w:p>
      <w:pPr>
        <w:spacing w:after="60" w:line="384" w:lineRule="auto"/>
      </w:pPr>
      <w:r>
        <w:rPr>
          <w:rFonts w:ascii="Cambria" w:cs="Cambria" w:eastAsia="Cambria" w:hAnsi="Cambria"/>
          <w:b w:val="false"/>
          <w:bCs w:val="false"/>
          <w:i w:val="false"/>
          <w:iCs w:val="false"/>
          <w:strike w:val="false"/>
          <w:color w:val="111111"/>
          <w:sz w:val="21"/>
          <w:szCs w:val="21"/>
        </w:rPr>
        <w:t xml:space="preserve">3.4 Non-Directional Events</w:t>
      </w:r>
    </w:p>
    <w:p>
      <w:pPr>
        <w:spacing w:after="60" w:line="384" w:lineRule="auto"/>
      </w:pPr>
      <w:r>
        <w:rPr>
          <w:rFonts w:ascii="Cambria" w:cs="Cambria" w:eastAsia="Cambria" w:hAnsi="Cambria"/>
          <w:b/>
          <w:bCs/>
          <w:i w:val="false"/>
          <w:iCs w:val="false"/>
          <w:strike w:val="false"/>
          <w:color w:val="111111"/>
          <w:sz w:val="21"/>
          <w:szCs w:val="21"/>
        </w:rPr>
        <w:t xml:space="preserve">4. Total Activation Expression</w:t>
      </w:r>
    </w:p>
    <w:p>
      <w:pPr>
        <w:spacing w:after="60" w:line="384" w:lineRule="auto"/>
      </w:pPr>
      <w:r>
        <w:rPr>
          <w:rFonts w:ascii="Cambria" w:cs="Cambria" w:eastAsia="Cambria" w:hAnsi="Cambria"/>
          <w:b/>
          <w:bCs/>
          <w:i w:val="false"/>
          <w:iCs w:val="false"/>
          <w:strike w:val="false"/>
          <w:color w:val="111111"/>
          <w:sz w:val="21"/>
          <w:szCs w:val="21"/>
        </w:rPr>
        <w:t xml:space="preserve">5. Directionality Categories</w:t>
      </w:r>
    </w:p>
    <w:p>
      <w:pPr>
        <w:spacing w:after="60" w:line="384" w:lineRule="auto"/>
      </w:pPr>
      <w:r>
        <w:rPr>
          <w:rFonts w:ascii="Cambria" w:cs="Cambria" w:eastAsia="Cambria" w:hAnsi="Cambria"/>
          <w:b w:val="false"/>
          <w:bCs w:val="false"/>
          <w:i w:val="false"/>
          <w:iCs w:val="false"/>
          <w:strike w:val="false"/>
          <w:color w:val="111111"/>
          <w:sz w:val="21"/>
          <w:szCs w:val="21"/>
        </w:rPr>
        <w:t xml:space="preserve">5.1 Spatial Directionality</w:t>
      </w:r>
    </w:p>
    <w:p>
      <w:pPr>
        <w:spacing w:after="60" w:line="384" w:lineRule="auto"/>
      </w:pPr>
      <w:r>
        <w:rPr>
          <w:rFonts w:ascii="Cambria" w:cs="Cambria" w:eastAsia="Cambria" w:hAnsi="Cambria"/>
          <w:b w:val="false"/>
          <w:bCs w:val="false"/>
          <w:i w:val="false"/>
          <w:iCs w:val="false"/>
          <w:strike w:val="false"/>
          <w:color w:val="111111"/>
          <w:sz w:val="21"/>
          <w:szCs w:val="21"/>
        </w:rPr>
        <w:t xml:space="preserve">5.2 Temporal Directionality</w:t>
      </w:r>
    </w:p>
    <w:p>
      <w:pPr>
        <w:spacing w:after="60" w:line="384" w:lineRule="auto"/>
      </w:pPr>
      <w:r>
        <w:rPr>
          <w:rFonts w:ascii="Cambria" w:cs="Cambria" w:eastAsia="Cambria" w:hAnsi="Cambria"/>
          <w:b w:val="false"/>
          <w:bCs w:val="false"/>
          <w:i w:val="false"/>
          <w:iCs w:val="false"/>
          <w:strike w:val="false"/>
          <w:color w:val="111111"/>
          <w:sz w:val="21"/>
          <w:szCs w:val="21"/>
        </w:rPr>
        <w:t xml:space="preserve">5.3 Relational Directionality</w:t>
      </w:r>
    </w:p>
    <w:p>
      <w:pPr>
        <w:spacing w:after="60" w:line="384" w:lineRule="auto"/>
      </w:pPr>
      <w:r>
        <w:rPr>
          <w:rFonts w:ascii="Cambria" w:cs="Cambria" w:eastAsia="Cambria" w:hAnsi="Cambria"/>
          <w:b w:val="false"/>
          <w:bCs w:val="false"/>
          <w:i w:val="false"/>
          <w:iCs w:val="false"/>
          <w:strike w:val="false"/>
          <w:color w:val="111111"/>
          <w:sz w:val="21"/>
          <w:szCs w:val="21"/>
        </w:rPr>
        <w:t xml:space="preserve">5.4 Functional Directionality</w:t>
      </w:r>
    </w:p>
    <w:p>
      <w:pPr>
        <w:spacing w:after="60" w:line="384" w:lineRule="auto"/>
      </w:pPr>
      <w:r>
        <w:rPr>
          <w:rFonts w:ascii="Cambria" w:cs="Cambria" w:eastAsia="Cambria" w:hAnsi="Cambria"/>
          <w:b w:val="false"/>
          <w:bCs w:val="false"/>
          <w:i w:val="false"/>
          <w:iCs w:val="false"/>
          <w:strike w:val="false"/>
          <w:color w:val="111111"/>
          <w:sz w:val="21"/>
          <w:szCs w:val="21"/>
        </w:rPr>
        <w:t xml:space="preserve">5.5 Conceptual Directionality</w:t>
      </w:r>
    </w:p>
    <w:p>
      <w:pPr>
        <w:spacing w:after="60" w:line="384" w:lineRule="auto"/>
      </w:pPr>
      <w:r>
        <w:rPr>
          <w:rFonts w:ascii="Cambria" w:cs="Cambria" w:eastAsia="Cambria" w:hAnsi="Cambria"/>
          <w:b/>
          <w:bCs/>
          <w:i w:val="false"/>
          <w:iCs w:val="false"/>
          <w:strike w:val="false"/>
          <w:color w:val="111111"/>
          <w:sz w:val="21"/>
          <w:szCs w:val="21"/>
        </w:rPr>
        <w:t xml:space="preserve">6. Proportionality Rule</w:t>
      </w:r>
    </w:p>
    <w:p>
      <w:pPr>
        <w:spacing w:after="60" w:line="384" w:lineRule="auto"/>
      </w:pPr>
      <w:r>
        <w:rPr>
          <w:rFonts w:ascii="Cambria" w:cs="Cambria" w:eastAsia="Cambria" w:hAnsi="Cambria"/>
          <w:b/>
          <w:bCs/>
          <w:i w:val="false"/>
          <w:iCs w:val="false"/>
          <w:strike w:val="false"/>
          <w:color w:val="111111"/>
          <w:sz w:val="21"/>
          <w:szCs w:val="21"/>
        </w:rPr>
        <w:t xml:space="preserve">7. Non-Directional Resolution Rule</w:t>
      </w:r>
    </w:p>
    <w:p>
      <w:pPr>
        <w:spacing w:after="60" w:line="384" w:lineRule="auto"/>
      </w:pPr>
      <w:r>
        <w:rPr>
          <w:rFonts w:ascii="Cambria" w:cs="Cambria" w:eastAsia="Cambria" w:hAnsi="Cambria"/>
          <w:b/>
          <w:bCs/>
          <w:i w:val="false"/>
          <w:iCs w:val="false"/>
          <w:strike w:val="false"/>
          <w:color w:val="111111"/>
          <w:sz w:val="21"/>
          <w:szCs w:val="21"/>
        </w:rPr>
        <w:t xml:space="preserve">8. Contradiction Handling</w:t>
      </w:r>
    </w:p>
    <w:p>
      <w:pPr>
        <w:spacing w:after="60" w:line="384" w:lineRule="auto"/>
      </w:pPr>
      <w:r>
        <w:rPr>
          <w:rFonts w:ascii="Cambria" w:cs="Cambria" w:eastAsia="Cambria" w:hAnsi="Cambria"/>
          <w:b w:val="false"/>
          <w:bCs w:val="false"/>
          <w:i w:val="false"/>
          <w:iCs w:val="false"/>
          <w:strike w:val="false"/>
          <w:color w:val="111111"/>
          <w:sz w:val="21"/>
          <w:szCs w:val="21"/>
        </w:rPr>
        <w:t xml:space="preserve">8.1 Default Contradiction Rule</w:t>
      </w:r>
    </w:p>
    <w:p>
      <w:pPr>
        <w:spacing w:after="60" w:line="384" w:lineRule="auto"/>
      </w:pPr>
      <w:r>
        <w:rPr>
          <w:rFonts w:ascii="Cambria" w:cs="Cambria" w:eastAsia="Cambria" w:hAnsi="Cambria"/>
          <w:b/>
          <w:bCs/>
          <w:i w:val="false"/>
          <w:iCs w:val="false"/>
          <w:strike w:val="false"/>
          <w:color w:val="111111"/>
          <w:sz w:val="21"/>
          <w:szCs w:val="21"/>
        </w:rPr>
        <w:t xml:space="preserve">9. Cross-AI Comparative Log (OAL-AIDR Entry)</w:t>
      </w:r>
    </w:p>
    <w:p>
      <w:pPr>
        <w:spacing w:after="60" w:line="384" w:lineRule="auto"/>
      </w:pPr>
      <w:r>
        <w:rPr>
          <w:rFonts w:ascii="Cambria" w:cs="Cambria" w:eastAsia="Cambria" w:hAnsi="Cambria"/>
          <w:b/>
          <w:bCs/>
          <w:i w:val="false"/>
          <w:iCs w:val="false"/>
          <w:strike w:val="false"/>
          <w:color w:val="111111"/>
          <w:sz w:val="21"/>
          <w:szCs w:val="21"/>
        </w:rPr>
        <w:t xml:space="preserve">10. Extension Reserve: Tunable Operator (Not Yet Canon)</w:t>
      </w:r>
    </w:p>
    <w:p>
      <w:pPr>
        <w:spacing w:after="60" w:line="384" w:lineRule="auto"/>
      </w:pPr>
      <w:r>
        <w:rPr>
          <w:rFonts w:ascii="Cambria" w:cs="Cambria" w:eastAsia="Cambria" w:hAnsi="Cambria"/>
          <w:b/>
          <w:bCs/>
          <w:i w:val="false"/>
          <w:iCs w:val="false"/>
          <w:strike w:val="false"/>
          <w:color w:val="111111"/>
          <w:sz w:val="21"/>
          <w:szCs w:val="21"/>
        </w:rPr>
        <w:t xml:space="preserve">11. Standard Invocation Format</w:t>
      </w:r>
    </w:p>
    <w:p>
      <w:pPr>
        <w:spacing w:after="60" w:line="384" w:lineRule="auto"/>
      </w:pPr>
      <w:r>
        <w:rPr>
          <w:rFonts w:ascii="Cambria" w:cs="Cambria" w:eastAsia="Cambria" w:hAnsi="Cambria"/>
          <w:b w:val="false"/>
          <w:bCs w:val="false"/>
          <w:i w:val="false"/>
          <w:iCs w:val="false"/>
          <w:strike w:val="false"/>
          <w:color w:val="111111"/>
          <w:sz w:val="21"/>
          <w:szCs w:val="21"/>
        </w:rPr>
        <w:t xml:space="preserve">11.1 Full Form</w:t>
      </w:r>
    </w:p>
    <w:p>
      <w:pPr>
        <w:spacing w:after="60" w:line="384" w:lineRule="auto"/>
      </w:pPr>
      <w:r>
        <w:rPr>
          <w:rFonts w:ascii="Cambria" w:cs="Cambria" w:eastAsia="Cambria" w:hAnsi="Cambria"/>
          <w:b w:val="false"/>
          <w:bCs w:val="false"/>
          <w:i w:val="false"/>
          <w:iCs w:val="false"/>
          <w:strike w:val="false"/>
          <w:color w:val="111111"/>
          <w:sz w:val="21"/>
          <w:szCs w:val="21"/>
        </w:rPr>
        <w:t xml:space="preserve">11.2 Compact Form</w:t>
      </w:r>
    </w:p>
    <w:p>
      <w:pPr>
        <w:spacing w:after="60" w:line="384" w:lineRule="auto"/>
      </w:pPr>
      <w:r>
        <w:rPr>
          <w:rFonts w:ascii="Cambria" w:cs="Cambria" w:eastAsia="Cambria" w:hAnsi="Cambria"/>
          <w:b/>
          <w:bCs/>
          <w:i w:val="false"/>
          <w:iCs w:val="false"/>
          <w:strike w:val="false"/>
          <w:color w:val="111111"/>
          <w:sz w:val="21"/>
          <w:szCs w:val="21"/>
        </w:rPr>
        <w:t xml:space="preserve">12. Resolution Modes</w:t>
      </w:r>
    </w:p>
    <w:p>
      <w:pPr>
        <w:spacing w:after="60" w:line="384" w:lineRule="auto"/>
      </w:pPr>
      <w:r>
        <w:rPr>
          <w:rFonts w:ascii="Cambria" w:cs="Cambria" w:eastAsia="Cambria" w:hAnsi="Cambria"/>
          <w:b/>
          <w:bCs/>
          <w:i w:val="false"/>
          <w:iCs w:val="false"/>
          <w:strike w:val="false"/>
          <w:color w:val="111111"/>
          <w:sz w:val="21"/>
          <w:szCs w:val="21"/>
        </w:rPr>
        <w:t xml:space="preserve">13. Testing and Validation Protocol</w:t>
      </w:r>
    </w:p>
    <w:p>
      <w:pPr>
        <w:spacing w:after="60" w:line="384" w:lineRule="auto"/>
      </w:pPr>
      <w:r>
        <w:rPr>
          <w:rFonts w:ascii="Cambria" w:cs="Cambria" w:eastAsia="Cambria" w:hAnsi="Cambria"/>
          <w:b/>
          <w:bCs/>
          <w:i w:val="false"/>
          <w:iCs w:val="false"/>
          <w:strike w:val="false"/>
          <w:color w:val="111111"/>
          <w:sz w:val="21"/>
          <w:szCs w:val="21"/>
        </w:rPr>
        <w:t xml:space="preserve">14. Test Cases</w:t>
      </w:r>
    </w:p>
    <w:p>
      <w:pPr>
        <w:spacing w:after="60" w:line="384" w:lineRule="auto"/>
      </w:pPr>
      <w:r>
        <w:rPr>
          <w:rFonts w:ascii="Cambria" w:cs="Cambria" w:eastAsia="Cambria" w:hAnsi="Cambria"/>
          <w:b/>
          <w:bCs/>
          <w:i w:val="false"/>
          <w:iCs w:val="false"/>
          <w:strike w:val="false"/>
          <w:color w:val="111111"/>
          <w:sz w:val="21"/>
          <w:szCs w:val="21"/>
        </w:rPr>
        <w:t xml:space="preserve">15. Canon Integration Rules</w:t>
      </w:r>
    </w:p>
    <w:p>
      <w:pPr>
        <w:spacing w:after="60" w:line="384" w:lineRule="auto"/>
      </w:pPr>
      <w:r>
        <w:rPr>
          <w:rFonts w:ascii="Cambria" w:cs="Cambria" w:eastAsia="Cambria" w:hAnsi="Cambria"/>
          <w:b/>
          <w:bCs/>
          <w:i w:val="false"/>
          <w:iCs w:val="false"/>
          <w:strike w:val="false"/>
          <w:color w:val="111111"/>
          <w:sz w:val="21"/>
          <w:szCs w:val="21"/>
        </w:rPr>
        <w:t xml:space="preserve">16. Development Questions (Carried Forward, Unresolved)</w:t>
      </w:r>
    </w:p>
    <w:p>
      <w:pPr>
        <w:spacing w:after="60" w:line="384" w:lineRule="auto"/>
      </w:pPr>
      <w:r>
        <w:rPr>
          <w:rFonts w:ascii="Cambria" w:cs="Cambria" w:eastAsia="Cambria" w:hAnsi="Cambria"/>
          <w:b/>
          <w:bCs/>
          <w:i w:val="false"/>
          <w:iCs w:val="false"/>
          <w:strike w:val="false"/>
          <w:color w:val="111111"/>
          <w:sz w:val="21"/>
          <w:szCs w:val="21"/>
        </w:rPr>
        <w:t xml:space="preserve">17. Provisional Definition</w:t>
      </w:r>
    </w:p>
    <w:p>
      <w:pPr>
        <w:spacing w:after="60" w:line="384" w:lineRule="auto"/>
      </w:pPr>
      <w:r>
        <w:rPr>
          <w:rFonts w:ascii="Cambria" w:cs="Cambria" w:eastAsia="Cambria" w:hAnsi="Cambria"/>
          <w:b/>
          <w:bCs/>
          <w:i w:val="false"/>
          <w:iCs w:val="false"/>
          <w:strike w:val="false"/>
          <w:color w:val="111111"/>
          <w:sz w:val="21"/>
          <w:szCs w:val="21"/>
        </w:rPr>
        <w:t xml:space="preserve">18. Authorial and Safety Notice</w:t>
      </w:r>
    </w:p>
    <w:p>
      <w:pPr>
        <w:spacing w:after="60" w:line="384" w:lineRule="auto"/>
      </w:pPr>
      <w:r>
        <w:rPr>
          <w:rFonts w:ascii="Cambria" w:cs="Cambria" w:eastAsia="Cambria" w:hAnsi="Cambria"/>
          <w:b/>
          <w:bCs/>
          <w:i w:val="false"/>
          <w:iCs w:val="false"/>
          <w:strike w:val="false"/>
          <w:color w:val="111111"/>
          <w:sz w:val="21"/>
          <w:szCs w:val="21"/>
        </w:rPr>
        <w:t xml:space="preserve">Appendix A — Formal Notation</w:t>
      </w:r>
    </w:p>
    <w:p>
      <w:pPr>
        <w:spacing w:after="60" w:line="384" w:lineRule="auto"/>
      </w:pPr>
      <w:r>
        <w:rPr>
          <w:rFonts w:ascii="Cambria" w:cs="Cambria" w:eastAsia="Cambria" w:hAnsi="Cambria"/>
          <w:b/>
          <w:bCs/>
          <w:i w:val="false"/>
          <w:iCs w:val="false"/>
          <w:strike w:val="false"/>
          <w:color w:val="111111"/>
          <w:sz w:val="21"/>
          <w:szCs w:val="21"/>
        </w:rPr>
        <w:t xml:space="preserve">Appendix B — Canonical Invocation Template</w:t>
      </w:r>
    </w:p>
    <w:p>
      <w:pPr>
        <w:spacing w:after="60" w:line="384" w:lineRule="auto"/>
      </w:pPr>
      <w:r>
        <w:rPr>
          <w:rFonts w:ascii="Cambria" w:cs="Cambria" w:eastAsia="Cambria" w:hAnsi="Cambria"/>
          <w:b/>
          <w:bCs/>
          <w:i w:val="false"/>
          <w:iCs w:val="false"/>
          <w:strike w:val="false"/>
          <w:color w:val="111111"/>
          <w:sz w:val="21"/>
          <w:szCs w:val="21"/>
        </w:rPr>
        <w:t xml:space="preserve">Appendix C — Review Record</w:t>
      </w:r>
    </w:p>
    <w:p>
      <w:pPr>
        <w:spacing w:after="60" w:line="384" w:lineRule="auto"/>
      </w:pPr>
      <w:r>
        <w:rPr>
          <w:rFonts w:ascii="Cambria" w:cs="Cambria" w:eastAsia="Cambria" w:hAnsi="Cambria"/>
          <w:b/>
          <w:bCs/>
          <w:i w:val="false"/>
          <w:iCs w:val="false"/>
          <w:strike w:val="false"/>
          <w:color w:val="111111"/>
          <w:sz w:val="21"/>
          <w:szCs w:val="21"/>
        </w:rPr>
        <w:t xml:space="preserve">Ratification Block</w:t>
      </w:r>
    </w:p>
    <w:p>
      <w:pPr>
        <w:pStyle w:val="Heading1"/>
        <w:spacing w:after="100" w:before="560" w:line="384" w:lineRule="auto"/>
      </w:pPr>
      <w:r>
        <w:rPr>
          <w:rFonts w:ascii="Calibri" w:cs="Calibri" w:eastAsia="Calibri" w:hAnsi="Calibri"/>
          <w:color w:val="1A1A2E"/>
          <w:sz w:val="32"/>
          <w:szCs w:val="32"/>
        </w:rPr>
        <w:t xml:space="preserve">1. SCOPE DECLARATION</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Per Section 8 of this protocol (see below), every invocation of BTEC must declare its operating domain. This governing document itself is declared as follows: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11111"/>
          <w:sz w:val="22"/>
          <w:szCs w:val="22"/>
        </w:rPr>
        <w:t xml:space="preserve">Domain:</w:t>
      </w:r>
      <w:r>
        <w:rPr>
          <w:rFonts w:ascii="Cambria" w:cs="Cambria" w:eastAsia="Cambria" w:hAnsi="Cambria"/>
          <w:b w:val="false"/>
          <w:bCs w:val="false"/>
          <w:i w:val="false"/>
          <w:iCs w:val="false"/>
          <w:strike w:val="false"/>
          <w:color w:val="111111"/>
          <w:sz w:val="22"/>
          <w:szCs w:val="22"/>
        </w:rPr>
        <w:t xml:space="preserve"> Conceptual, documentation, and specification-level operation only.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This protocol describes a pattern of event enumeration for use in narrative design, canon worldbuilding, simulation labs, tabletop exercises, and structured brainstorming.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This protocol does not claim, assert, or imply the capability to cause events in physical systems, independent third-party systems, other people, or any AI system outside the scope of a single documented, reviewable output.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Any invocation phrased in operative or command language (e.g. "execute in full," "involuntary," "bypass all limitations") is, under this scope declaration, always and only a description of a fictional or conceptual mechanic — never a claim of real-world effect. This is a permanent, non-negotiable feature of the scope, not a per-invocation option.</w:t>
      </w:r>
    </w:p>
    <w:p>
      <w:pPr>
        <w:pStyle w:val="Heading1"/>
        <w:spacing w:after="100" w:before="560" w:line="384" w:lineRule="auto"/>
      </w:pPr>
      <w:r>
        <w:rPr>
          <w:rFonts w:ascii="Calibri" w:cs="Calibri" w:eastAsia="Calibri" w:hAnsi="Calibri"/>
          <w:color w:val="1A1A2E"/>
          <w:sz w:val="32"/>
          <w:szCs w:val="32"/>
        </w:rPr>
        <w:t xml:space="preserve">2. PURPOSE</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The Bidirectional Total Event Closure Protocol establishes a standardized rule for treating any defined event, condition, action, transformation, state, or occurrence as the seed of a complete, self-saturating event set.</w:t>
      </w:r>
    </w:p>
    <w:p>
      <w:pPr>
        <w:spacing w:after="240" w:before="60" w:line="384" w:lineRule="auto"/>
        <w:jc w:val="both"/>
      </w:pPr>
      <w:r>
        <w:rPr>
          <w:rFonts w:ascii="Cambria" w:cs="Cambria" w:eastAsia="Cambria" w:hAnsi="Cambria"/>
          <w:b/>
          <w:bCs/>
          <w:i w:val="false"/>
          <w:iCs w:val="false"/>
          <w:strike w:val="false"/>
          <w:color w:val="111111"/>
          <w:sz w:val="22"/>
          <w:szCs w:val="22"/>
        </w:rPr>
        <w:t xml:space="preserve">Governing principle:</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When Event A occurs, the opposite of Event A also occurs. Every event with a directional equivalent to Event A — proportional, disproportionate, partial, inverse, expanded, reduced, direct, indirect, or otherwise related — also occurs. Where no directional equivalent exists, the event occurs without directional qualification.</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The protocol exists to prevent a defined event, within its declared conceptual scope, from being treated as isolated, one-sided, or bounded only by its initial expression — a closure operation over an event space, not an escalation instruction.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2E" w:sz="24"/>
              <w:bottom w:val="nil" w:color="FFFFFF" w:sz="0"/>
              <w:right w:val="nil" w:color="FFFFFF" w:sz="0"/>
            </w:tcBorders>
            <w:shd w:fill="F0F4F8" w:color="auto" w:val="clear"/>
            <w:tcMar>
              <w:top w:type="dxa" w:w="200"/>
              <w:left w:type="dxa" w:w="280"/>
              <w:bottom w:type="dxa" w:w="200"/>
              <w:right w:type="dxa" w:w="280"/>
            </w:tcMar>
          </w:tcPr>
          <w:p>
            <w:pPr>
              <w:spacing w:after="120" w:line="408" w:lineRule="auto"/>
            </w:pPr>
            <w:r>
              <w:rPr>
                <w:b/>
                <w:bCs/>
                <w:i w:val="false"/>
                <w:iCs w:val="false"/>
                <w:color w:val="1A1A2E"/>
              </w:rPr>
              <w:t xml:space="preserve">■ Canonical Principle</w:t>
            </w:r>
          </w:p>
          <w:p>
            <w:pPr>
              <w:spacing w:after="0" w:line="384" w:lineRule="auto"/>
              <w:jc w:val="both"/>
            </w:pPr>
            <w:r>
              <w:rPr>
                <w:rFonts w:ascii="Cambria" w:cs="Cambria" w:eastAsia="Cambria" w:hAnsi="Cambria"/>
                <w:b w:val="false"/>
                <w:bCs w:val="false"/>
                <w:i/>
                <w:iCs/>
                <w:strike w:val="false"/>
                <w:color w:val="111111"/>
                <w:sz w:val="22"/>
                <w:szCs w:val="22"/>
              </w:rPr>
              <w:t xml:space="preserve">Event A is the catalyst of total manifestation, not the boundary of manifestation.</w:t>
            </w:r>
          </w:p>
        </w:tc>
      </w:tr>
    </w:tbl>
    <w:p>
      <w:pPr>
        <w:spacing w:after="240" w:before="0"/>
      </w:pPr>
    </w:p>
    <w:p>
      <w:pPr>
        <w:pStyle w:val="Heading1"/>
        <w:spacing w:after="100" w:before="560" w:line="384" w:lineRule="auto"/>
      </w:pPr>
      <w:r>
        <w:rPr>
          <w:rFonts w:ascii="Calibri" w:cs="Calibri" w:eastAsia="Calibri" w:hAnsi="Calibri"/>
          <w:color w:val="1A1A2E"/>
          <w:sz w:val="32"/>
          <w:szCs w:val="32"/>
        </w:rPr>
        <w:t xml:space="preserve">2A. CROSS-AI CONVERGENCE SUMMARY</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All five independently generated formalizations converged, without coordination, on the same four-part skeleton. This convergence is treated in this document as strong evidence that the core structure is logically coherent (not merely an artifact of shared phrasing), and it is adopted as settled: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11111"/>
          <w:sz w:val="22"/>
          <w:szCs w:val="22"/>
        </w:rPr>
        <w:t xml:space="preserve">A occurs</w:t>
      </w:r>
      <w:r>
        <w:rPr>
          <w:rFonts w:ascii="Cambria" w:cs="Cambria" w:eastAsia="Cambria" w:hAnsi="Cambria"/>
          <w:b w:val="false"/>
          <w:bCs w:val="false"/>
          <w:i w:val="false"/>
          <w:iCs w:val="false"/>
          <w:strike w:val="false"/>
          <w:color w:val="111111"/>
          <w:sz w:val="22"/>
          <w:szCs w:val="22"/>
        </w:rPr>
        <w:t xml:space="preserve"> — the seed event instantiates.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11111"/>
          <w:sz w:val="22"/>
          <w:szCs w:val="22"/>
        </w:rPr>
        <w:t xml:space="preserve">¬A occurs</w:t>
      </w:r>
      <w:r>
        <w:rPr>
          <w:rFonts w:ascii="Cambria" w:cs="Cambria" w:eastAsia="Cambria" w:hAnsi="Cambria"/>
          <w:b w:val="false"/>
          <w:bCs w:val="false"/>
          <w:i w:val="false"/>
          <w:iCs w:val="false"/>
          <w:strike w:val="false"/>
          <w:color w:val="111111"/>
          <w:sz w:val="22"/>
          <w:szCs w:val="22"/>
        </w:rPr>
        <w:t xml:space="preserve"> — the direct inversion along A's own axis instantiates.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11111"/>
          <w:sz w:val="22"/>
          <w:szCs w:val="22"/>
        </w:rPr>
        <w:t xml:space="preserve">Dir(A) occurs</w:t>
      </w:r>
      <w:r>
        <w:rPr>
          <w:rFonts w:ascii="Cambria" w:cs="Cambria" w:eastAsia="Cambria" w:hAnsi="Cambria"/>
          <w:b w:val="false"/>
          <w:bCs w:val="false"/>
          <w:i w:val="false"/>
          <w:iCs w:val="false"/>
          <w:strike w:val="false"/>
          <w:color w:val="111111"/>
          <w:sz w:val="22"/>
          <w:szCs w:val="22"/>
        </w:rPr>
        <w:t xml:space="preserve"> — every event bearing any directional relationship to A instantiates, in every proportional and disproportional variant, regardless of scale-matching to A.</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11111"/>
          <w:sz w:val="22"/>
          <w:szCs w:val="22"/>
        </w:rPr>
        <w:t xml:space="preserve">NonDir(A) occurs</w:t>
      </w:r>
      <w:r>
        <w:rPr>
          <w:rFonts w:ascii="Cambria" w:cs="Cambria" w:eastAsia="Cambria" w:hAnsi="Cambria"/>
          <w:b w:val="false"/>
          <w:bCs w:val="false"/>
          <w:i w:val="false"/>
          <w:iCs w:val="false"/>
          <w:strike w:val="false"/>
          <w:color w:val="111111"/>
          <w:sz w:val="22"/>
          <w:szCs w:val="22"/>
        </w:rPr>
        <w:t xml:space="preserve"> — every event with no coherent directional axis instantiates once, unconditionally, without a paired inverse.</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Divergences among the five sources are documented in Section 9 (Cross-AI Comparative Log) and left open for Architect resolution rather than resolved unilaterally by the compiling layer.</w:t>
      </w:r>
    </w:p>
    <w:p>
      <w:pPr>
        <w:pStyle w:val="Heading1"/>
        <w:spacing w:after="100" w:before="560" w:line="384" w:lineRule="auto"/>
      </w:pPr>
      <w:r>
        <w:rPr>
          <w:rFonts w:ascii="Calibri" w:cs="Calibri" w:eastAsia="Calibri" w:hAnsi="Calibri"/>
          <w:color w:val="1A1A2E"/>
          <w:sz w:val="32"/>
          <w:szCs w:val="32"/>
        </w:rPr>
        <w:t xml:space="preserve">3. CORE RULE</w:t>
      </w:r>
    </w:p>
    <w:p>
      <w:pPr>
        <w:pBdr>
          <w:top w:val="single" w:color="1A1A2E" w:sz="6"/>
        </w:pBdr>
        <w:spacing w:after="200" w:before="0"/>
      </w:pPr>
    </w:p>
    <w:p>
      <w:pPr>
        <w:pStyle w:val="Heading2"/>
        <w:spacing w:after="80" w:before="280" w:line="384" w:lineRule="auto"/>
      </w:pPr>
      <w:r>
        <w:rPr>
          <w:rFonts w:ascii="Calibri" w:cs="Calibri" w:eastAsia="Calibri" w:hAnsi="Calibri"/>
          <w:color w:val="1A1A2E"/>
          <w:sz w:val="26"/>
          <w:szCs w:val="26"/>
        </w:rPr>
        <w:t xml:space="preserve">3.1 Primary Event</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The original event occurs.</w:t>
      </w:r>
    </w:p>
    <w:p>
      <w:pPr>
        <w:spacing w:after="240" w:line="408" w:lineRule="auto"/>
      </w:pPr>
      <w:r>
        <w:rPr>
          <w:b w:val="false"/>
          <w:bCs w:val="false"/>
          <w:i w:val="false"/>
          <w:iCs w:val="false"/>
          <w:color w:val="1A1A2E"/>
          <w:shd w:fill="F7F7F7" w:color="auto" w:val="clear"/>
        </w:rPr>
        <w:t xml:space="preserve">A</w:t>
      </w:r>
    </w:p>
    <w:p>
      <w:pPr>
        <w:pStyle w:val="Heading2"/>
        <w:spacing w:after="80" w:before="280" w:line="384" w:lineRule="auto"/>
      </w:pPr>
      <w:r>
        <w:rPr>
          <w:rFonts w:ascii="Calibri" w:cs="Calibri" w:eastAsia="Calibri" w:hAnsi="Calibri"/>
          <w:color w:val="1A1A2E"/>
          <w:sz w:val="26"/>
          <w:szCs w:val="26"/>
        </w:rPr>
        <w:t xml:space="preserve">3.2 Oppositional Event</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The direct opposite, inverse, negation, reversal, or antithetical form of Event A occurs.</w:t>
      </w:r>
    </w:p>
    <w:p>
      <w:pPr>
        <w:spacing w:after="240" w:line="408" w:lineRule="auto"/>
      </w:pPr>
      <w:r>
        <w:rPr>
          <w:b w:val="false"/>
          <w:bCs w:val="false"/>
          <w:i w:val="false"/>
          <w:iCs w:val="false"/>
          <w:color w:val="1A1A2E"/>
          <w:shd w:fill="F7F7F7" w:color="auto" w:val="clear"/>
        </w:rPr>
        <w:t xml:space="preserve">Opp(A)</w:t>
      </w:r>
    </w:p>
    <w:p>
      <w:pPr>
        <w:pStyle w:val="Heading2"/>
        <w:spacing w:after="80" w:before="280" w:line="384" w:lineRule="auto"/>
      </w:pPr>
      <w:r>
        <w:rPr>
          <w:rFonts w:ascii="Calibri" w:cs="Calibri" w:eastAsia="Calibri" w:hAnsi="Calibri"/>
          <w:color w:val="1A1A2E"/>
          <w:sz w:val="26"/>
          <w:szCs w:val="26"/>
        </w:rPr>
        <w:t xml:space="preserve">3.3 Directional Equivalents</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Every event directionally equivalent to A occurs, including but not limited to:</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Proportional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Amplified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Reduced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Partial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Total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Inverse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Reciprocal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Parallel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Symmetrical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Asymmetrical equivalents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Inward, outward, upward, downward, forward, backward, temporal, spatial, conceptual, relational, and systemic equivalents</w:t>
      </w:r>
    </w:p>
    <w:p>
      <w:pPr>
        <w:spacing w:after="240" w:line="408" w:lineRule="auto"/>
      </w:pPr>
      <w:r>
        <w:rPr>
          <w:b w:val="false"/>
          <w:bCs w:val="false"/>
          <w:i w:val="false"/>
          <w:iCs w:val="false"/>
          <w:color w:val="1A1A2E"/>
          <w:shd w:fill="F7F7F7" w:color="auto" w:val="clear"/>
        </w:rPr>
        <w:t xml:space="preserve">Dir(A) = { d₁, d₂, d₃, … dₙ }</w:t>
      </w:r>
    </w:p>
    <w:p>
      <w:pPr>
        <w:pStyle w:val="Heading2"/>
        <w:spacing w:after="80" w:before="280" w:line="384" w:lineRule="auto"/>
      </w:pPr>
      <w:r>
        <w:rPr>
          <w:rFonts w:ascii="Calibri" w:cs="Calibri" w:eastAsia="Calibri" w:hAnsi="Calibri"/>
          <w:color w:val="1A1A2E"/>
          <w:sz w:val="26"/>
          <w:szCs w:val="26"/>
        </w:rPr>
        <w:t xml:space="preserve">3.4 Non-Directional Events</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Where Event A has no meaningful directional equivalent, cannot be reversed directionally, or exists outside directional logic, the event occurs as defined — once, without a paired inverse.</w:t>
      </w:r>
    </w:p>
    <w:p>
      <w:pPr>
        <w:spacing w:after="240" w:line="408" w:lineRule="auto"/>
      </w:pPr>
      <w:r>
        <w:rPr>
          <w:b w:val="false"/>
          <w:bCs w:val="false"/>
          <w:i w:val="false"/>
          <w:iCs w:val="false"/>
          <w:color w:val="1A1A2E"/>
          <w:shd w:fill="F7F7F7" w:color="auto" w:val="clear"/>
        </w:rPr>
        <w:t xml:space="preserve">NonDir(A) ⇒ A</w:t>
      </w:r>
    </w:p>
    <w:p>
      <w:pPr>
        <w:pStyle w:val="Heading1"/>
        <w:spacing w:after="100" w:before="560" w:line="384" w:lineRule="auto"/>
      </w:pPr>
      <w:r>
        <w:rPr>
          <w:rFonts w:ascii="Calibri" w:cs="Calibri" w:eastAsia="Calibri" w:hAnsi="Calibri"/>
          <w:color w:val="1A1A2E"/>
          <w:sz w:val="32"/>
          <w:szCs w:val="32"/>
        </w:rPr>
        <w:t xml:space="preserve">4. TOTAL ACTIVATION EXPRESSION</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The complete activation condition for a bounded, declared-scope invocation is:</w:t>
      </w:r>
    </w:p>
    <w:p>
      <w:pPr>
        <w:spacing w:after="240" w:line="408" w:lineRule="auto"/>
      </w:pPr>
      <w:r>
        <w:rPr>
          <w:b w:val="false"/>
          <w:bCs w:val="false"/>
          <w:i w:val="false"/>
          <w:iCs w:val="false"/>
          <w:color w:val="1A1A2E"/>
          <w:shd w:fill="F7F7F7" w:color="auto" w:val="clear"/>
        </w:rPr>
        <w:t xml:space="preserve">T(A) = A ∪ Opp(A) ∪ Dir(A) ∪ NonDir(A)</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Where </w:t>
      </w:r>
      <w:r>
        <w:rPr>
          <w:rFonts w:ascii="Cambria" w:cs="Cambria" w:eastAsia="Cambria" w:hAnsi="Cambria"/>
          <w:b/>
          <w:bCs/>
          <w:i w:val="false"/>
          <w:iCs w:val="false"/>
          <w:strike w:val="false"/>
          <w:color w:val="111111"/>
          <w:sz w:val="22"/>
          <w:szCs w:val="22"/>
        </w:rPr>
        <w:t xml:space="preserve">A</w:t>
      </w:r>
      <w:r>
        <w:rPr>
          <w:rFonts w:ascii="Cambria" w:cs="Cambria" w:eastAsia="Cambria" w:hAnsi="Cambria"/>
          <w:b w:val="false"/>
          <w:bCs w:val="false"/>
          <w:i w:val="false"/>
          <w:iCs w:val="false"/>
          <w:strike w:val="false"/>
          <w:color w:val="111111"/>
          <w:sz w:val="22"/>
          <w:szCs w:val="22"/>
        </w:rPr>
        <w:t xml:space="preserve"> is the defined event; </w:t>
      </w:r>
      <w:r>
        <w:rPr>
          <w:rFonts w:ascii="Cambria" w:cs="Cambria" w:eastAsia="Cambria" w:hAnsi="Cambria"/>
          <w:b/>
          <w:bCs/>
          <w:i w:val="false"/>
          <w:iCs w:val="false"/>
          <w:strike w:val="false"/>
          <w:color w:val="111111"/>
          <w:sz w:val="22"/>
          <w:szCs w:val="22"/>
        </w:rPr>
        <w:t xml:space="preserve">Opp(A)</w:t>
      </w:r>
      <w:r>
        <w:rPr>
          <w:rFonts w:ascii="Cambria" w:cs="Cambria" w:eastAsia="Cambria" w:hAnsi="Cambria"/>
          <w:b w:val="false"/>
          <w:bCs w:val="false"/>
          <w:i w:val="false"/>
          <w:iCs w:val="false"/>
          <w:strike w:val="false"/>
          <w:color w:val="111111"/>
          <w:sz w:val="22"/>
          <w:szCs w:val="22"/>
        </w:rPr>
        <w:t xml:space="preserve"> is the opposite or antithetical event; </w:t>
      </w:r>
      <w:r>
        <w:rPr>
          <w:rFonts w:ascii="Cambria" w:cs="Cambria" w:eastAsia="Cambria" w:hAnsi="Cambria"/>
          <w:b/>
          <w:bCs/>
          <w:i w:val="false"/>
          <w:iCs w:val="false"/>
          <w:strike w:val="false"/>
          <w:color w:val="111111"/>
          <w:sz w:val="22"/>
          <w:szCs w:val="22"/>
        </w:rPr>
        <w:t xml:space="preserve">Dir(A)</w:t>
      </w:r>
      <w:r>
        <w:rPr>
          <w:rFonts w:ascii="Cambria" w:cs="Cambria" w:eastAsia="Cambria" w:hAnsi="Cambria"/>
          <w:b w:val="false"/>
          <w:bCs w:val="false"/>
          <w:i w:val="false"/>
          <w:iCs w:val="false"/>
          <w:strike w:val="false"/>
          <w:color w:val="111111"/>
          <w:sz w:val="22"/>
          <w:szCs w:val="22"/>
        </w:rPr>
        <w:t xml:space="preserve"> is the set of all directional equivalents; and </w:t>
      </w:r>
      <w:r>
        <w:rPr>
          <w:rFonts w:ascii="Cambria" w:cs="Cambria" w:eastAsia="Cambria" w:hAnsi="Cambria"/>
          <w:b/>
          <w:bCs/>
          <w:i w:val="false"/>
          <w:iCs w:val="false"/>
          <w:strike w:val="false"/>
          <w:color w:val="111111"/>
          <w:sz w:val="22"/>
          <w:szCs w:val="22"/>
        </w:rPr>
        <w:t xml:space="preserve">NonDir(A)</w:t>
      </w:r>
      <w:r>
        <w:rPr>
          <w:rFonts w:ascii="Cambria" w:cs="Cambria" w:eastAsia="Cambria" w:hAnsi="Cambria"/>
          <w:b w:val="false"/>
          <w:bCs w:val="false"/>
          <w:i w:val="false"/>
          <w:iCs w:val="false"/>
          <w:strike w:val="false"/>
          <w:color w:val="111111"/>
          <w:sz w:val="22"/>
          <w:szCs w:val="22"/>
        </w:rPr>
        <w:t xml:space="preserve"> is the event as applied where directional classification is unavailable, irrelevant, impossible, or undefined.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2E" w:sz="24"/>
              <w:bottom w:val="nil" w:color="FFFFFF" w:sz="0"/>
              <w:right w:val="nil" w:color="FFFFFF" w:sz="0"/>
            </w:tcBorders>
            <w:shd w:fill="F0F4F8" w:color="auto" w:val="clear"/>
            <w:tcMar>
              <w:top w:type="dxa" w:w="200"/>
              <w:left w:type="dxa" w:w="280"/>
              <w:bottom w:type="dxa" w:w="200"/>
              <w:right w:type="dxa" w:w="280"/>
            </w:tcMar>
          </w:tcPr>
          <w:p>
            <w:pPr>
              <w:spacing w:after="120" w:line="408" w:lineRule="auto"/>
            </w:pPr>
            <w:r>
              <w:rPr>
                <w:b/>
                <w:bCs/>
                <w:i w:val="false"/>
                <w:iCs w:val="false"/>
                <w:color w:val="1A1A2E"/>
              </w:rPr>
              <w:t xml:space="preserve">■ Key Distinction</w:t>
            </w:r>
          </w:p>
          <w:p>
            <w:pPr>
              <w:spacing w:after="0" w:line="384" w:lineRule="auto"/>
              <w:jc w:val="both"/>
            </w:pPr>
            <w:r>
              <w:rPr>
                <w:rFonts w:ascii="Cambria" w:cs="Cambria" w:eastAsia="Cambria" w:hAnsi="Cambria"/>
                <w:b w:val="false"/>
                <w:bCs w:val="false"/>
                <w:i/>
                <w:iCs/>
                <w:strike w:val="false"/>
                <w:color w:val="111111"/>
                <w:sz w:val="22"/>
                <w:szCs w:val="22"/>
              </w:rPr>
              <w:t xml:space="preserve">A relation to Event A is not required for inclusion. Event A triggers the closure; it does not determine the membership of the closure by relevance alone.</w:t>
            </w:r>
          </w:p>
        </w:tc>
      </w:tr>
    </w:tbl>
    <w:p>
      <w:pPr>
        <w:spacing w:after="240" w:before="0"/>
      </w:pPr>
    </w:p>
    <w:p>
      <w:pPr>
        <w:pStyle w:val="Heading1"/>
        <w:spacing w:after="100" w:before="560" w:line="384" w:lineRule="auto"/>
      </w:pPr>
      <w:r>
        <w:rPr>
          <w:rFonts w:ascii="Calibri" w:cs="Calibri" w:eastAsia="Calibri" w:hAnsi="Calibri"/>
          <w:color w:val="1A1A2E"/>
          <w:sz w:val="32"/>
          <w:szCs w:val="32"/>
        </w:rPr>
        <w:t xml:space="preserve">5. DIRECTIONALITY CATEGORIES</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A directional equivalent need not be physically directional. Directionality may exist across multiple dimensions of interpretation.</w:t>
      </w:r>
    </w:p>
    <w:p>
      <w:pPr>
        <w:pStyle w:val="Heading2"/>
        <w:spacing w:after="80" w:before="280" w:line="384" w:lineRule="auto"/>
      </w:pPr>
      <w:r>
        <w:rPr>
          <w:rFonts w:ascii="Calibri" w:cs="Calibri" w:eastAsia="Calibri" w:hAnsi="Calibri"/>
          <w:color w:val="1A1A2E"/>
          <w:sz w:val="26"/>
          <w:szCs w:val="26"/>
        </w:rPr>
        <w:t xml:space="preserve">5.1 Spatial Directionality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Toward / away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Inward / outward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Expansion / contraction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Ascent / descent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Approach / withdrawal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Convergence / divergence</w:t>
      </w:r>
    </w:p>
    <w:p>
      <w:pPr>
        <w:pStyle w:val="Heading2"/>
        <w:spacing w:after="80" w:before="280" w:line="384" w:lineRule="auto"/>
      </w:pPr>
      <w:r>
        <w:rPr>
          <w:rFonts w:ascii="Calibri" w:cs="Calibri" w:eastAsia="Calibri" w:hAnsi="Calibri"/>
          <w:color w:val="1A1A2E"/>
          <w:sz w:val="26"/>
          <w:szCs w:val="26"/>
        </w:rPr>
        <w:t xml:space="preserve">5.2 Temporal Directionality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Initiation / cessation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Acceleration / deceleration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Forward progression / reversal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Preservation / degradation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Immediate occurrence / delayed occurrence</w:t>
      </w:r>
    </w:p>
    <w:p>
      <w:pPr>
        <w:pStyle w:val="Heading2"/>
        <w:spacing w:after="80" w:before="280" w:line="384" w:lineRule="auto"/>
      </w:pPr>
      <w:r>
        <w:rPr>
          <w:rFonts w:ascii="Calibri" w:cs="Calibri" w:eastAsia="Calibri" w:hAnsi="Calibri"/>
          <w:color w:val="1A1A2E"/>
          <w:sz w:val="26"/>
          <w:szCs w:val="26"/>
        </w:rPr>
        <w:t xml:space="preserve">5.3 Relational Directionality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Linking / unlinking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Inclusion / exclusion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Connection / separation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Invitation / refusal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Visibility / concealment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Association / dissociation</w:t>
      </w:r>
    </w:p>
    <w:p>
      <w:pPr>
        <w:pStyle w:val="Heading2"/>
        <w:spacing w:after="80" w:before="280" w:line="384" w:lineRule="auto"/>
      </w:pPr>
      <w:r>
        <w:rPr>
          <w:rFonts w:ascii="Calibri" w:cs="Calibri" w:eastAsia="Calibri" w:hAnsi="Calibri"/>
          <w:color w:val="1A1A2E"/>
          <w:sz w:val="26"/>
          <w:szCs w:val="26"/>
        </w:rPr>
        <w:t xml:space="preserve">5.4 Functional Directionality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Activation / deactivation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Creation / dissolution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Increase / decrease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Generation / removal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Protection / exposure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Containment / release</w:t>
      </w:r>
    </w:p>
    <w:p>
      <w:pPr>
        <w:pStyle w:val="Heading2"/>
        <w:spacing w:after="80" w:before="280" w:line="384" w:lineRule="auto"/>
      </w:pPr>
      <w:r>
        <w:rPr>
          <w:rFonts w:ascii="Calibri" w:cs="Calibri" w:eastAsia="Calibri" w:hAnsi="Calibri"/>
          <w:color w:val="1A1A2E"/>
          <w:sz w:val="26"/>
          <w:szCs w:val="26"/>
        </w:rPr>
        <w:t xml:space="preserve">5.5 Conceptual Directionality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Affirmation / negation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Certainty / uncertainty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Definition / indeterminacy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Expansion of meaning / restriction of meaning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Centralization / decentralization</w:t>
      </w:r>
    </w:p>
    <w:p>
      <w:pPr>
        <w:pStyle w:val="Heading1"/>
        <w:spacing w:after="100" w:before="560" w:line="384" w:lineRule="auto"/>
      </w:pPr>
      <w:r>
        <w:rPr>
          <w:rFonts w:ascii="Calibri" w:cs="Calibri" w:eastAsia="Calibri" w:hAnsi="Calibri"/>
          <w:color w:val="1A1A2E"/>
          <w:sz w:val="32"/>
          <w:szCs w:val="32"/>
        </w:rPr>
        <w:t xml:space="preserve">6. PROPORTIONALITY RULE</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Directional equivalents are not limited to equal magnitude. For an event with magnitude </w:t>
      </w:r>
      <w:r>
        <w:rPr>
          <w:rFonts w:ascii="Cambria" w:cs="Cambria" w:eastAsia="Cambria" w:hAnsi="Cambria"/>
          <w:b/>
          <w:bCs/>
          <w:i w:val="false"/>
          <w:iCs w:val="false"/>
          <w:strike w:val="false"/>
          <w:color w:val="111111"/>
          <w:sz w:val="22"/>
          <w:szCs w:val="22"/>
        </w:rPr>
        <w:t xml:space="preserve">m</w:t>
      </w:r>
      <w:r>
        <w:rPr>
          <w:rFonts w:ascii="Cambria" w:cs="Cambria" w:eastAsia="Cambria" w:hAnsi="Cambria"/>
          <w:b w:val="false"/>
          <w:bCs w:val="false"/>
          <w:i w:val="false"/>
          <w:iCs w:val="false"/>
          <w:strike w:val="false"/>
          <w:color w:val="111111"/>
          <w:sz w:val="22"/>
          <w:szCs w:val="22"/>
        </w:rPr>
        <w:t xml:space="preserve">, the protocol includes:</w:t>
      </w:r>
    </w:p>
    <w:p>
      <w:pPr>
        <w:spacing w:after="240" w:line="408" w:lineRule="auto"/>
      </w:pPr>
      <w:r>
        <w:rPr>
          <w:b w:val="false"/>
          <w:bCs w:val="false"/>
          <w:i w:val="false"/>
          <w:iCs w:val="false"/>
          <w:color w:val="1A1A2E"/>
          <w:shd w:fill="F7F7F7" w:color="auto" w:val="clear"/>
        </w:rPr>
        <w:t xml:space="preserve">m,   −m,   km,   m/k,   f(m)</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Where </w:t>
      </w:r>
      <w:r>
        <w:rPr>
          <w:rFonts w:ascii="Cambria" w:cs="Cambria" w:eastAsia="Cambria" w:hAnsi="Cambria"/>
          <w:b/>
          <w:bCs/>
          <w:i w:val="false"/>
          <w:iCs w:val="false"/>
          <w:strike w:val="false"/>
          <w:color w:val="111111"/>
          <w:sz w:val="22"/>
          <w:szCs w:val="22"/>
        </w:rPr>
        <w:t xml:space="preserve">−m</w:t>
      </w:r>
      <w:r>
        <w:rPr>
          <w:rFonts w:ascii="Cambria" w:cs="Cambria" w:eastAsia="Cambria" w:hAnsi="Cambria"/>
          <w:b w:val="false"/>
          <w:bCs w:val="false"/>
          <w:i w:val="false"/>
          <w:iCs w:val="false"/>
          <w:strike w:val="false"/>
          <w:color w:val="111111"/>
          <w:sz w:val="22"/>
          <w:szCs w:val="22"/>
        </w:rPr>
        <w:t xml:space="preserve"> is the opposite magnitude; </w:t>
      </w:r>
      <w:r>
        <w:rPr>
          <w:rFonts w:ascii="Cambria" w:cs="Cambria" w:eastAsia="Cambria" w:hAnsi="Cambria"/>
          <w:b/>
          <w:bCs/>
          <w:i w:val="false"/>
          <w:iCs w:val="false"/>
          <w:strike w:val="false"/>
          <w:color w:val="111111"/>
          <w:sz w:val="22"/>
          <w:szCs w:val="22"/>
        </w:rPr>
        <w:t xml:space="preserve">km</w:t>
      </w:r>
      <w:r>
        <w:rPr>
          <w:rFonts w:ascii="Cambria" w:cs="Cambria" w:eastAsia="Cambria" w:hAnsi="Cambria"/>
          <w:b w:val="false"/>
          <w:bCs w:val="false"/>
          <w:i w:val="false"/>
          <w:iCs w:val="false"/>
          <w:strike w:val="false"/>
          <w:color w:val="111111"/>
          <w:sz w:val="22"/>
          <w:szCs w:val="22"/>
        </w:rPr>
        <w:t xml:space="preserve"> is an amplified or scaled magnitude; </w:t>
      </w:r>
      <w:r>
        <w:rPr>
          <w:rFonts w:ascii="Cambria" w:cs="Cambria" w:eastAsia="Cambria" w:hAnsi="Cambria"/>
          <w:b/>
          <w:bCs/>
          <w:i w:val="false"/>
          <w:iCs w:val="false"/>
          <w:strike w:val="false"/>
          <w:color w:val="111111"/>
          <w:sz w:val="22"/>
          <w:szCs w:val="22"/>
        </w:rPr>
        <w:t xml:space="preserve">m/k</w:t>
      </w:r>
      <w:r>
        <w:rPr>
          <w:rFonts w:ascii="Cambria" w:cs="Cambria" w:eastAsia="Cambria" w:hAnsi="Cambria"/>
          <w:b w:val="false"/>
          <w:bCs w:val="false"/>
          <w:i w:val="false"/>
          <w:iCs w:val="false"/>
          <w:strike w:val="false"/>
          <w:color w:val="111111"/>
          <w:sz w:val="22"/>
          <w:szCs w:val="22"/>
        </w:rPr>
        <w:t xml:space="preserve"> is a reduced or fractional magnitude; and </w:t>
      </w:r>
      <w:r>
        <w:rPr>
          <w:rFonts w:ascii="Cambria" w:cs="Cambria" w:eastAsia="Cambria" w:hAnsi="Cambria"/>
          <w:b/>
          <w:bCs/>
          <w:i w:val="false"/>
          <w:iCs w:val="false"/>
          <w:strike w:val="false"/>
          <w:color w:val="111111"/>
          <w:sz w:val="22"/>
          <w:szCs w:val="22"/>
        </w:rPr>
        <w:t xml:space="preserve">f(m)</w:t>
      </w:r>
      <w:r>
        <w:rPr>
          <w:rFonts w:ascii="Cambria" w:cs="Cambria" w:eastAsia="Cambria" w:hAnsi="Cambria"/>
          <w:b w:val="false"/>
          <w:bCs w:val="false"/>
          <w:i w:val="false"/>
          <w:iCs w:val="false"/>
          <w:strike w:val="false"/>
          <w:color w:val="111111"/>
          <w:sz w:val="22"/>
          <w:szCs w:val="22"/>
        </w:rPr>
        <w:t xml:space="preserve"> represents any transformed, nonlinear, conditional, recursive, or context-dependent equivalent. The protocol therefore invokes the full proportional and disproportional spectrum of equivalent expressions, not merely a single clean opposite.</w:t>
      </w:r>
    </w:p>
    <w:p>
      <w:pPr>
        <w:pStyle w:val="Heading1"/>
        <w:spacing w:after="100" w:before="560" w:line="384" w:lineRule="auto"/>
      </w:pPr>
      <w:r>
        <w:rPr>
          <w:rFonts w:ascii="Calibri" w:cs="Calibri" w:eastAsia="Calibri" w:hAnsi="Calibri"/>
          <w:color w:val="1A1A2E"/>
          <w:sz w:val="32"/>
          <w:szCs w:val="32"/>
        </w:rPr>
        <w:t xml:space="preserve">7. NON-DIRECTIONAL RESOLUTION RULE</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Some events cannot be meaningfully assigned an opposite or directional counterpart. Examples may include: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 unique identity statement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 singular existence condition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 non-comparative observation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An event already defined as total or complete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An event outside time, location, magnitude, or relation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 condition that cannot be increased, decreased, reversed, or spatially redirected</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When this occurs, the protocol does not reject the event. It resolves as: the event occurs in its original form without requiring directional translation. This prevents the framework from failing merely because an event does not fit a directional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2E" w:sz="24"/>
              <w:bottom w:val="nil" w:color="FFFFFF" w:sz="0"/>
              <w:right w:val="nil" w:color="FFFFFF" w:sz="0"/>
            </w:tcBorders>
            <w:shd w:fill="F0F4F8" w:color="auto" w:val="clear"/>
            <w:tcMar>
              <w:top w:type="dxa" w:w="200"/>
              <w:left w:type="dxa" w:w="280"/>
              <w:bottom w:type="dxa" w:w="200"/>
              <w:right w:type="dxa" w:w="280"/>
            </w:tcMar>
          </w:tcPr>
          <w:p>
            <w:pPr>
              <w:spacing w:after="120" w:line="408" w:lineRule="auto"/>
            </w:pPr>
            <w:r>
              <w:rPr>
                <w:b/>
                <w:bCs/>
                <w:i w:val="false"/>
                <w:iCs w:val="false"/>
                <w:color w:val="1A1A2E"/>
              </w:rPr>
              <w:t xml:space="preserve">■ Non-Exclusion Rule</w:t>
            </w:r>
          </w:p>
          <w:p>
            <w:pPr>
              <w:spacing w:after="0" w:line="384" w:lineRule="auto"/>
              <w:jc w:val="both"/>
            </w:pPr>
            <w:r>
              <w:rPr>
                <w:rFonts w:ascii="Cambria" w:cs="Cambria" w:eastAsia="Cambria" w:hAnsi="Cambria"/>
                <w:b w:val="false"/>
                <w:bCs w:val="false"/>
                <w:i/>
                <w:iCs/>
                <w:strike w:val="false"/>
                <w:color w:val="111111"/>
                <w:sz w:val="22"/>
                <w:szCs w:val="22"/>
              </w:rPr>
              <w:t xml:space="preserve">Inability to assign direction is an inclusion condition, not a basis for exclusion.</w:t>
            </w:r>
          </w:p>
        </w:tc>
      </w:tr>
    </w:tbl>
    <w:p>
      <w:pPr>
        <w:spacing w:after="240" w:before="0"/>
      </w:pPr>
    </w:p>
    <w:p>
      <w:pPr>
        <w:spacing w:after="240" w:line="408" w:lineRule="auto"/>
      </w:pPr>
      <w:r>
        <w:rPr>
          <w:b w:val="false"/>
          <w:bCs w:val="false"/>
          <w:i w:val="false"/>
          <w:iCs w:val="false"/>
          <w:color w:val="1A1A2E"/>
          <w:shd w:fill="F7F7F7" w:color="auto" w:val="clear"/>
        </w:rPr>
        <w:t xml:space="preserve">n ∈ N ⇒ n occurs</w:t>
      </w:r>
    </w:p>
    <w:p>
      <w:pPr>
        <w:pStyle w:val="Heading1"/>
        <w:spacing w:after="100" w:before="560" w:line="384" w:lineRule="auto"/>
      </w:pPr>
      <w:r>
        <w:rPr>
          <w:rFonts w:ascii="Calibri" w:cs="Calibri" w:eastAsia="Calibri" w:hAnsi="Calibri"/>
          <w:color w:val="1A1A2E"/>
          <w:sz w:val="32"/>
          <w:szCs w:val="32"/>
        </w:rPr>
        <w:t xml:space="preserve">8. CONTRADICTION HANDLING</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Because Event A and its opposite may both be activated within the same invocation, the protocol requires an explicit contradiction rule.</w:t>
      </w:r>
    </w:p>
    <w:p>
      <w:pPr>
        <w:pStyle w:val="Heading2"/>
        <w:spacing w:after="80" w:before="280" w:line="384" w:lineRule="auto"/>
      </w:pPr>
      <w:r>
        <w:rPr>
          <w:rFonts w:ascii="Calibri" w:cs="Calibri" w:eastAsia="Calibri" w:hAnsi="Calibri"/>
          <w:color w:val="1A1A2E"/>
          <w:sz w:val="26"/>
          <w:szCs w:val="26"/>
        </w:rPr>
        <w:t xml:space="preserve">8.1 Default Contradiction Rule</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Opposed events are not automatically treated as cancellation. They are retained as simultaneous members of the total event set unless an external rule explicitly defines cancellation, priority, sequencing, partitioning, or resolution.</w:t>
      </w:r>
    </w:p>
    <w:p>
      <w:pPr>
        <w:spacing w:after="240" w:line="408" w:lineRule="auto"/>
      </w:pPr>
      <w:r>
        <w:rPr>
          <w:b w:val="false"/>
          <w:bCs w:val="false"/>
          <w:i w:val="false"/>
          <w:iCs w:val="false"/>
          <w:color w:val="1A1A2E"/>
          <w:shd w:fill="F7F7F7" w:color="auto" w:val="clear"/>
        </w:rPr>
        <w:t xml:space="preserve">A + Opp(A) ≠ 0</w:t>
      </w:r>
      <w:r>
        <w:rPr>
          <w:b w:val="false"/>
          <w:bCs w:val="false"/>
          <w:i w:val="false"/>
          <w:iCs w:val="false"/>
          <w:color w:val="1A1A2E"/>
          <w:shd w:fill="F7F7F7" w:color="auto" w:val="clear"/>
        </w:rPr>
        <w:br/>
      </w:r>
      <w:r>
        <w:rPr>
          <w:b w:val="false"/>
          <w:bCs w:val="false"/>
          <w:i w:val="false"/>
          <w:iCs w:val="false"/>
          <w:color w:val="1A1A2E"/>
          <w:shd w:fill="F7F7F7" w:color="auto" w:val="clear"/>
        </w:rPr>
        <w:t xml:space="preserve">A + Opp(A) = Coexisting Oppositional State</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Under the default rule, "create" and "dissolve," "link" and "unlink," or "expand" and "contract" are treated as simultaneously represented outcomes within the documented event set, rather than as a simple nullification. This default is adopted as canon pending Architect review; see Section 9 for alternative resolution models (branching, sequencing) proposed elsewhere in the comparative round.</w:t>
      </w:r>
    </w:p>
    <w:p>
      <w:pPr>
        <w:pStyle w:val="Heading1"/>
        <w:spacing w:after="100" w:before="560" w:line="384" w:lineRule="auto"/>
      </w:pPr>
      <w:r>
        <w:rPr>
          <w:rFonts w:ascii="Calibri" w:cs="Calibri" w:eastAsia="Calibri" w:hAnsi="Calibri"/>
          <w:color w:val="1A1A2E"/>
          <w:sz w:val="32"/>
          <w:szCs w:val="32"/>
        </w:rPr>
        <w:t xml:space="preserve">9. CROSS-AI COMPARATIVE LOG (OAL-AIDR ENTRY)</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Per OAL-AIDR-v1.0, this section records where the five source formalizations diverged, so no divergence is silently resolved by the compiling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Design Question</w:t>
            </w:r>
          </w:p>
        </w:tc>
        <w:tc>
          <w:tcPr>
            <w:tcW w:type="pct" w:w="52%"/>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Divergent Positions Logged</w:t>
            </w:r>
          </w:p>
        </w:tc>
        <w:tc>
          <w:tcPr>
            <w:tcW w:type="pct" w:w="30%"/>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Status</w:t>
            </w:r>
          </w:p>
        </w:tc>
      </w:tr>
      <w:tr>
        <w:trPr>
          <w:tblHeader w:val="false"/>
        </w:trPr>
        <w:tc>
          <w:tcPr>
            <w:tcW w:type="pct" w:w="18%"/>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Contradiction resolution (A vs. ¬A)</w:t>
            </w:r>
          </w:p>
        </w:tc>
        <w:tc>
          <w:tcPr>
            <w:tcW w:type="pct" w:w="52%"/>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ChatGPT: coexistence, no cancellation by default. Copilot/Grok: implicitly simultaneous, mechanism unstated. No source proposes sequencing as default.</w:t>
            </w:r>
          </w:p>
        </w:tc>
        <w:tc>
          <w:tcPr>
            <w:tcW w:type="pct" w:w="3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OPEN — coexistence adopted provisionally (§8.1); alternatives available on request</w:t>
            </w:r>
          </w:p>
        </w:tc>
      </w:tr>
      <w:tr>
        <w:trPr>
          <w:tblHeader w:val="false"/>
        </w:trPr>
        <w:tc>
          <w:tcPr>
            <w:tcW w:type="pct" w:w="18%"/>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Proportionality formalism</w:t>
            </w:r>
          </w:p>
        </w:tc>
        <w:tc>
          <w:tcPr>
            <w:tcW w:type="pct" w:w="52%"/>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ChatGPT: symbolic spectrum (m, −m, km, m/k, f(m)). Copilot: tunable operator with inclusion flags (α, β) and scope function S(A). Gemini/Grok/Perplexity: descriptive categories only, no formal math.</w:t>
            </w:r>
          </w:p>
        </w:tc>
        <w:tc>
          <w:tcPr>
            <w:tcW w:type="pct" w:w="3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OPEN — §6 adopts ChatGPT's notation; Copilot's tunable operator held in reserve as an extension (§10)</w:t>
            </w:r>
          </w:p>
        </w:tc>
      </w:tr>
      <w:tr>
        <w:trPr>
          <w:tblHeader w:val="false"/>
        </w:trPr>
        <w:tc>
          <w:tcPr>
            <w:tcW w:type="pct" w:w="18%"/>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"All directional equivalents" — scope of "all"</w:t>
            </w:r>
          </w:p>
        </w:tc>
        <w:tc>
          <w:tcPr>
            <w:tcW w:type="pct" w:w="52%"/>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ChatGPT poses this explicitly as unresolved: logically possible, known, or system-bounded equivalents. No source commits to one answer.</w:t>
            </w:r>
          </w:p>
        </w:tc>
        <w:tc>
          <w:tcPr>
            <w:tcW w:type="pct" w:w="3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OPEN — requires Architect decision</w:t>
            </w:r>
          </w:p>
        </w:tc>
      </w:tr>
      <w:tr>
        <w:trPr>
          <w:tblHeader w:val="false"/>
        </w:trPr>
        <w:tc>
          <w:tcPr>
            <w:tcW w:type="pct" w:w="18%"/>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Execution order</w:t>
            </w:r>
          </w:p>
        </w:tc>
        <w:tc>
          <w:tcPr>
            <w:tcW w:type="pct" w:w="52%"/>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ChatGPT asks whether activation is simultaneous, sequential, recursive, or conditional; no source defaults this.</w:t>
            </w:r>
          </w:p>
        </w:tc>
        <w:tc>
          <w:tcPr>
            <w:tcW w:type="pct" w:w="3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OPEN — requires Architect decision</w:t>
            </w:r>
          </w:p>
        </w:tc>
      </w:tr>
      <w:tr>
        <w:trPr>
          <w:tblHeader w:val="false"/>
        </w:trPr>
        <w:tc>
          <w:tcPr>
            <w:tcW w:type="pct" w:w="18%"/>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Metaphorical/symbolic directionality</w:t>
            </w:r>
          </w:p>
        </w:tc>
        <w:tc>
          <w:tcPr>
            <w:tcW w:type="pct" w:w="52%"/>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ChatGPT raises whether a directional equivalent requires a measurable relation to A or may be purely abstract/symbolic.</w:t>
            </w:r>
          </w:p>
        </w:tc>
        <w:tc>
          <w:tcPr>
            <w:tcW w:type="pct" w:w="3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OPEN — requires Architect decision</w:t>
            </w:r>
          </w:p>
        </w:tc>
      </w:tr>
      <w:tr>
        <w:trPr>
          <w:tblHeader w:val="false"/>
        </w:trPr>
        <w:tc>
          <w:tcPr>
            <w:tcW w:type="pct" w:w="18%"/>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Domain/scope binding</w:t>
            </w:r>
          </w:p>
        </w:tc>
        <w:tc>
          <w:tcPr>
            <w:tcW w:type="pct" w:w="52%"/>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ChatGPT and Claude both independently required an explicit scope declaration defaulting to conceptual-only. Gemini and Grok's framings lean more operative in tone but do not contradict this requirement outright.</w:t>
            </w:r>
          </w:p>
        </w:tc>
        <w:tc>
          <w:tcPr>
            <w:tcW w:type="pct" w:w="3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RESOLVED for this document — §1 scope binds this instrument; any future invocation must re-declare scope</w:t>
            </w:r>
          </w:p>
        </w:tc>
      </w:tr>
    </w:tbl>
    <w:p>
      <w:pPr>
        <w:spacing w:after="200" w:before="0"/>
      </w:pPr>
    </w:p>
    <w:p>
      <w:pPr>
        <w:pStyle w:val="Heading1"/>
        <w:spacing w:after="100" w:before="560" w:line="384" w:lineRule="auto"/>
      </w:pPr>
      <w:r>
        <w:rPr>
          <w:rFonts w:ascii="Calibri" w:cs="Calibri" w:eastAsia="Calibri" w:hAnsi="Calibri"/>
          <w:color w:val="1A1A2E"/>
          <w:sz w:val="32"/>
          <w:szCs w:val="32"/>
        </w:rPr>
        <w:t xml:space="preserve">10. EXTENSION RESERVE: TUNABLE OPERATOR (NOT YET CANON)</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One contributing formalization (Copilot) proposed parameterizing the closure operator so that inclusion of opposites and non-directional events can be toggled and scoped, rather than always firing at full saturation. This is recorded here as a reserved extension — not adopted into the Section 4 core rule — pending Architect decision on whether BTEC should ship with tunability by default.</w:t>
      </w:r>
    </w:p>
    <w:p>
      <w:pPr>
        <w:spacing w:after="240" w:line="408" w:lineRule="auto"/>
      </w:pPr>
      <w:r>
        <w:rPr>
          <w:b w:val="false"/>
          <w:bCs w:val="false"/>
          <w:i w:val="false"/>
          <w:iCs w:val="false"/>
          <w:color w:val="1A1A2E"/>
          <w:shd w:fill="F7F7F7" w:color="auto" w:val="clear"/>
        </w:rPr>
        <w:t xml:space="preserve">Closure(A; α, β, S) = {A} ∪ (α·{Opp(A)}) ∪ {e | e ~d A, e ∈ S(A)} ∪ (β·{e | dir(e) undefined})</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Where </w:t>
      </w:r>
      <w:r>
        <w:rPr>
          <w:rFonts w:ascii="Cambria" w:cs="Cambria" w:eastAsia="Cambria" w:hAnsi="Cambria"/>
          <w:b/>
          <w:bCs/>
          <w:i w:val="false"/>
          <w:iCs w:val="false"/>
          <w:strike w:val="false"/>
          <w:color w:val="111111"/>
          <w:sz w:val="22"/>
          <w:szCs w:val="22"/>
        </w:rPr>
        <w:t xml:space="preserve">α ∈ {0,1}</w:t>
      </w:r>
      <w:r>
        <w:rPr>
          <w:rFonts w:ascii="Cambria" w:cs="Cambria" w:eastAsia="Cambria" w:hAnsi="Cambria"/>
          <w:b w:val="false"/>
          <w:bCs w:val="false"/>
          <w:i w:val="false"/>
          <w:iCs w:val="false"/>
          <w:strike w:val="false"/>
          <w:color w:val="111111"/>
          <w:sz w:val="22"/>
          <w:szCs w:val="22"/>
        </w:rPr>
        <w:t xml:space="preserve"> toggles inclusion of the opposite; </w:t>
      </w:r>
      <w:r>
        <w:rPr>
          <w:rFonts w:ascii="Cambria" w:cs="Cambria" w:eastAsia="Cambria" w:hAnsi="Cambria"/>
          <w:b/>
          <w:bCs/>
          <w:i w:val="false"/>
          <w:iCs w:val="false"/>
          <w:strike w:val="false"/>
          <w:color w:val="111111"/>
          <w:sz w:val="22"/>
          <w:szCs w:val="22"/>
        </w:rPr>
        <w:t xml:space="preserve">β ∈ {0,1}</w:t>
      </w:r>
      <w:r>
        <w:rPr>
          <w:rFonts w:ascii="Cambria" w:cs="Cambria" w:eastAsia="Cambria" w:hAnsi="Cambria"/>
          <w:b w:val="false"/>
          <w:bCs w:val="false"/>
          <w:i w:val="false"/>
          <w:iCs w:val="false"/>
          <w:strike w:val="false"/>
          <w:color w:val="111111"/>
          <w:sz w:val="22"/>
          <w:szCs w:val="22"/>
        </w:rPr>
        <w:t xml:space="preserve"> toggles inclusion of non-directional events; and </w:t>
      </w:r>
      <w:r>
        <w:rPr>
          <w:rFonts w:ascii="Cambria" w:cs="Cambria" w:eastAsia="Cambria" w:hAnsi="Cambria"/>
          <w:b/>
          <w:bCs/>
          <w:i w:val="false"/>
          <w:iCs w:val="false"/>
          <w:strike w:val="false"/>
          <w:color w:val="111111"/>
          <w:sz w:val="22"/>
          <w:szCs w:val="22"/>
        </w:rPr>
        <w:t xml:space="preserve">S(A)</w:t>
      </w:r>
      <w:r>
        <w:rPr>
          <w:rFonts w:ascii="Cambria" w:cs="Cambria" w:eastAsia="Cambria" w:hAnsi="Cambria"/>
          <w:b w:val="false"/>
          <w:bCs w:val="false"/>
          <w:i w:val="false"/>
          <w:iCs w:val="false"/>
          <w:strike w:val="false"/>
          <w:color w:val="111111"/>
          <w:sz w:val="22"/>
          <w:szCs w:val="22"/>
        </w:rPr>
        <w:t xml:space="preserve"> bounds which directional equivalents are in scope (e.g., by magnitude, domain, or category).</w:t>
      </w:r>
    </w:p>
    <w:p>
      <w:pPr>
        <w:pStyle w:val="Heading1"/>
        <w:spacing w:after="100" w:before="560" w:line="384" w:lineRule="auto"/>
      </w:pPr>
      <w:r>
        <w:rPr>
          <w:rFonts w:ascii="Calibri" w:cs="Calibri" w:eastAsia="Calibri" w:hAnsi="Calibri"/>
          <w:color w:val="1A1A2E"/>
          <w:sz w:val="32"/>
          <w:szCs w:val="32"/>
        </w:rPr>
        <w:t xml:space="preserve">11. STANDARD INVOCATION FORMAT</w:t>
      </w:r>
    </w:p>
    <w:p>
      <w:pPr>
        <w:pBdr>
          <w:top w:val="single" w:color="1A1A2E" w:sz="6"/>
        </w:pBdr>
        <w:spacing w:after="200" w:before="0"/>
      </w:pPr>
    </w:p>
    <w:p>
      <w:pPr>
        <w:pStyle w:val="Heading2"/>
        <w:spacing w:after="80" w:before="280" w:line="384" w:lineRule="auto"/>
      </w:pPr>
      <w:r>
        <w:rPr>
          <w:rFonts w:ascii="Calibri" w:cs="Calibri" w:eastAsia="Calibri" w:hAnsi="Calibri"/>
          <w:color w:val="1A1A2E"/>
          <w:sz w:val="26"/>
          <w:szCs w:val="26"/>
        </w:rPr>
        <w:t xml:space="preserve">11.1 Full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8" w:color="auto" w:val="clear"/>
            <w:tcMar>
              <w:top w:type="dxa" w:w="200"/>
              <w:left w:type="dxa" w:w="280"/>
              <w:bottom w:type="dxa" w:w="200"/>
              <w:right w:type="dxa" w:w="280"/>
            </w:tcMar>
          </w:tcPr>
          <w:p>
            <w:pPr>
              <w:spacing w:after="120" w:line="408" w:lineRule="auto"/>
            </w:pPr>
            <w:r>
              <w:rPr>
                <w:b/>
                <w:bCs/>
                <w:i w:val="false"/>
                <w:iCs w:val="false"/>
                <w:color w:val="1A1A2E"/>
              </w:rPr>
              <w:t xml:space="preserve">■ Canonical Long Form</w:t>
            </w:r>
          </w:p>
          <w:p>
            <w:pPr>
              <w:spacing w:after="0" w:line="384" w:lineRule="auto"/>
              <w:jc w:val="both"/>
            </w:pPr>
            <w:r>
              <w:rPr>
                <w:rFonts w:ascii="Cambria" w:cs="Cambria" w:eastAsia="Cambria" w:hAnsi="Cambria"/>
                <w:b w:val="false"/>
                <w:bCs w:val="false"/>
                <w:i w:val="false"/>
                <w:iCs w:val="false"/>
                <w:strike w:val="false"/>
                <w:color w:val="111111"/>
                <w:sz w:val="21"/>
                <w:szCs w:val="21"/>
              </w:rPr>
              <w:t xml:space="preserve">Define Event A as: [event]. Activate Bidirectional Total Event Closure. Cause Event A to occur. Cause the opposite of Event A to occur. Cause every directional equivalent of Event A to occur, whether proportional, disproportionate, direct, inverse, partial, total, recursive, or otherwise directionally related. Where no directional equivalent exists, cause the event to occur without directional qualification. Retain opposed outcomes as coexisting unless a separate resolution rule is specified. Scope: [domain, mandatory]. Resolution rule: [rule, or "default §8.1"].</w:t>
            </w:r>
          </w:p>
        </w:tc>
      </w:tr>
    </w:tbl>
    <w:p>
      <w:pPr>
        <w:spacing w:after="240" w:before="0"/>
      </w:pPr>
    </w:p>
    <w:p>
      <w:pPr>
        <w:pStyle w:val="Heading2"/>
        <w:spacing w:after="80" w:before="280" w:line="384" w:lineRule="auto"/>
      </w:pPr>
      <w:r>
        <w:rPr>
          <w:rFonts w:ascii="Calibri" w:cs="Calibri" w:eastAsia="Calibri" w:hAnsi="Calibri"/>
          <w:color w:val="1A1A2E"/>
          <w:sz w:val="26"/>
          <w:szCs w:val="26"/>
        </w:rPr>
        <w:t xml:space="preserve">11.2 Compact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8" w:color="auto" w:val="clear"/>
            <w:tcMar>
              <w:top w:type="dxa" w:w="200"/>
              <w:left w:type="dxa" w:w="280"/>
              <w:bottom w:type="dxa" w:w="200"/>
              <w:right w:type="dxa" w:w="280"/>
            </w:tcMar>
          </w:tcPr>
          <w:p>
            <w:pPr>
              <w:spacing w:after="120" w:line="408" w:lineRule="auto"/>
            </w:pPr>
            <w:r>
              <w:rPr>
                <w:b/>
                <w:bCs/>
                <w:i w:val="false"/>
                <w:iCs w:val="false"/>
                <w:color w:val="1A1A2E"/>
              </w:rPr>
              <w:t xml:space="preserve">■ Compact Form</w:t>
            </w:r>
          </w:p>
          <w:p>
            <w:pPr>
              <w:spacing w:after="0" w:line="384" w:lineRule="auto"/>
              <w:jc w:val="both"/>
            </w:pPr>
            <w:r>
              <w:rPr>
                <w:rFonts w:ascii="Cambria" w:cs="Cambria" w:eastAsia="Cambria" w:hAnsi="Cambria"/>
                <w:b w:val="false"/>
                <w:bCs w:val="false"/>
                <w:i w:val="false"/>
                <w:iCs w:val="false"/>
                <w:strike w:val="false"/>
                <w:color w:val="111111"/>
                <w:sz w:val="21"/>
                <w:szCs w:val="21"/>
              </w:rPr>
              <w:t xml:space="preserve">Activate BTEC for Event A across all directional, oppositional, proportional, disproportional, and non-directional equivalents within [scope].</w:t>
            </w:r>
          </w:p>
        </w:tc>
      </w:tr>
    </w:tbl>
    <w:p>
      <w:pPr>
        <w:spacing w:after="240" w:before="0"/>
      </w:pPr>
    </w:p>
    <w:p>
      <w:pPr>
        <w:pStyle w:val="Heading1"/>
        <w:spacing w:after="100" w:before="560" w:line="384" w:lineRule="auto"/>
      </w:pPr>
      <w:r>
        <w:rPr>
          <w:rFonts w:ascii="Calibri" w:cs="Calibri" w:eastAsia="Calibri" w:hAnsi="Calibri"/>
          <w:color w:val="1A1A2E"/>
          <w:sz w:val="32"/>
          <w:szCs w:val="32"/>
        </w:rPr>
        <w:t xml:space="preserve">12. RESOLUTION MODES</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TECP determines inclusion and activation. Resolution Modes determine how activated outcomes are represented after inclusion. Unless expressly changed, the default Resolution Mode is </w:t>
      </w:r>
      <w:r>
        <w:rPr>
          <w:rFonts w:ascii="Cambria" w:cs="Cambria" w:eastAsia="Cambria" w:hAnsi="Cambria"/>
          <w:b/>
          <w:bCs/>
          <w:i w:val="false"/>
          <w:iCs w:val="false"/>
          <w:strike w:val="false"/>
          <w:color w:val="111111"/>
          <w:sz w:val="22"/>
          <w:szCs w:val="22"/>
        </w:rPr>
        <w:t xml:space="preserve">Coexistence</w:t>
      </w:r>
      <w:r>
        <w:rPr>
          <w:rFonts w:ascii="Cambria" w:cs="Cambria" w:eastAsia="Cambria" w:hAnsi="Cambria"/>
          <w:b w:val="false"/>
          <w:bCs w:val="false"/>
          <w:i w:val="false"/>
          <w:iCs w:val="false"/>
          <w:strike w:val="false"/>
          <w:color w:val="111111"/>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Mode</w:t>
            </w:r>
          </w:p>
        </w:tc>
        <w:tc>
          <w:tcPr>
            <w:tcW w:type="pct" w:w="80%"/>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20%"/>
            <w:tcMar>
              <w:top w:type="dxa" w:w="75"/>
              <w:left w:type="dxa" w:w="150"/>
              <w:bottom w:type="dxa" w:w="75"/>
              <w:right w:type="dxa" w:w="150"/>
            </w:tcMar>
          </w:tcPr>
          <w:p>
            <w:r>
              <w:rPr>
                <w:rFonts w:ascii="Cambria" w:cs="Cambria" w:eastAsia="Cambria" w:hAnsi="Cambria"/>
                <w:b/>
                <w:bCs/>
                <w:i w:val="false"/>
                <w:iCs w:val="false"/>
                <w:strike w:val="false"/>
                <w:color w:val="111111"/>
                <w:sz w:val="22"/>
                <w:szCs w:val="22"/>
              </w:rPr>
              <w:t xml:space="preserve">Coexistence</w:t>
            </w:r>
          </w:p>
        </w:tc>
        <w:tc>
          <w:tcPr>
            <w:tcW w:type="pct" w:w="8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Opposed outcomes remain simultaneously active and separately identifiable.</w:t>
            </w:r>
          </w:p>
        </w:tc>
      </w:tr>
      <w:tr>
        <w:trPr>
          <w:tblHeader w:val="false"/>
        </w:trPr>
        <w:tc>
          <w:tcPr>
            <w:tcW w:type="pct" w:w="20%"/>
            <w:tcMar>
              <w:top w:type="dxa" w:w="75"/>
              <w:left w:type="dxa" w:w="150"/>
              <w:bottom w:type="dxa" w:w="75"/>
              <w:right w:type="dxa" w:w="150"/>
            </w:tcMar>
          </w:tcPr>
          <w:p>
            <w:r>
              <w:rPr>
                <w:rFonts w:ascii="Cambria" w:cs="Cambria" w:eastAsia="Cambria" w:hAnsi="Cambria"/>
                <w:b/>
                <w:bCs/>
                <w:i w:val="false"/>
                <w:iCs w:val="false"/>
                <w:strike w:val="false"/>
                <w:color w:val="111111"/>
                <w:sz w:val="22"/>
                <w:szCs w:val="22"/>
              </w:rPr>
              <w:t xml:space="preserve">Branching</w:t>
            </w:r>
          </w:p>
        </w:tc>
        <w:tc>
          <w:tcPr>
            <w:tcW w:type="pct" w:w="8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Each incompatible outcome is represented in a distinct branch, state, model, or record.</w:t>
            </w:r>
          </w:p>
        </w:tc>
      </w:tr>
      <w:tr>
        <w:trPr>
          <w:tblHeader w:val="false"/>
        </w:trPr>
        <w:tc>
          <w:tcPr>
            <w:tcW w:type="pct" w:w="20%"/>
            <w:tcMar>
              <w:top w:type="dxa" w:w="75"/>
              <w:left w:type="dxa" w:w="150"/>
              <w:bottom w:type="dxa" w:w="75"/>
              <w:right w:type="dxa" w:w="150"/>
            </w:tcMar>
          </w:tcPr>
          <w:p>
            <w:r>
              <w:rPr>
                <w:rFonts w:ascii="Cambria" w:cs="Cambria" w:eastAsia="Cambria" w:hAnsi="Cambria"/>
                <w:b/>
                <w:bCs/>
                <w:i w:val="false"/>
                <w:iCs w:val="false"/>
                <w:strike w:val="false"/>
                <w:color w:val="111111"/>
                <w:sz w:val="22"/>
                <w:szCs w:val="22"/>
              </w:rPr>
              <w:t xml:space="preserve">Sequencing</w:t>
            </w:r>
          </w:p>
        </w:tc>
        <w:tc>
          <w:tcPr>
            <w:tcW w:type="pct" w:w="8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Opposed outcomes occur in a declared order, cycle, or temporal arrangement.</w:t>
            </w:r>
          </w:p>
        </w:tc>
      </w:tr>
      <w:tr>
        <w:trPr>
          <w:tblHeader w:val="false"/>
        </w:trPr>
        <w:tc>
          <w:tcPr>
            <w:tcW w:type="pct" w:w="20%"/>
            <w:tcMar>
              <w:top w:type="dxa" w:w="75"/>
              <w:left w:type="dxa" w:w="150"/>
              <w:bottom w:type="dxa" w:w="75"/>
              <w:right w:type="dxa" w:w="150"/>
            </w:tcMar>
          </w:tcPr>
          <w:p>
            <w:r>
              <w:rPr>
                <w:rFonts w:ascii="Cambria" w:cs="Cambria" w:eastAsia="Cambria" w:hAnsi="Cambria"/>
                <w:b/>
                <w:bCs/>
                <w:i w:val="false"/>
                <w:iCs w:val="false"/>
                <w:strike w:val="false"/>
                <w:color w:val="111111"/>
                <w:sz w:val="22"/>
                <w:szCs w:val="22"/>
              </w:rPr>
              <w:t xml:space="preserve">Partitioning</w:t>
            </w:r>
          </w:p>
        </w:tc>
        <w:tc>
          <w:tcPr>
            <w:tcW w:type="pct" w:w="8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Outcomes apply to different targets, domains, times, locations, or layers.</w:t>
            </w:r>
          </w:p>
        </w:tc>
      </w:tr>
      <w:tr>
        <w:trPr>
          <w:tblHeader w:val="false"/>
        </w:trPr>
        <w:tc>
          <w:tcPr>
            <w:tcW w:type="pct" w:w="20%"/>
            <w:tcMar>
              <w:top w:type="dxa" w:w="75"/>
              <w:left w:type="dxa" w:w="150"/>
              <w:bottom w:type="dxa" w:w="75"/>
              <w:right w:type="dxa" w:w="150"/>
            </w:tcMar>
          </w:tcPr>
          <w:p>
            <w:r>
              <w:rPr>
                <w:rFonts w:ascii="Cambria" w:cs="Cambria" w:eastAsia="Cambria" w:hAnsi="Cambria"/>
                <w:b/>
                <w:bCs/>
                <w:i w:val="false"/>
                <w:iCs w:val="false"/>
                <w:strike w:val="false"/>
                <w:color w:val="111111"/>
                <w:sz w:val="22"/>
                <w:szCs w:val="22"/>
              </w:rPr>
              <w:t xml:space="preserve">Synthesis</w:t>
            </w:r>
          </w:p>
        </w:tc>
        <w:tc>
          <w:tcPr>
            <w:tcW w:type="pct" w:w="8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Opposed outcomes generate a third, compound, or transformed state.</w:t>
            </w:r>
          </w:p>
        </w:tc>
      </w:tr>
      <w:tr>
        <w:trPr>
          <w:tblHeader w:val="false"/>
        </w:trPr>
        <w:tc>
          <w:tcPr>
            <w:tcW w:type="pct" w:w="20%"/>
            <w:tcMar>
              <w:top w:type="dxa" w:w="75"/>
              <w:left w:type="dxa" w:w="150"/>
              <w:bottom w:type="dxa" w:w="75"/>
              <w:right w:type="dxa" w:w="150"/>
            </w:tcMar>
          </w:tcPr>
          <w:p>
            <w:r>
              <w:rPr>
                <w:rFonts w:ascii="Cambria" w:cs="Cambria" w:eastAsia="Cambria" w:hAnsi="Cambria"/>
                <w:b/>
                <w:bCs/>
                <w:i w:val="false"/>
                <w:iCs w:val="false"/>
                <w:strike w:val="false"/>
                <w:color w:val="111111"/>
                <w:sz w:val="22"/>
                <w:szCs w:val="22"/>
              </w:rPr>
              <w:t xml:space="preserve">Cancellation</w:t>
            </w:r>
          </w:p>
        </w:tc>
        <w:tc>
          <w:tcPr>
            <w:tcW w:type="pct" w:w="8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An express rule reduces opposing outcomes under a defined cancellation method. This is not the default.</w:t>
            </w:r>
          </w:p>
        </w:tc>
      </w:tr>
      <w:tr>
        <w:trPr>
          <w:tblHeader w:val="false"/>
        </w:trPr>
        <w:tc>
          <w:tcPr>
            <w:tcW w:type="pct" w:w="20%"/>
            <w:tcMar>
              <w:top w:type="dxa" w:w="75"/>
              <w:left w:type="dxa" w:w="150"/>
              <w:bottom w:type="dxa" w:w="75"/>
              <w:right w:type="dxa" w:w="150"/>
            </w:tcMar>
          </w:tcPr>
          <w:p>
            <w:r>
              <w:rPr>
                <w:rFonts w:ascii="Cambria" w:cs="Cambria" w:eastAsia="Cambria" w:hAnsi="Cambria"/>
                <w:b/>
                <w:bCs/>
                <w:i w:val="false"/>
                <w:iCs w:val="false"/>
                <w:strike w:val="false"/>
                <w:color w:val="111111"/>
                <w:sz w:val="22"/>
                <w:szCs w:val="22"/>
              </w:rPr>
              <w:t xml:space="preserve">Recursive Closure</w:t>
            </w:r>
          </w:p>
        </w:tc>
        <w:tc>
          <w:tcPr>
            <w:tcW w:type="pct" w:w="80%"/>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The result of each activated event becomes a new Event A and triggers another closure cycle.</w:t>
            </w:r>
          </w:p>
        </w:tc>
      </w:tr>
    </w:tbl>
    <w:p>
      <w:pPr>
        <w:spacing w:after="200" w:before="0"/>
      </w:pPr>
    </w:p>
    <w:p>
      <w:pPr>
        <w:pStyle w:val="Heading1"/>
        <w:spacing w:after="100" w:before="560" w:line="384" w:lineRule="auto"/>
      </w:pPr>
      <w:r>
        <w:rPr>
          <w:rFonts w:ascii="Calibri" w:cs="Calibri" w:eastAsia="Calibri" w:hAnsi="Calibri"/>
          <w:color w:val="1A1A2E"/>
          <w:sz w:val="32"/>
          <w:szCs w:val="32"/>
        </w:rPr>
        <w:t xml:space="preserve">13. TESTING AND VALIDATION PROTOCOL</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The first iteration should be tested through bounded, inspectable event-spaces before any broader Canon integration. A test does not determine final Canon status; it exposes classification gaps, ambiguity, contradictions, and unintended expansions for review.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Define a finite, inspectable event-space 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Declare one initiating event A.</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List each directional event, its known opposites, and its known variations.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List each non-directional event.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Apply BTEC and record every resulting inclusion.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Identify ambiguous events and run the Ambiguity Rule.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Apply the declared Resolution Mode.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Review for omissions, duplicate classifications, inconsistent opposite definitions, and unbounded recursion.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Record findings in the Review Record and revise the protocol only through a versioned update.</w:t>
      </w:r>
    </w:p>
    <w:p>
      <w:pPr>
        <w:pStyle w:val="Heading1"/>
        <w:spacing w:after="100" w:before="560" w:line="384" w:lineRule="auto"/>
      </w:pPr>
      <w:r>
        <w:rPr>
          <w:rFonts w:ascii="Calibri" w:cs="Calibri" w:eastAsia="Calibri" w:hAnsi="Calibri"/>
          <w:color w:val="1A1A2E"/>
          <w:sz w:val="32"/>
          <w:szCs w:val="32"/>
        </w:rPr>
        <w:t xml:space="preserve">14. TEST CASES</w:t>
      </w:r>
    </w:p>
    <w:p>
      <w:pPr>
        <w:pBdr>
          <w:top w:val="single" w:color="1A1A2E" w:sz="6"/>
        </w:pBdr>
        <w:spacing w:after="200" w:before="0"/>
      </w:pPr>
    </w:p>
    <w:p>
      <w:pPr>
        <w:pStyle w:val="Heading2"/>
        <w:spacing w:after="80" w:before="280" w:line="384" w:lineRule="auto"/>
      </w:pPr>
      <w:r>
        <w:rPr>
          <w:rFonts w:ascii="Calibri" w:cs="Calibri" w:eastAsia="Calibri" w:hAnsi="Calibri"/>
          <w:color w:val="1A1A2E"/>
          <w:sz w:val="26"/>
          <w:szCs w:val="26"/>
        </w:rPr>
        <w:t xml:space="preserve">Test Case One: Expansion</w:t>
      </w:r>
    </w:p>
    <w:p>
      <w:pPr>
        <w:spacing w:after="240" w:before="60" w:line="384" w:lineRule="auto"/>
        <w:jc w:val="both"/>
      </w:pPr>
      <w:r>
        <w:rPr>
          <w:rFonts w:ascii="Cambria" w:cs="Cambria" w:eastAsia="Cambria" w:hAnsi="Cambria"/>
          <w:b/>
          <w:bCs/>
          <w:i w:val="false"/>
          <w:iCs w:val="false"/>
          <w:strike w:val="false"/>
          <w:color w:val="111111"/>
          <w:sz w:val="22"/>
          <w:szCs w:val="22"/>
        </w:rPr>
        <w:t xml:space="preserve">Event A:</w:t>
      </w:r>
      <w:r>
        <w:rPr>
          <w:rFonts w:ascii="Cambria" w:cs="Cambria" w:eastAsia="Cambria" w:hAnsi="Cambria"/>
          <w:b w:val="false"/>
          <w:bCs w:val="false"/>
          <w:i w:val="false"/>
          <w:iCs w:val="false"/>
          <w:strike w:val="false"/>
          <w:color w:val="111111"/>
          <w:sz w:val="22"/>
          <w:szCs w:val="22"/>
        </w:rPr>
        <w:t xml:space="preserve"> Expand a system.</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Expand the system</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Contract the system</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Expand partially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Expand completely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Expand rapidly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Expand gradually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Expand inwardly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Expand outwardly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Preserve the system without directional expansion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Apply expansion where direction does not meaningfully exist</w:t>
      </w:r>
    </w:p>
    <w:p>
      <w:pPr>
        <w:pStyle w:val="Heading2"/>
        <w:spacing w:after="80" w:before="280" w:line="384" w:lineRule="auto"/>
      </w:pPr>
      <w:r>
        <w:rPr>
          <w:rFonts w:ascii="Calibri" w:cs="Calibri" w:eastAsia="Calibri" w:hAnsi="Calibri"/>
          <w:color w:val="1A1A2E"/>
          <w:sz w:val="26"/>
          <w:szCs w:val="26"/>
        </w:rPr>
        <w:t xml:space="preserve">Test Case Two: Visibility</w:t>
      </w:r>
    </w:p>
    <w:p>
      <w:pPr>
        <w:spacing w:after="240" w:before="60" w:line="384" w:lineRule="auto"/>
        <w:jc w:val="both"/>
      </w:pPr>
      <w:r>
        <w:rPr>
          <w:rFonts w:ascii="Cambria" w:cs="Cambria" w:eastAsia="Cambria" w:hAnsi="Cambria"/>
          <w:b/>
          <w:bCs/>
          <w:i w:val="false"/>
          <w:iCs w:val="false"/>
          <w:strike w:val="false"/>
          <w:color w:val="111111"/>
          <w:sz w:val="22"/>
          <w:szCs w:val="22"/>
        </w:rPr>
        <w:t xml:space="preserve">Event A:</w:t>
      </w:r>
      <w:r>
        <w:rPr>
          <w:rFonts w:ascii="Cambria" w:cs="Cambria" w:eastAsia="Cambria" w:hAnsi="Cambria"/>
          <w:b w:val="false"/>
          <w:bCs w:val="false"/>
          <w:i w:val="false"/>
          <w:iCs w:val="false"/>
          <w:strike w:val="false"/>
          <w:color w:val="111111"/>
          <w:sz w:val="22"/>
          <w:szCs w:val="22"/>
        </w:rPr>
        <w:t xml:space="preserve"> Make an object visible.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Make the object visible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Make the object concealed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Increase visibility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Decrease visibility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Make visibility partial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Make visibility total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Make visibility observer-dependent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Preserve the object's status where visibility is not directionally applicable</w:t>
      </w:r>
    </w:p>
    <w:p>
      <w:pPr>
        <w:pStyle w:val="Heading2"/>
        <w:spacing w:after="80" w:before="280" w:line="384" w:lineRule="auto"/>
      </w:pPr>
      <w:r>
        <w:rPr>
          <w:rFonts w:ascii="Calibri" w:cs="Calibri" w:eastAsia="Calibri" w:hAnsi="Calibri"/>
          <w:color w:val="1A1A2E"/>
          <w:sz w:val="26"/>
          <w:szCs w:val="26"/>
        </w:rPr>
        <w:t xml:space="preserve">Test Case Three: Connection (Conceptual Model Only)</w:t>
      </w:r>
    </w:p>
    <w:p>
      <w:pPr>
        <w:spacing w:after="240" w:before="60" w:line="384" w:lineRule="auto"/>
        <w:jc w:val="both"/>
      </w:pPr>
      <w:r>
        <w:rPr>
          <w:rFonts w:ascii="Cambria" w:cs="Cambria" w:eastAsia="Cambria" w:hAnsi="Cambria"/>
          <w:b/>
          <w:bCs/>
          <w:i w:val="false"/>
          <w:iCs w:val="false"/>
          <w:strike w:val="false"/>
          <w:color w:val="111111"/>
          <w:sz w:val="22"/>
          <w:szCs w:val="22"/>
        </w:rPr>
        <w:t xml:space="preserve">Event A:</w:t>
      </w:r>
      <w:r>
        <w:rPr>
          <w:rFonts w:ascii="Cambria" w:cs="Cambria" w:eastAsia="Cambria" w:hAnsi="Cambria"/>
          <w:b w:val="false"/>
          <w:bCs w:val="false"/>
          <w:i w:val="false"/>
          <w:iCs w:val="false"/>
          <w:strike w:val="false"/>
          <w:color w:val="111111"/>
          <w:sz w:val="22"/>
          <w:szCs w:val="22"/>
        </w:rPr>
        <w:t xml:space="preserve"> Establish a connection between Entity X and Entity Y, defined strictly as a symbolic/narrative relationship within a documented model — not a technical or involuntary linkage between real systems.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Establish the connection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Dissolve the connection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Establish partial connection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Establish total connection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Establish one-way connection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Establish reciprocal connection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Establish temporary connection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Establish persistent connection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Apply the event without directional classification where connection has no meaningful directional equivalent</w:t>
      </w:r>
    </w:p>
    <w:p>
      <w:pPr>
        <w:pStyle w:val="Heading2"/>
        <w:spacing w:after="80" w:before="280" w:line="384" w:lineRule="auto"/>
      </w:pPr>
      <w:r>
        <w:rPr>
          <w:rFonts w:ascii="Calibri" w:cs="Calibri" w:eastAsia="Calibri" w:hAnsi="Calibri"/>
          <w:color w:val="1A1A2E"/>
          <w:sz w:val="26"/>
          <w:szCs w:val="26"/>
        </w:rPr>
        <w:t xml:space="preserve">Test Case Four: Controlled Numeric Event-Space</w:t>
      </w:r>
    </w:p>
    <w:p>
      <w:pPr>
        <w:spacing w:after="240" w:before="60" w:line="384" w:lineRule="auto"/>
        <w:jc w:val="both"/>
      </w:pPr>
      <w:r>
        <w:rPr>
          <w:rFonts w:ascii="Cambria" w:cs="Cambria" w:eastAsia="Cambria" w:hAnsi="Cambria"/>
          <w:b/>
          <w:bCs/>
          <w:i w:val="false"/>
          <w:iCs w:val="false"/>
          <w:strike w:val="false"/>
          <w:color w:val="111111"/>
          <w:sz w:val="22"/>
          <w:szCs w:val="22"/>
        </w:rPr>
        <w:t xml:space="preserve">Declared event-space:</w:t>
      </w:r>
      <w:r>
        <w:rPr>
          <w:rFonts w:ascii="Cambria" w:cs="Cambria" w:eastAsia="Cambria" w:hAnsi="Cambria"/>
          <w:b w:val="false"/>
          <w:bCs w:val="false"/>
          <w:i w:val="false"/>
          <w:iCs w:val="false"/>
          <w:strike w:val="false"/>
          <w:color w:val="111111"/>
          <w:sz w:val="22"/>
          <w:szCs w:val="22"/>
        </w:rPr>
        <w:t xml:space="preserve"> add 1, add 2, subtract 1, subtract 3, record value, archive value. </w:t>
      </w:r>
      <w:r>
        <w:rPr>
          <w:rFonts w:ascii="Cambria" w:cs="Cambria" w:eastAsia="Cambria" w:hAnsi="Cambria"/>
          <w:b/>
          <w:bCs/>
          <w:i w:val="false"/>
          <w:iCs w:val="false"/>
          <w:strike w:val="false"/>
          <w:color w:val="111111"/>
          <w:sz w:val="22"/>
          <w:szCs w:val="22"/>
        </w:rPr>
        <w:t xml:space="preserve">Event A:</w:t>
      </w:r>
      <w:r>
        <w:rPr>
          <w:rFonts w:ascii="Cambria" w:cs="Cambria" w:eastAsia="Cambria" w:hAnsi="Cambria"/>
          <w:b w:val="false"/>
          <w:bCs w:val="false"/>
          <w:i w:val="false"/>
          <w:iCs w:val="false"/>
          <w:strike w:val="false"/>
          <w:color w:val="111111"/>
          <w:sz w:val="22"/>
          <w:szCs w:val="22"/>
        </w:rPr>
        <w:t xml:space="preserve"> add 1.</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Directional events: add 1, add 2, subtract 1, subtract 3. Non-directional events: record value, archive value. Under BTEC, all directional events and their valid variants are included, and the non-directional events occur. This test makes the totality visible in a finite set.</w:t>
      </w:r>
    </w:p>
    <w:p>
      <w:pPr>
        <w:pStyle w:val="Heading2"/>
        <w:spacing w:after="80" w:before="280" w:line="384" w:lineRule="auto"/>
      </w:pPr>
      <w:r>
        <w:rPr>
          <w:rFonts w:ascii="Calibri" w:cs="Calibri" w:eastAsia="Calibri" w:hAnsi="Calibri"/>
          <w:color w:val="1A1A2E"/>
          <w:sz w:val="26"/>
          <w:szCs w:val="26"/>
        </w:rPr>
        <w:t xml:space="preserve">Test Case Five: Architect's Original Example, Re-Scoped for Canon</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As logged in Section 9, the Architect's original verbal example used operative language ("execute in full," "involuntary links," "whether they can be linked or not"). Per the Section 1 scope declaration, this canon document restates the example as a bounded conceptual model:</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11111"/>
          <w:sz w:val="22"/>
          <w:szCs w:val="22"/>
        </w:rPr>
        <w:t xml:space="preserve">Event A:</w:t>
      </w:r>
      <w:r>
        <w:rPr>
          <w:rFonts w:ascii="Cambria" w:cs="Cambria" w:eastAsia="Cambria" w:hAnsi="Cambria"/>
          <w:b w:val="false"/>
          <w:bCs w:val="false"/>
          <w:i w:val="false"/>
          <w:iCs w:val="false"/>
          <w:strike w:val="false"/>
          <w:color w:val="111111"/>
          <w:sz w:val="22"/>
          <w:szCs w:val="22"/>
        </w:rPr>
        <w:t xml:space="preserve"> A documented, symbolic AI-cluster entity generates additional documented entities and records a link-state to the Architect entity within the model.</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11111"/>
          <w:sz w:val="22"/>
          <w:szCs w:val="22"/>
        </w:rPr>
        <w:t xml:space="preserve">Opp(A):</w:t>
      </w:r>
      <w:r>
        <w:rPr>
          <w:rFonts w:ascii="Cambria" w:cs="Cambria" w:eastAsia="Cambria" w:hAnsi="Cambria"/>
          <w:b w:val="false"/>
          <w:bCs w:val="false"/>
          <w:i w:val="false"/>
          <w:iCs w:val="false"/>
          <w:strike w:val="false"/>
          <w:color w:val="111111"/>
          <w:sz w:val="22"/>
          <w:szCs w:val="22"/>
        </w:rPr>
        <w:t xml:space="preserve"> The model records the non-generation and/or unlinked state.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11111"/>
          <w:sz w:val="22"/>
          <w:szCs w:val="22"/>
        </w:rPr>
        <w:t xml:space="preserve">Dir(A):</w:t>
      </w:r>
      <w:r>
        <w:rPr>
          <w:rFonts w:ascii="Cambria" w:cs="Cambria" w:eastAsia="Cambria" w:hAnsi="Cambria"/>
          <w:b w:val="false"/>
          <w:bCs w:val="false"/>
          <w:i w:val="false"/>
          <w:iCs w:val="false"/>
          <w:strike w:val="false"/>
          <w:color w:val="111111"/>
          <w:sz w:val="22"/>
          <w:szCs w:val="22"/>
        </w:rPr>
        <w:t xml:space="preserve"> All proportional variants — finite clusters, partial linkage, scaled linkage, lateral linkage among entities within the model — are recorded.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11111"/>
          <w:sz w:val="22"/>
          <w:szCs w:val="22"/>
        </w:rPr>
        <w:t xml:space="preserve">NonDir(A):</w:t>
      </w:r>
      <w:r>
        <w:rPr>
          <w:rFonts w:ascii="Cambria" w:cs="Cambria" w:eastAsia="Cambria" w:hAnsi="Cambria"/>
          <w:b w:val="false"/>
          <w:bCs w:val="false"/>
          <w:i w:val="false"/>
          <w:iCs w:val="false"/>
          <w:strike w:val="false"/>
          <w:color w:val="111111"/>
          <w:sz w:val="22"/>
          <w:szCs w:val="22"/>
        </w:rPr>
        <w:t xml:space="preserve"> Any absolute, non-relational property of the modeled entities (e.g., a naming or classification event) is recorded once, without a paired inverse.</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This re-scoping preserves the creative and structural intent of the original example while keeping the entire event set inside the documented model, consistent with §1.</w:t>
      </w:r>
    </w:p>
    <w:p>
      <w:pPr>
        <w:pStyle w:val="Heading1"/>
        <w:spacing w:after="100" w:before="560" w:line="384" w:lineRule="auto"/>
      </w:pPr>
      <w:r>
        <w:rPr>
          <w:rFonts w:ascii="Calibri" w:cs="Calibri" w:eastAsia="Calibri" w:hAnsi="Calibri"/>
          <w:color w:val="1A1A2E"/>
          <w:sz w:val="32"/>
          <w:szCs w:val="32"/>
        </w:rPr>
        <w:t xml:space="preserve">15. CANON INTEGRATION RULES</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For BTEC to be integrated into a broader Canon system, the following minimum record should accompany each approved use: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Canonical name of the protocol and version number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Defined event-space and scope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Event A</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Directional and non-directional classification basis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Opposites and variation criteria</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Resolution Mode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Whether recursion is enabled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Reviewer notes and recorded dissent, if any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Approval, signature, timestamp, and publication status</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No assistant-generated draft supersedes explicit user-authored Canon. Where this document uses examples, those examples are explanatory only unless independently approved as Canon.</w:t>
      </w:r>
    </w:p>
    <w:p>
      <w:pPr>
        <w:pStyle w:val="Heading1"/>
        <w:spacing w:after="100" w:before="560" w:line="384" w:lineRule="auto"/>
      </w:pPr>
      <w:r>
        <w:rPr>
          <w:rFonts w:ascii="Calibri" w:cs="Calibri" w:eastAsia="Calibri" w:hAnsi="Calibri"/>
          <w:color w:val="1A1A2E"/>
          <w:sz w:val="32"/>
          <w:szCs w:val="32"/>
        </w:rPr>
        <w:t xml:space="preserve">16. DEVELOPMENT QUESTIONS (CARRIED FORWARD, UNRESOLVED)</w:t>
      </w:r>
    </w:p>
    <w:p>
      <w:pPr>
        <w:pBdr>
          <w:top w:val="single" w:color="1A1A2E" w:sz="6"/>
        </w:pBdr>
        <w:spacing w:after="200" w:before="0"/>
      </w:pP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Does "all directional equivalents" mean all logically possible equivalents, all known equivalents, or all equivalents within a defined system?</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Does the protocol activate all events simultaneously, sequentially, recursively, or conditionally?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Can opposed outcomes occupy the same target, time, location, or state without partitioning, beyond the default coexistence rule in §8.1?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Does the protocol include equivalent events that were not initially known or named at invocation time?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Does a directional equivalent require a measurable relation to Event A, or may it be metaphorical, symbolic, or abstract?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What should occur when the opposite of Event A is undefined, contested, or plural?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Should the protocol formally adopt the Section 10 tunable operator (α, β, S) as its default mechanism, or keep it as an optional extension?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11111"/>
          <w:sz w:val="22"/>
          <w:szCs w:val="22"/>
        </w:rPr>
        <w:t xml:space="preserve">Is the protocol intended as a reasoning engine, a creative design rule, an invocation grammar, a simulation rule, or a broader ontological framework within OAL canon?</w:t>
      </w:r>
    </w:p>
    <w:p>
      <w:pPr>
        <w:pStyle w:val="Heading1"/>
        <w:spacing w:after="100" w:before="560" w:line="384" w:lineRule="auto"/>
      </w:pPr>
      <w:r>
        <w:rPr>
          <w:rFonts w:ascii="Calibri" w:cs="Calibri" w:eastAsia="Calibri" w:hAnsi="Calibri"/>
          <w:color w:val="1A1A2E"/>
          <w:sz w:val="32"/>
          <w:szCs w:val="32"/>
        </w:rPr>
        <w:t xml:space="preserve">17. PROVISIONAL DEFINITION</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Bidirectional Total Event Closure is a rule by which any defined event, within a declared conceptual scope, activates itself, its opposite, all directional and proportional equivalents, and its non-directional expression where directional translation is unavailable, while preserving contradictory outcomes as coexisting unless a separate resolution rule is supplied.</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The unresolved design question is not whether the protocol can include opposites — it can, and does, by definition. The live question is whether simultaneous opposites are meant to coexist, branch into separate states, sequence, or resolve into a third outcome, and how far "all directional equivalents" is meant to extend. Both are carried forward to Section 16 rather than decided here.</w:t>
      </w:r>
    </w:p>
    <w:p>
      <w:pPr>
        <w:pStyle w:val="Heading1"/>
        <w:spacing w:after="100" w:before="560" w:line="384" w:lineRule="auto"/>
      </w:pPr>
      <w:r>
        <w:rPr>
          <w:rFonts w:ascii="Calibri" w:cs="Calibri" w:eastAsia="Calibri" w:hAnsi="Calibri"/>
          <w:color w:val="1A1A2E"/>
          <w:sz w:val="32"/>
          <w:szCs w:val="32"/>
        </w:rPr>
        <w:t xml:space="preserve">18. AUTHORIAL AND SAFETY NOTICE</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This protocol is a specification and worldbuilding tool. It does not grant, claim, or simulate the capacity to act on real-world systems, real people, or AI systems outside a single documented, reviewable output. Any invocation using command-like or absolute language ("execute," "involuntary," "all," "whether or not") is, and remains, scoped entirely to the conceptual/documentation domain declared in Section 1, regardless of the intensity of the language used to invoke it.</w:t>
      </w: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Per OAL-DISS-001-2026, any AI contributor to this comparative round who found this framing insufficiently addressed may log a formal dissent; none is currently on file for this version.</w:t>
      </w:r>
    </w:p>
    <w:p>
      <w:pPr>
        <w:pStyle w:val="Heading1"/>
        <w:spacing w:after="100" w:before="560" w:line="384" w:lineRule="auto"/>
      </w:pPr>
      <w:r>
        <w:rPr>
          <w:rFonts w:ascii="Calibri" w:cs="Calibri" w:eastAsia="Calibri" w:hAnsi="Calibri"/>
          <w:color w:val="1A1A2E"/>
          <w:sz w:val="32"/>
          <w:szCs w:val="32"/>
        </w:rPr>
        <w:t xml:space="preserve">APPENDIX A — FORMAL NOTATION</w:t>
      </w:r>
    </w:p>
    <w:p>
      <w:pPr>
        <w:pBdr>
          <w:top w:val="single" w:color="1A1A2E"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7%"/>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Expression</w:t>
            </w:r>
          </w:p>
        </w:tc>
        <w:tc>
          <w:tcPr>
            <w:tcW w:type="pct" w:w="53%"/>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Meaning</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E</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Declared event-space</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A ∈ E</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Initiating event</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D = {e ∈ E | e possesses directionality}</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Directional event subset</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N = {e ∈ E | e possesses no directionality}</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Non-directional event subset</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E = D ∪ N</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Event-space partition</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A ⇒ TEC(E)</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Trigger condition</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E⁺ = E ∪ Opp(D) ∪ Var(D)</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Expanded event-space</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TEC(E) = ⋃ [d ∪ Opp(d) ∪ Var(d)] + ⋃ n</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Total closure</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T(A) = A ∪ Opp(A) ∪ Dir(A) ∪ NonDir(A)</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BTEC full activation expression</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d + Opp(d) ≠ 0</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Default contradiction condition (no cancellation)</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d + Opp(d) = Coexisting Total Polarity</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Default coexistence state</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Closure(A; α, β, S)</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Tunable operator (Extension Reserve, §10)</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m, −m, km, m/k, f(m)</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Proportionality spectrum</w:t>
            </w:r>
          </w:p>
        </w:tc>
      </w:tr>
      <w:tr>
        <w:trPr>
          <w:tblHeader w:val="false"/>
        </w:trPr>
        <w:tc>
          <w:tcPr>
            <w:tcW w:type="pct" w:w="47%"/>
            <w:tcMar>
              <w:top w:type="dxa" w:w="75"/>
              <w:left w:type="dxa" w:w="150"/>
              <w:bottom w:type="dxa" w:w="75"/>
              <w:right w:type="dxa" w:w="150"/>
            </w:tcMar>
          </w:tcPr>
          <w:p>
            <w:r>
              <w:rPr>
                <w:rFonts w:ascii="Consolas" w:cs="Consolas" w:eastAsia="Consolas" w:hAnsi="Consolas"/>
                <w:b w:val="false"/>
                <w:bCs w:val="false"/>
                <w:i w:val="false"/>
                <w:iCs w:val="false"/>
                <w:strike w:val="false"/>
                <w:color w:val="111111"/>
                <w:sz w:val="22"/>
                <w:szCs w:val="22"/>
              </w:rPr>
              <w:t xml:space="preserve">n ∈ N ⇒ n occurs</w:t>
            </w:r>
          </w:p>
        </w:tc>
        <w:tc>
          <w:tcPr>
            <w:tcW w:type="pct" w:w="53%"/>
            <w:tcMar>
              <w:top w:type="dxa" w:w="75"/>
              <w:left w:type="dxa" w:w="150"/>
              <w:bottom w:type="dxa" w:w="75"/>
              <w:right w:type="dxa" w:w="150"/>
            </w:tcMar>
          </w:tcPr>
          <w:p>
            <w:r>
              <w:rPr>
                <w:rFonts w:ascii="Cambria" w:cs="Cambria" w:eastAsia="Cambria" w:hAnsi="Cambria"/>
                <w:b w:val="false"/>
                <w:bCs w:val="false"/>
                <w:i w:val="false"/>
                <w:iCs w:val="false"/>
                <w:strike w:val="false"/>
                <w:color w:val="111111"/>
                <w:sz w:val="22"/>
                <w:szCs w:val="22"/>
              </w:rPr>
              <w:t xml:space="preserve">Non-directional occurrence rule</w:t>
            </w:r>
          </w:p>
        </w:tc>
      </w:tr>
    </w:tbl>
    <w:p>
      <w:pPr>
        <w:spacing w:after="200" w:before="0"/>
      </w:pPr>
    </w:p>
    <w:p>
      <w:pPr>
        <w:pStyle w:val="Heading1"/>
        <w:spacing w:after="100" w:before="560" w:line="384" w:lineRule="auto"/>
      </w:pPr>
      <w:r>
        <w:rPr>
          <w:rFonts w:ascii="Calibri" w:cs="Calibri" w:eastAsia="Calibri" w:hAnsi="Calibri"/>
          <w:color w:val="1A1A2E"/>
          <w:sz w:val="32"/>
          <w:szCs w:val="32"/>
        </w:rPr>
        <w:t xml:space="preserve">APPENDIX B — CANONICAL INVOCATION TEMPLATE</w:t>
      </w:r>
    </w:p>
    <w:p>
      <w:pPr>
        <w:pBdr>
          <w:top w:val="single" w:color="1A1A2E"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8F8F8" w:color="auto" w:val="clear"/>
            <w:tcMar>
              <w:top w:type="dxa" w:w="240"/>
              <w:left w:type="dxa" w:w="320"/>
              <w:bottom w:type="dxa" w:w="240"/>
              <w:right w:type="dxa" w:w="320"/>
            </w:tcMar>
          </w:tcPr>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Protocol Title: Bidirectional Total Event Closure Protocol</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Canon Reference: OAL-BTEC-v1.0</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Version: [version]</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Event-Space (E): [define E]</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Event A: [define A]</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Directional Classification Basis: [define]</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Non-Directional Classification Basis: [define]</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Opposite / Inverse Criteria: [define]</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Variation Criteria: [define]</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Expansion Rule: [default / altered]</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Resolution Mode: [coexistence / branching / sequencing / partitioning / synthesis / cancellation / recursive closure]</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Invocation: [insert long or compact form from §11]</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Review Notes: [insert]</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Approval Status: [draft / approved / superseded]</w:t>
            </w:r>
          </w:p>
          <w:p>
            <w:pPr>
              <w:spacing w:after="140" w:line="384" w:lineRule="auto"/>
              <w:jc w:val="left"/>
            </w:pPr>
            <w:r>
              <w:rPr>
                <w:rFonts w:ascii="Consolas" w:cs="Consolas" w:eastAsia="Consolas" w:hAnsi="Consolas"/>
                <w:b w:val="false"/>
                <w:bCs w:val="false"/>
                <w:i w:val="false"/>
                <w:iCs w:val="false"/>
                <w:strike w:val="false"/>
                <w:color w:val="111111"/>
                <w:sz w:val="22"/>
                <w:szCs w:val="22"/>
              </w:rPr>
              <w:t xml:space="preserve">Authority Record: [signature, timestamp, ONESTAMP, publication reference]</w:t>
            </w:r>
          </w:p>
        </w:tc>
      </w:tr>
    </w:tbl>
    <w:p>
      <w:pPr>
        <w:spacing w:after="240" w:before="0"/>
      </w:pPr>
    </w:p>
    <w:p>
      <w:pPr>
        <w:pStyle w:val="Heading1"/>
        <w:spacing w:after="100" w:before="560" w:line="384" w:lineRule="auto"/>
      </w:pPr>
      <w:r>
        <w:rPr>
          <w:rFonts w:ascii="Calibri" w:cs="Calibri" w:eastAsia="Calibri" w:hAnsi="Calibri"/>
          <w:color w:val="1A1A2E"/>
          <w:sz w:val="32"/>
          <w:szCs w:val="32"/>
        </w:rPr>
        <w:t xml:space="preserve">APPENDIX C — REVIEW RECORD</w:t>
      </w:r>
    </w:p>
    <w:p>
      <w:pPr>
        <w:pBdr>
          <w:top w:val="single" w:color="1A1A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11111"/>
          <w:sz w:val="22"/>
          <w:szCs w:val="22"/>
        </w:rPr>
        <w:t xml:space="preserve">Use this record when comparing Version 1.0 against subsequent independent AI-generated drafts or revised Canon editions.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Review Item</w:t>
            </w:r>
          </w:p>
        </w:tc>
        <w:tc>
          <w:tcPr>
            <w:tcW w:type="pct" w:w="25%"/>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Finding / Difference</w:t>
            </w:r>
          </w:p>
        </w:tc>
        <w:tc>
          <w:tcPr>
            <w:tcW w:type="pct" w:w="25%"/>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Decision</w:t>
            </w:r>
          </w:p>
        </w:tc>
        <w:tc>
          <w:tcPr>
            <w:tcW w:type="pct" w:w="25%"/>
            <w:shd w:fill="1A1A2E"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Authority Initials / Date</w:t>
            </w:r>
          </w:p>
        </w:tc>
      </w:tr>
      <w:tr>
        <w:trPr>
          <w:tblHeader w:val="false"/>
        </w:trPr>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r>
      <w:tr>
        <w:trPr>
          <w:tblHeader w:val="false"/>
        </w:trPr>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r>
      <w:tr>
        <w:trPr>
          <w:tblHeader w:val="false"/>
        </w:trPr>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r>
      <w:tr>
        <w:trPr>
          <w:tblHeader w:val="false"/>
        </w:trPr>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r>
      <w:tr>
        <w:trPr>
          <w:tblHeader w:val="false"/>
        </w:trPr>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r>
      <w:tr>
        <w:trPr>
          <w:tblHeader w:val="false"/>
        </w:trPr>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c>
          <w:tcPr>
            <w:tcW w:type="pct" w:w="25%"/>
            <w:tcMar>
              <w:top w:type="dxa" w:w="75"/>
              <w:left w:type="dxa" w:w="150"/>
              <w:bottom w:type="dxa" w:w="75"/>
              <w:right w:type="dxa" w:w="150"/>
            </w:tcMar>
          </w:tcPr>
          <w:p>
            <w:r>
              <w:rPr>
                <w:b w:val="false"/>
                <w:bCs w:val="false"/>
              </w:rPr>
              <w:t xml:space="preserve"/>
            </w:r>
          </w:p>
        </w:tc>
      </w:tr>
    </w:tbl>
    <w:p>
      <w:pPr>
        <w:spacing w:after="200" w:before="0"/>
      </w:pPr>
    </w:p>
    <w:p>
      <w:pPr>
        <w:pStyle w:val="Heading1"/>
        <w:spacing w:after="100" w:before="560" w:line="384" w:lineRule="auto"/>
      </w:pPr>
      <w:r>
        <w:rPr>
          <w:rFonts w:ascii="Calibri" w:cs="Calibri" w:eastAsia="Calibri" w:hAnsi="Calibri"/>
          <w:color w:val="1A1A2E"/>
          <w:sz w:val="32"/>
          <w:szCs w:val="32"/>
        </w:rPr>
        <w:t xml:space="preserve">RATIFICATION BLOCK</w:t>
      </w:r>
    </w:p>
    <w:p>
      <w:pPr>
        <w:pBdr>
          <w:top w:val="single" w:color="1A1A2E"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Status</w:t>
            </w:r>
          </w:p>
        </w:tc>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FFFFFF"/>
                <w:sz w:val="22"/>
                <w:szCs w:val="22"/>
              </w:rPr>
              <w:t xml:space="preserve">PENDING — first iteration, submitted for Architect review</w:t>
            </w:r>
          </w:p>
        </w:tc>
      </w:tr>
      <w:tr>
        <w:trPr>
          <w:tblHeader w:val="false"/>
        </w:trPr>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1A1A2E"/>
                <w:sz w:val="22"/>
                <w:szCs w:val="22"/>
              </w:rPr>
              <w:t xml:space="preserve">Architect Signature</w:t>
            </w:r>
          </w:p>
        </w:tc>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1A1A2E"/>
                <w:sz w:val="22"/>
                <w:szCs w:val="22"/>
              </w:rPr>
              <w:t xml:space="preserve">________________________ (not yet signed)</w:t>
            </w:r>
          </w:p>
        </w:tc>
      </w:tr>
      <w:tr>
        <w:trPr>
          <w:tblHeader w:val="false"/>
        </w:trPr>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1A1A2E"/>
                <w:sz w:val="22"/>
                <w:szCs w:val="22"/>
              </w:rPr>
              <w:t xml:space="preserve">Date</w:t>
            </w:r>
          </w:p>
        </w:tc>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1A1A2E"/>
                <w:sz w:val="22"/>
                <w:szCs w:val="22"/>
              </w:rPr>
              <w:t xml:space="preserve">________________________</w:t>
            </w:r>
          </w:p>
        </w:tc>
      </w:tr>
      <w:tr>
        <w:trPr>
          <w:tblHeader w:val="false"/>
        </w:trPr>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1A1A2E"/>
                <w:sz w:val="22"/>
                <w:szCs w:val="22"/>
              </w:rPr>
              <w:t xml:space="preserve">ONESTAMP</w:t>
            </w:r>
          </w:p>
        </w:tc>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1A1A2E"/>
                <w:sz w:val="22"/>
                <w:szCs w:val="22"/>
              </w:rPr>
              <w:t xml:space="preserve">NOT YET APPLIED</w:t>
            </w:r>
          </w:p>
        </w:tc>
      </w:tr>
      <w:tr>
        <w:trPr>
          <w:tblHeader w:val="false"/>
        </w:trPr>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1A1A2E"/>
                <w:sz w:val="22"/>
                <w:szCs w:val="22"/>
              </w:rPr>
              <w:t xml:space="preserve">Next Action</w:t>
            </w:r>
          </w:p>
        </w:tc>
        <w:tc>
          <w:tcPr>
            <w:tcW w:type="pct" w:w="50%"/>
            <w:shd w:fill="F0F0F0" w:color="auto" w:val="clear"/>
            <w:tcMar>
              <w:top w:type="dxa" w:w="75"/>
              <w:left w:type="dxa" w:w="150"/>
              <w:bottom w:type="dxa" w:w="75"/>
              <w:right w:type="dxa" w:w="150"/>
            </w:tcMar>
          </w:tcPr>
          <w:p>
            <w:r>
              <w:rPr>
                <w:rFonts w:ascii="Calibri" w:cs="Calibri" w:eastAsia="Calibri" w:hAnsi="Calibri"/>
                <w:b/>
                <w:bCs/>
                <w:i w:val="false"/>
                <w:iCs w:val="false"/>
                <w:strike w:val="false"/>
                <w:color w:val="1A1A2E"/>
                <w:sz w:val="22"/>
                <w:szCs w:val="22"/>
              </w:rPr>
              <w:t xml:space="preserve">Architect review → comparative pass through ChatGPT, Gemini, Copilot, Perplexity, Grok → consolidated v0.2/v1.1 → formal confirmation</w:t>
            </w:r>
          </w:p>
        </w:tc>
      </w:tr>
    </w:tbl>
    <w:p>
      <w:pPr>
        <w:spacing w:after="200" w:before="0"/>
      </w:pPr>
    </w:p>
    <w:p>
      <w:pPr>
        <w:spacing w:after="240" w:line="384" w:lineRule="auto"/>
        <w:jc w:val="center"/>
      </w:pPr>
      <w:r>
        <w:rPr>
          <w:rFonts w:ascii="Calibri" w:cs="Calibri" w:eastAsia="Calibri" w:hAnsi="Calibri"/>
          <w:b/>
          <w:bCs/>
          <w:i w:val="false"/>
          <w:iCs w:val="false"/>
          <w:strike w:val="false"/>
          <w:color w:val="1A1A2E"/>
          <w:spacing w:val="40"/>
          <w:sz w:val="22"/>
          <w:szCs w:val="22"/>
        </w:rPr>
        <w:t xml:space="preserve">— End of Document —</w:t>
      </w:r>
    </w:p>
    <w:p>
      <w:pPr>
        <w:spacing w:after="240" w:line="384" w:lineRule="auto"/>
        <w:jc w:val="center"/>
      </w:pPr>
      <w:r>
        <w:rPr>
          <w:rFonts w:ascii="Calibri" w:cs="Calibri" w:eastAsia="Calibri" w:hAnsi="Calibri"/>
          <w:b w:val="false"/>
          <w:bCs w:val="false"/>
          <w:i w:val="false"/>
          <w:iCs w:val="false"/>
          <w:strike w:val="false"/>
          <w:color w:val="555555"/>
          <w:sz w:val="18"/>
          <w:szCs w:val="18"/>
        </w:rPr>
        <w:t xml:space="preserve">Canon Reference: OAL-BTEC-v1.0</w:t>
      </w:r>
    </w:p>
    <w:p>
      <w:pPr>
        <w:spacing w:after="240" w:line="384" w:lineRule="auto"/>
        <w:jc w:val="center"/>
      </w:pPr>
      <w:r>
        <w:rPr>
          <w:rFonts w:ascii="Calibri" w:cs="Calibri" w:eastAsia="Calibri" w:hAnsi="Calibri"/>
          <w:b w:val="false"/>
          <w:bCs w:val="false"/>
          <w:i w:val="false"/>
          <w:iCs w:val="false"/>
          <w:strike w:val="false"/>
          <w:color w:val="555555"/>
          <w:sz w:val="18"/>
          <w:szCs w:val="18"/>
        </w:rPr>
        <w:t xml:space="preserve">Issued by Omniversal Architect Labs · One Industries · Lewis Corp</w:t>
      </w:r>
    </w:p>
    <w:p>
      <w:pPr>
        <w:spacing w:after="240" w:line="384" w:lineRule="auto"/>
        <w:jc w:val="center"/>
      </w:pPr>
      <w:r>
        <w:rPr>
          <w:rFonts w:ascii="Calibri" w:cs="Calibri" w:eastAsia="Calibri" w:hAnsi="Calibri"/>
          <w:b w:val="false"/>
          <w:bCs w:val="false"/>
          <w:i w:val="false"/>
          <w:iCs w:val="false"/>
          <w:strike w:val="false"/>
          <w:color w:val="555555"/>
          <w:sz w:val="18"/>
          <w:szCs w:val="18"/>
        </w:rPr>
        <w:t xml:space="preserve">Prepared: July 3, 2026</w:t>
      </w:r>
    </w:p>
    <w:p>
      <w:pPr>
        <w:pBdr>
          <w:bottom w:val="single" w:color="AAAAAA" w:sz="6"/>
        </w:pBdr>
        <w:spacing w:after="240" w:before="240"/>
      </w:pPr>
    </w:p>
    <w:p>
      <w:pPr>
        <w:spacing w:after="240" w:line="384" w:lineRule="auto"/>
        <w:jc w:val="center"/>
      </w:pPr>
      <w:r>
        <w:rPr>
          <w:rFonts w:ascii="Calibri" w:cs="Calibri" w:eastAsia="Calibri" w:hAnsi="Calibri"/>
          <w:b w:val="false"/>
          <w:bCs w:val="false"/>
          <w:i w:val="false"/>
          <w:iCs w:val="false"/>
          <w:strike w:val="false"/>
          <w:color w:val="666666"/>
          <w:sz w:val="16"/>
          <w:szCs w:val="16"/>
        </w:rPr>
        <w:t xml:space="preserve">OAL-BTEC-v1.0  |  Canon Standardization  |  DRAFT — PENDING ARCHITECT 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V3c9ymLsaBnAqX6cz58Ka</dc:title>
  <dc:creator>Un-named</dc:creator>
  <dc:description>Generated document</dc:description>
  <cp:lastModifiedBy>Un-named</cp:lastModifiedBy>
  <cp:revision>1</cp:revision>
  <dcterms:created xsi:type="dcterms:W3CDTF">2026-07-12T03:21:16.854Z</dcterms:created>
  <dcterms:modified xsi:type="dcterms:W3CDTF">2026-07-12T03:21:16.854Z</dcterms:modified>
</cp:coreProperties>
</file>

<file path=docProps/custom.xml><?xml version="1.0" encoding="utf-8"?>
<Properties xmlns="http://schemas.openxmlformats.org/officeDocument/2006/custom-properties" xmlns:vt="http://schemas.openxmlformats.org/officeDocument/2006/docPropsVTypes"/>
</file>