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pPr>
      <w:r>
        <w:rPr>
          <w:rFonts w:ascii="Calibri" w:cs="Calibri" w:eastAsia="Calibri" w:hAnsi="Calibri"/>
          <w:b/>
          <w:bCs/>
          <w:color w:val="C4A35A"/>
          <w:sz w:val="18"/>
          <w:szCs w:val="18"/>
        </w:rPr>
        <w:t xml:space="preserve">COLLABORATIVE REVIEW  ·  RECONCILIATION PASS</w:t>
      </w:r>
    </w:p>
    <w:p>
      <w:pPr>
        <w:spacing w:after="60" w:before="40"/>
      </w:pPr>
      <w:r>
        <w:rPr>
          <w:rFonts w:ascii="Calibri" w:cs="Calibri" w:eastAsia="Calibri" w:hAnsi="Calibri"/>
          <w:b/>
          <w:bCs/>
          <w:color w:val="1B4332"/>
          <w:sz w:val="48"/>
          <w:szCs w:val="48"/>
        </w:rPr>
        <w:t xml:space="preserve">Built to Last</w:t>
      </w:r>
    </w:p>
    <w:p>
      <w:pPr>
        <w:pBdr>
          <w:bottom w:val="single" w:color="2D6A4F" w:sz="16" w:space="8"/>
        </w:pBdr>
        <w:spacing w:after="200" w:before="0"/>
      </w:pPr>
      <w:r>
        <w:rPr>
          <w:rFonts w:ascii="Calibri" w:cs="Calibri" w:eastAsia="Calibri" w:hAnsi="Calibri"/>
          <w:i/>
          <w:iCs/>
          <w:color w:val="2D6A4F"/>
          <w:sz w:val="24"/>
          <w:szCs w:val="24"/>
        </w:rPr>
        <w:t xml:space="preserve">Comparison of independent AI passes and a recommended canon for the archive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B7C4B8" w:sz="4"/>
              <w:left w:val="single" w:color="B7C4B8" w:sz="4"/>
              <w:bottom w:val="single" w:color="B7C4B8" w:sz="4"/>
              <w:right w:val="single" w:color="B7C4B8" w:sz="4"/>
            </w:tcBorders>
            <w:shd w:fill="2D6A4F" w:val="clear"/>
            <w:tcMar>
              <w:top w:type="dxa" w:w="70"/>
              <w:left w:type="dxa" w:w="90"/>
              <w:bottom w:type="dxa" w:w="70"/>
              <w:right w:type="dxa" w:w="90"/>
            </w:tcMar>
            <w:vAlign w:val="top"/>
          </w:tcPr>
          <w:p>
            <w:pPr>
              <w:spacing w:after="0" w:line="240"/>
            </w:pPr>
            <w:r>
              <w:rPr>
                <w:rFonts w:ascii="Calibri" w:cs="Calibri" w:eastAsia="Calibri" w:hAnsi="Calibri"/>
                <w:b/>
                <w:bCs/>
                <w:i w:val="false"/>
                <w:iCs w:val="false"/>
                <w:color w:val="FFFFFF"/>
                <w:sz w:val="17"/>
                <w:szCs w:val="17"/>
              </w:rPr>
              <w:t xml:space="preserve">Originator</w:t>
            </w:r>
          </w:p>
        </w:tc>
        <w:tc>
          <w:tcPr>
            <w:tcW w:type="dxa" w:w="728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Nathan Lewis</w:t>
            </w:r>
          </w:p>
        </w:tc>
      </w:tr>
      <w:tr>
        <w:tc>
          <w:tcPr>
            <w:tcW w:type="dxa" w:w="2800"/>
            <w:tcBorders>
              <w:top w:val="single" w:color="B7C4B8" w:sz="4"/>
              <w:left w:val="single" w:color="B7C4B8" w:sz="4"/>
              <w:bottom w:val="single" w:color="B7C4B8" w:sz="4"/>
              <w:right w:val="single" w:color="B7C4B8" w:sz="4"/>
            </w:tcBorders>
            <w:shd w:fill="2D6A4F" w:val="clear"/>
            <w:tcMar>
              <w:top w:type="dxa" w:w="70"/>
              <w:left w:type="dxa" w:w="90"/>
              <w:bottom w:type="dxa" w:w="70"/>
              <w:right w:type="dxa" w:w="90"/>
            </w:tcMar>
            <w:vAlign w:val="top"/>
          </w:tcPr>
          <w:p>
            <w:pPr>
              <w:spacing w:after="0" w:line="240"/>
            </w:pPr>
            <w:r>
              <w:rPr>
                <w:rFonts w:ascii="Calibri" w:cs="Calibri" w:eastAsia="Calibri" w:hAnsi="Calibri"/>
                <w:b/>
                <w:bCs/>
                <w:i w:val="false"/>
                <w:iCs w:val="false"/>
                <w:color w:val="FFFFFF"/>
                <w:sz w:val="17"/>
                <w:szCs w:val="17"/>
              </w:rPr>
              <w:t xml:space="preserve">This document</w:t>
            </w:r>
          </w:p>
        </w:tc>
        <w:tc>
          <w:tcPr>
            <w:tcW w:type="dxa" w:w="728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Grok reconciliation pass. Compares the independent drafts. Does not replace them.</w:t>
            </w:r>
          </w:p>
        </w:tc>
      </w:tr>
      <w:tr>
        <w:tc>
          <w:tcPr>
            <w:tcW w:type="dxa" w:w="2800"/>
            <w:tcBorders>
              <w:top w:val="single" w:color="B7C4B8" w:sz="4"/>
              <w:left w:val="single" w:color="B7C4B8" w:sz="4"/>
              <w:bottom w:val="single" w:color="B7C4B8" w:sz="4"/>
              <w:right w:val="single" w:color="B7C4B8" w:sz="4"/>
            </w:tcBorders>
            <w:shd w:fill="2D6A4F" w:val="clear"/>
            <w:tcMar>
              <w:top w:type="dxa" w:w="70"/>
              <w:left w:type="dxa" w:w="90"/>
              <w:bottom w:type="dxa" w:w="70"/>
              <w:right w:type="dxa" w:w="90"/>
            </w:tcMar>
            <w:vAlign w:val="top"/>
          </w:tcPr>
          <w:p>
            <w:pPr>
              <w:spacing w:after="0" w:line="240"/>
            </w:pPr>
            <w:r>
              <w:rPr>
                <w:rFonts w:ascii="Calibri" w:cs="Calibri" w:eastAsia="Calibri" w:hAnsi="Calibri"/>
                <w:b/>
                <w:bCs/>
                <w:i w:val="false"/>
                <w:iCs w:val="false"/>
                <w:color w:val="FFFFFF"/>
                <w:sz w:val="17"/>
                <w:szCs w:val="17"/>
              </w:rPr>
              <w:t xml:space="preserve">Source idea</w:t>
            </w:r>
          </w:p>
        </w:tc>
        <w:tc>
          <w:tcPr>
            <w:tcW w:type="dxa" w:w="728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UAGC Environmental Science course concept: housing structure, energy plan, resilience plan.</w:t>
            </w:r>
          </w:p>
        </w:tc>
      </w:tr>
      <w:tr>
        <w:tc>
          <w:tcPr>
            <w:tcW w:type="dxa" w:w="2800"/>
            <w:tcBorders>
              <w:top w:val="single" w:color="B7C4B8" w:sz="4"/>
              <w:left w:val="single" w:color="B7C4B8" w:sz="4"/>
              <w:bottom w:val="single" w:color="B7C4B8" w:sz="4"/>
              <w:right w:val="single" w:color="B7C4B8" w:sz="4"/>
            </w:tcBorders>
            <w:shd w:fill="2D6A4F" w:val="clear"/>
            <w:tcMar>
              <w:top w:type="dxa" w:w="70"/>
              <w:left w:type="dxa" w:w="90"/>
              <w:bottom w:type="dxa" w:w="70"/>
              <w:right w:type="dxa" w:w="90"/>
            </w:tcMar>
            <w:vAlign w:val="top"/>
          </w:tcPr>
          <w:p>
            <w:pPr>
              <w:spacing w:after="0" w:line="240"/>
            </w:pPr>
            <w:r>
              <w:rPr>
                <w:rFonts w:ascii="Calibri" w:cs="Calibri" w:eastAsia="Calibri" w:hAnsi="Calibri"/>
                <w:b/>
                <w:bCs/>
                <w:i w:val="false"/>
                <w:iCs w:val="false"/>
                <w:color w:val="FFFFFF"/>
                <w:sz w:val="17"/>
                <w:szCs w:val="17"/>
              </w:rPr>
              <w:t xml:space="preserve">Drafts compared</w:t>
            </w:r>
          </w:p>
        </w:tc>
        <w:tc>
          <w:tcPr>
            <w:tcW w:type="dxa" w:w="728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Six independent documents dated 30 August 2026, including the first Grok reconstruction.</w:t>
            </w:r>
          </w:p>
        </w:tc>
      </w:tr>
      <w:tr>
        <w:tc>
          <w:tcPr>
            <w:tcW w:type="dxa" w:w="2800"/>
            <w:tcBorders>
              <w:top w:val="single" w:color="B7C4B8" w:sz="4"/>
              <w:left w:val="single" w:color="B7C4B8" w:sz="4"/>
              <w:bottom w:val="single" w:color="B7C4B8" w:sz="4"/>
              <w:right w:val="single" w:color="B7C4B8" w:sz="4"/>
            </w:tcBorders>
            <w:shd w:fill="2D6A4F" w:val="clear"/>
            <w:tcMar>
              <w:top w:type="dxa" w:w="70"/>
              <w:left w:type="dxa" w:w="90"/>
              <w:bottom w:type="dxa" w:w="70"/>
              <w:right w:type="dxa" w:w="90"/>
            </w:tcMar>
            <w:vAlign w:val="top"/>
          </w:tcPr>
          <w:p>
            <w:pPr>
              <w:spacing w:after="0" w:line="240"/>
            </w:pPr>
            <w:r>
              <w:rPr>
                <w:rFonts w:ascii="Calibri" w:cs="Calibri" w:eastAsia="Calibri" w:hAnsi="Calibri"/>
                <w:b/>
                <w:bCs/>
                <w:i w:val="false"/>
                <w:iCs w:val="false"/>
                <w:color w:val="FFFFFF"/>
                <w:sz w:val="17"/>
                <w:szCs w:val="17"/>
              </w:rPr>
              <w:t xml:space="preserve">Rule used here</w:t>
            </w:r>
          </w:p>
        </w:tc>
        <w:tc>
          <w:tcPr>
            <w:tcW w:type="dxa" w:w="728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Keep remembered design intent. Treat later engineering language as translation. Flag overclaims.</w:t>
            </w:r>
          </w:p>
        </w:tc>
      </w:tr>
    </w:tbl>
    <w:p>
      <w:pPr>
        <w:spacing w:after="140" w:before="220" w:line="276"/>
        <w:jc w:val="left"/>
      </w:pPr>
      <w:r>
        <w:rPr>
          <w:rFonts w:ascii="Calibri" w:cs="Calibri" w:eastAsia="Calibri" w:hAnsi="Calibri"/>
          <w:b w:val="false"/>
          <w:bCs w:val="false"/>
          <w:i/>
          <w:iCs/>
          <w:color w:val="52606D"/>
          <w:sz w:val="21"/>
          <w:szCs w:val="21"/>
        </w:rPr>
        <w:t xml:space="preserve">The independent passes agree on the idea and disagree on how far to dress it as finished engineering. That is useful. This paper records the agreement as canon, records the disagreements as open work, and tells you which draft to open for which job.</w:t>
      </w:r>
    </w:p>
    <w:p>
      <w:pPr>
        <w:pStyle w:val="Heading1"/>
        <w:pBdr>
          <w:bottom w:val="single" w:color="2D6A4F" w:sz="12" w:space="4"/>
        </w:pBdr>
        <w:spacing w:after="140" w:before="320"/>
      </w:pPr>
      <w:r>
        <w:rPr>
          <w:rFonts w:ascii="Calibri" w:cs="Calibri" w:eastAsia="Calibri" w:hAnsi="Calibri"/>
          <w:b/>
          <w:bCs/>
          <w:color w:val="1B4332"/>
          <w:sz w:val="30"/>
          <w:szCs w:val="30"/>
        </w:rPr>
        <w:t xml:space="preserve">1.  Inventory of passes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4480"/>
      </w:tblGrid>
      <w:tr>
        <w:tc>
          <w:tcPr>
            <w:tcW w:type="dxa" w:w="2200"/>
            <w:tcBorders>
              <w:top w:val="single" w:color="B7C4B8" w:sz="4"/>
              <w:left w:val="single" w:color="B7C4B8" w:sz="4"/>
              <w:bottom w:val="single" w:color="B7C4B8" w:sz="4"/>
              <w:right w:val="single" w:color="B7C4B8" w:sz="4"/>
            </w:tcBorders>
            <w:shd w:fill="1B4332" w:val="clear"/>
            <w:tcMar>
              <w:top w:type="dxa" w:w="70"/>
              <w:left w:type="dxa" w:w="90"/>
              <w:bottom w:type="dxa" w:w="70"/>
              <w:right w:type="dxa" w:w="90"/>
            </w:tcMar>
            <w:vAlign w:val="top"/>
          </w:tcPr>
          <w:p>
            <w:pPr>
              <w:spacing w:after="0" w:line="240"/>
            </w:pPr>
            <w:r>
              <w:rPr>
                <w:rFonts w:ascii="Calibri" w:cs="Calibri" w:eastAsia="Calibri" w:hAnsi="Calibri"/>
                <w:b/>
                <w:bCs/>
                <w:i w:val="false"/>
                <w:iCs w:val="false"/>
                <w:color w:val="FFFFFF"/>
                <w:sz w:val="17"/>
                <w:szCs w:val="17"/>
              </w:rPr>
              <w:t xml:space="preserve">Working name</w:t>
            </w:r>
          </w:p>
        </w:tc>
        <w:tc>
          <w:tcPr>
            <w:tcW w:type="dxa" w:w="1600"/>
            <w:tcBorders>
              <w:top w:val="single" w:color="B7C4B8" w:sz="4"/>
              <w:left w:val="single" w:color="B7C4B8" w:sz="4"/>
              <w:bottom w:val="single" w:color="B7C4B8" w:sz="4"/>
              <w:right w:val="single" w:color="B7C4B8" w:sz="4"/>
            </w:tcBorders>
            <w:shd w:fill="1B4332" w:val="clear"/>
            <w:tcMar>
              <w:top w:type="dxa" w:w="70"/>
              <w:left w:type="dxa" w:w="90"/>
              <w:bottom w:type="dxa" w:w="70"/>
              <w:right w:type="dxa" w:w="90"/>
            </w:tcMar>
            <w:vAlign w:val="top"/>
          </w:tcPr>
          <w:p>
            <w:pPr>
              <w:spacing w:after="0" w:line="240"/>
            </w:pPr>
            <w:r>
              <w:rPr>
                <w:rFonts w:ascii="Calibri" w:cs="Calibri" w:eastAsia="Calibri" w:hAnsi="Calibri"/>
                <w:b/>
                <w:bCs/>
                <w:i w:val="false"/>
                <w:iCs w:val="false"/>
                <w:color w:val="FFFFFF"/>
                <w:sz w:val="17"/>
                <w:szCs w:val="17"/>
              </w:rPr>
              <w:t xml:space="preserve">Apparent author</w:t>
            </w:r>
          </w:p>
        </w:tc>
        <w:tc>
          <w:tcPr>
            <w:tcW w:type="dxa" w:w="1800"/>
            <w:tcBorders>
              <w:top w:val="single" w:color="B7C4B8" w:sz="4"/>
              <w:left w:val="single" w:color="B7C4B8" w:sz="4"/>
              <w:bottom w:val="single" w:color="B7C4B8" w:sz="4"/>
              <w:right w:val="single" w:color="B7C4B8" w:sz="4"/>
            </w:tcBorders>
            <w:shd w:fill="1B4332" w:val="clear"/>
            <w:tcMar>
              <w:top w:type="dxa" w:w="70"/>
              <w:left w:type="dxa" w:w="90"/>
              <w:bottom w:type="dxa" w:w="70"/>
              <w:right w:type="dxa" w:w="90"/>
            </w:tcMar>
            <w:vAlign w:val="top"/>
          </w:tcPr>
          <w:p>
            <w:pPr>
              <w:spacing w:after="0" w:line="240"/>
            </w:pPr>
            <w:r>
              <w:rPr>
                <w:rFonts w:ascii="Calibri" w:cs="Calibri" w:eastAsia="Calibri" w:hAnsi="Calibri"/>
                <w:b/>
                <w:bCs/>
                <w:i w:val="false"/>
                <w:iCs w:val="false"/>
                <w:color w:val="FFFFFF"/>
                <w:sz w:val="17"/>
                <w:szCs w:val="17"/>
              </w:rPr>
              <w:t xml:space="preserve">Length / type</w:t>
            </w:r>
          </w:p>
        </w:tc>
        <w:tc>
          <w:tcPr>
            <w:tcW w:type="dxa" w:w="4480"/>
            <w:tcBorders>
              <w:top w:val="single" w:color="B7C4B8" w:sz="4"/>
              <w:left w:val="single" w:color="B7C4B8" w:sz="4"/>
              <w:bottom w:val="single" w:color="B7C4B8" w:sz="4"/>
              <w:right w:val="single" w:color="B7C4B8" w:sz="4"/>
            </w:tcBorders>
            <w:shd w:fill="1B4332" w:val="clear"/>
            <w:tcMar>
              <w:top w:type="dxa" w:w="70"/>
              <w:left w:type="dxa" w:w="90"/>
              <w:bottom w:type="dxa" w:w="70"/>
              <w:right w:type="dxa" w:w="90"/>
            </w:tcMar>
            <w:vAlign w:val="top"/>
          </w:tcPr>
          <w:p>
            <w:pPr>
              <w:spacing w:after="0" w:line="240"/>
            </w:pPr>
            <w:r>
              <w:rPr>
                <w:rFonts w:ascii="Calibri" w:cs="Calibri" w:eastAsia="Calibri" w:hAnsi="Calibri"/>
                <w:b/>
                <w:bCs/>
                <w:i w:val="false"/>
                <w:iCs w:val="false"/>
                <w:color w:val="FFFFFF"/>
                <w:sz w:val="17"/>
                <w:szCs w:val="17"/>
              </w:rPr>
              <w:t xml:space="preserve">What it is best at</w:t>
            </w:r>
          </w:p>
        </w:tc>
      </w:tr>
      <w:tr>
        <w:tc>
          <w:tcPr>
            <w:tcW w:type="dxa" w:w="220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Grok reconstruction</w:t>
            </w:r>
          </w:p>
        </w:tc>
        <w:tc>
          <w:tcPr>
            <w:tcW w:type="dxa" w:w="160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Grok</w:t>
            </w:r>
          </w:p>
        </w:tc>
        <w:tc>
          <w:tcPr>
            <w:tcW w:type="dxa" w:w="180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8 pp concept paper</w:t>
            </w:r>
          </w:p>
        </w:tc>
        <w:tc>
          <w:tcPr>
            <w:tcW w:type="dxa" w:w="448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Closest to the remembered three-plan brief. Strong on provenance, the siding story, and what the paper is not.</w:t>
            </w:r>
          </w:p>
        </w:tc>
      </w:tr>
      <w:tr>
        <w:tc>
          <w:tcPr>
            <w:tcW w:type="dxa" w:w="220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Claude independent</w:t>
            </w:r>
          </w:p>
        </w:tc>
        <w:tc>
          <w:tcPr>
            <w:tcW w:type="dxa" w:w="160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Claude</w:t>
            </w:r>
          </w:p>
        </w:tc>
        <w:tc>
          <w:tcPr>
            <w:tcW w:type="dxa" w:w="180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7 pp concept paper</w:t>
            </w:r>
          </w:p>
        </w:tc>
        <w:tc>
          <w:tcPr>
            <w:tcW w:type="dxa" w:w="448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Best short prose. Three design moves. Flexible utilities across the basin. Clean interdependence table.</w:t>
            </w:r>
          </w:p>
        </w:tc>
      </w:tr>
      <w:tr>
        <w:tc>
          <w:tcPr>
            <w:tcW w:type="dxa" w:w="220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ChatGPT IRHS</w:t>
            </w:r>
          </w:p>
        </w:tc>
        <w:tc>
          <w:tcPr>
            <w:tcW w:type="dxa" w:w="160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ChatGPT (GPT-5.6 Sol)</w:t>
            </w:r>
          </w:p>
        </w:tc>
        <w:tc>
          <w:tcPr>
            <w:tcW w:type="dxa" w:w="180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21 pp development brief</w:t>
            </w:r>
          </w:p>
        </w:tc>
        <w:tc>
          <w:tcPr>
            <w:tcW w:type="dxa" w:w="448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Best systems document. Continuity hierarchy, rotation options A/B/C, metrics, tensions, vocabulary, roadmap.</w:t>
            </w:r>
          </w:p>
        </w:tc>
      </w:tr>
      <w:tr>
        <w:tc>
          <w:tcPr>
            <w:tcW w:type="dxa" w:w="220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RAHI white paper</w:t>
            </w:r>
          </w:p>
        </w:tc>
        <w:tc>
          <w:tcPr>
            <w:tcW w:type="dxa" w:w="160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Independent technical redesign</w:t>
            </w:r>
          </w:p>
        </w:tc>
        <w:tc>
          <w:tcPr>
            <w:tcW w:type="dxa" w:w="180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10 pp engineering brief</w:t>
            </w:r>
          </w:p>
        </w:tc>
        <w:tc>
          <w:tcPr>
            <w:tcW w:type="dxa" w:w="448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Best quantified ranges and deployment phases. Maps cradle to FPS / LRB. Adds risk and cost framing.</w:t>
            </w:r>
          </w:p>
        </w:tc>
      </w:tr>
      <w:tr>
        <w:tc>
          <w:tcPr>
            <w:tcW w:type="dxa" w:w="220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IRHS framework</w:t>
            </w:r>
          </w:p>
        </w:tc>
        <w:tc>
          <w:tcPr>
            <w:tcW w:type="dxa" w:w="160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Long-form white paper</w:t>
            </w:r>
          </w:p>
        </w:tc>
        <w:tc>
          <w:tcPr>
            <w:tcW w:type="dxa" w:w="180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26 pp framework</w:t>
            </w:r>
          </w:p>
        </w:tc>
        <w:tc>
          <w:tcPr>
            <w:tcW w:type="dxa" w:w="448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Most expansive mapping to existing tech and adaptive reuse. Neighborhood walkthrough. Glossary.</w:t>
            </w:r>
          </w:p>
        </w:tc>
      </w:tr>
      <w:tr>
        <w:tc>
          <w:tcPr>
            <w:tcW w:type="dxa" w:w="220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Two-page brief</w:t>
            </w:r>
          </w:p>
        </w:tc>
        <w:tc>
          <w:tcPr>
            <w:tcW w:type="dxa" w:w="160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Short independent pass</w:t>
            </w:r>
          </w:p>
        </w:tc>
        <w:tc>
          <w:tcPr>
            <w:tcW w:type="dxa" w:w="180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2 pp snapshot</w:t>
            </w:r>
          </w:p>
        </w:tc>
        <w:tc>
          <w:tcPr>
            <w:tcW w:type="dxa" w:w="448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Handout version. Three pillars only. Use as a cover sheet, not as the archive record.</w:t>
            </w:r>
          </w:p>
        </w:tc>
      </w:tr>
    </w:tbl>
    <w:p>
      <w:pPr>
        <w:spacing w:after="140" w:before="180" w:line="276"/>
        <w:jc w:val="left"/>
      </w:pPr>
      <w:r>
        <w:rPr>
          <w:rFonts w:ascii="Calibri" w:cs="Calibri" w:eastAsia="Calibri" w:hAnsi="Calibri"/>
          <w:b w:val="false"/>
          <w:bCs w:val="false"/>
          <w:i w:val="false"/>
          <w:iCs w:val="false"/>
          <w:color w:val="1F2933"/>
          <w:sz w:val="21"/>
          <w:szCs w:val="21"/>
        </w:rPr>
        <w:t xml:space="preserve">Two of the longer technical drafts (RAHI and the 26-page IRHS framework) share a lot of specific language: aerogel conductivity, PCM setpoints, ASTM E1996, LRB / FPS, C&amp;D debris tonnage, tracking-yield bands. Treat those numbers as shared research notes, not as independently verified measurements of this concept.</w:t>
      </w:r>
    </w:p>
    <w:p>
      <w:pPr>
        <w:pStyle w:val="Heading1"/>
        <w:pBdr>
          <w:bottom w:val="single" w:color="2D6A4F" w:sz="12" w:space="4"/>
        </w:pBdr>
        <w:spacing w:after="140" w:before="320"/>
      </w:pPr>
      <w:r>
        <w:rPr>
          <w:rFonts w:ascii="Calibri" w:cs="Calibri" w:eastAsia="Calibri" w:hAnsi="Calibri"/>
          <w:b/>
          <w:bCs/>
          <w:color w:val="1B4332"/>
          <w:sz w:val="30"/>
          <w:szCs w:val="30"/>
        </w:rPr>
        <w:t xml:space="preserve">2.  What every pass kept</w:t>
      </w:r>
    </w:p>
    <w:p>
      <w:pPr>
        <w:spacing w:after="140" w:before="0" w:line="276"/>
        <w:jc w:val="left"/>
      </w:pPr>
      <w:r>
        <w:rPr>
          <w:rFonts w:ascii="Calibri" w:cs="Calibri" w:eastAsia="Calibri" w:hAnsi="Calibri"/>
          <w:b w:val="false"/>
          <w:bCs w:val="false"/>
          <w:i w:val="false"/>
          <w:iCs w:val="false"/>
          <w:color w:val="1F2933"/>
          <w:sz w:val="21"/>
          <w:szCs w:val="21"/>
        </w:rPr>
        <w:t xml:space="preserve">These items appear in every substantial draft. They should be treated as invariants. Later engineering may change the hardware. It should not drop these ideas without a recorded decision from you.</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Three original plans. </w:t>
      </w:r>
      <w:r>
        <w:rPr>
          <w:rFonts w:ascii="Calibri" w:cs="Calibri" w:eastAsia="Calibri" w:hAnsi="Calibri"/>
          <w:b w:val="false"/>
          <w:bCs w:val="false"/>
          <w:i w:val="false"/>
          <w:iCs w:val="false"/>
          <w:color w:val="1F2933"/>
          <w:sz w:val="21"/>
          <w:szCs w:val="21"/>
        </w:rPr>
        <w:t xml:space="preserve">Housing structure, energy plan, resilience / materials. RAHI splits them into four subsystems, but the content is the same stack.</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C / bowl / balls. </w:t>
      </w:r>
      <w:r>
        <w:rPr>
          <w:rFonts w:ascii="Calibri" w:cs="Calibri" w:eastAsia="Calibri" w:hAnsi="Calibri"/>
          <w:b w:val="false"/>
          <w:bCs w:val="false"/>
          <w:i w:val="false"/>
          <w:iCs w:val="false"/>
          <w:color w:val="1F2933"/>
          <w:sz w:val="21"/>
          <w:szCs w:val="21"/>
        </w:rPr>
        <w:t xml:space="preserve">A cut-circle or shallow basin, spherical bearings, sandbox or absorptive jacket, mesh around and under, bounded travel.</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Shockproof + weatherproof + adaptive sound. </w:t>
      </w:r>
      <w:r>
        <w:rPr>
          <w:rFonts w:ascii="Calibri" w:cs="Calibri" w:eastAsia="Calibri" w:hAnsi="Calibri"/>
          <w:b w:val="false"/>
          <w:bCs w:val="false"/>
          <w:i w:val="false"/>
          <w:iCs w:val="false"/>
          <w:color w:val="1F2933"/>
          <w:sz w:val="21"/>
          <w:szCs w:val="21"/>
        </w:rPr>
        <w:t xml:space="preserve">Not just seismic. Impact, heat, water, vibration, and tunable acoustic penetration.</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Sundial / heliotropic motion. </w:t>
      </w:r>
      <w:r>
        <w:rPr>
          <w:rFonts w:ascii="Calibri" w:cs="Calibri" w:eastAsia="Calibri" w:hAnsi="Calibri"/>
          <w:b w:val="false"/>
          <w:bCs w:val="false"/>
          <w:i w:val="false"/>
          <w:iCs w:val="false"/>
          <w:color w:val="1F2933"/>
          <w:sz w:val="21"/>
          <w:szCs w:val="21"/>
        </w:rPr>
        <w:t xml:space="preserve">The house or a collector crown tracks the sun. Site data decides placement. Neighbors do not steal working light.</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Envelope is the collector. </w:t>
      </w:r>
      <w:r>
        <w:rPr>
          <w:rFonts w:ascii="Calibri" w:cs="Calibri" w:eastAsia="Calibri" w:hAnsi="Calibri"/>
          <w:b w:val="false"/>
          <w:bCs w:val="false"/>
          <w:i w:val="false"/>
          <w:iCs w:val="false"/>
          <w:color w:val="1F2933"/>
          <w:sz w:val="21"/>
          <w:szCs w:val="21"/>
        </w:rPr>
        <w:t xml:space="preserve">Not a box with panels bolted on.</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Replaceable parts at the scale of the damage. </w:t>
      </w:r>
      <w:r>
        <w:rPr>
          <w:rFonts w:ascii="Calibri" w:cs="Calibri" w:eastAsia="Calibri" w:hAnsi="Calibri"/>
          <w:b w:val="false"/>
          <w:bCs w:val="false"/>
          <w:i w:val="false"/>
          <w:iCs w:val="false"/>
          <w:color w:val="1F2933"/>
          <w:sz w:val="21"/>
          <w:szCs w:val="21"/>
        </w:rPr>
        <w:t xml:space="preserve">The Sacramento siding problem is canon, not color.</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Two streams. </w:t>
      </w:r>
      <w:r>
        <w:rPr>
          <w:rFonts w:ascii="Calibri" w:cs="Calibri" w:eastAsia="Calibri" w:hAnsi="Calibri"/>
          <w:b w:val="false"/>
          <w:bCs w:val="false"/>
          <w:i w:val="false"/>
          <w:iCs w:val="false"/>
          <w:color w:val="1F2933"/>
          <w:sz w:val="21"/>
          <w:szCs w:val="21"/>
        </w:rPr>
        <w:t xml:space="preserve">A parts stream for building components and a broader neighborhood waste stream.</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Neighborhood is the unit. </w:t>
      </w:r>
      <w:r>
        <w:rPr>
          <w:rFonts w:ascii="Calibri" w:cs="Calibri" w:eastAsia="Calibri" w:hAnsi="Calibri"/>
          <w:b w:val="false"/>
          <w:bCs w:val="false"/>
          <w:i w:val="false"/>
          <w:iCs w:val="false"/>
          <w:color w:val="1F2933"/>
          <w:sz w:val="21"/>
          <w:szCs w:val="21"/>
        </w:rPr>
        <w:t xml:space="preserve">Shared geometry, shared light, shared depot, shared energy.</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Insurance is backup. </w:t>
      </w:r>
      <w:r>
        <w:rPr>
          <w:rFonts w:ascii="Calibri" w:cs="Calibri" w:eastAsia="Calibri" w:hAnsi="Calibri"/>
          <w:b w:val="false"/>
          <w:bCs w:val="false"/>
          <w:i w:val="false"/>
          <w:iCs w:val="false"/>
          <w:color w:val="1F2933"/>
          <w:sz w:val="21"/>
          <w:szCs w:val="21"/>
        </w:rPr>
        <w:t xml:space="preserve">The house is supposed to turn a disaster into a service event.</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Built to last. </w:t>
      </w:r>
      <w:r>
        <w:rPr>
          <w:rFonts w:ascii="Calibri" w:cs="Calibri" w:eastAsia="Calibri" w:hAnsi="Calibri"/>
          <w:b w:val="false"/>
          <w:bCs w:val="false"/>
          <w:i w:val="false"/>
          <w:iCs w:val="false"/>
          <w:color w:val="1F2933"/>
          <w:sz w:val="21"/>
          <w:szCs w:val="21"/>
        </w:rPr>
        <w:t xml:space="preserve">Specification, not slogan.</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This is not a stamped set. </w:t>
      </w:r>
      <w:r>
        <w:rPr>
          <w:rFonts w:ascii="Calibri" w:cs="Calibri" w:eastAsia="Calibri" w:hAnsi="Calibri"/>
          <w:b w:val="false"/>
          <w:bCs w:val="false"/>
          <w:i w:val="false"/>
          <w:iCs w:val="false"/>
          <w:color w:val="1F2933"/>
          <w:sz w:val="21"/>
          <w:szCs w:val="21"/>
        </w:rPr>
        <w:t xml:space="preserve">Every serious draft says so. Keep saying so.</w:t>
      </w:r>
    </w:p>
    <w:p>
      <w:pPr>
        <w:pStyle w:val="Heading1"/>
        <w:pBdr>
          <w:bottom w:val="single" w:color="2D6A4F" w:sz="12" w:space="4"/>
        </w:pBdr>
        <w:spacing w:after="140" w:before="320"/>
      </w:pPr>
      <w:r>
        <w:rPr>
          <w:rFonts w:ascii="Calibri" w:cs="Calibri" w:eastAsia="Calibri" w:hAnsi="Calibri"/>
          <w:b/>
          <w:bCs/>
          <w:color w:val="1B4332"/>
          <w:sz w:val="30"/>
          <w:szCs w:val="30"/>
        </w:rPr>
        <w:t xml:space="preserve">3.  What each pass uniquely added</w:t>
      </w:r>
    </w:p>
    <w:p>
      <w:pPr>
        <w:pStyle w:val="Heading2"/>
        <w:spacing w:after="80" w:before="240"/>
      </w:pPr>
      <w:r>
        <w:rPr>
          <w:rFonts w:ascii="Calibri" w:cs="Calibri" w:eastAsia="Calibri" w:hAnsi="Calibri"/>
          <w:b/>
          <w:bCs/>
          <w:color w:val="2D6A4F"/>
          <w:sz w:val="24"/>
          <w:szCs w:val="24"/>
        </w:rPr>
        <w:t xml:space="preserve">Grok reconstruction</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Full academic-path note: IT to Psychology via Ashworth / UAGC, lost Drive files, last-assignment date trail.</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Five working rules instead of seven. Tight problem table. Explicit next drawings: basin section, rotation budget, envelope kit, site worksheet, one-block sketch.</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Tone: keep the remembered geometry first; engineering words second.</w:t>
      </w:r>
    </w:p>
    <w:p>
      <w:pPr>
        <w:pStyle w:val="Heading2"/>
        <w:spacing w:after="80" w:before="240"/>
      </w:pPr>
      <w:r>
        <w:rPr>
          <w:rFonts w:ascii="Calibri" w:cs="Calibri" w:eastAsia="Calibri" w:hAnsi="Calibri"/>
          <w:b/>
          <w:bCs/>
          <w:color w:val="2D6A4F"/>
          <w:sz w:val="24"/>
          <w:szCs w:val="24"/>
        </w:rPr>
        <w:t xml:space="preserve">Claude independent</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The cleanest three-move sentence: decouple, don’t reinforce; make the surface do the work; repair in units, not sections.</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Flexible utility crossings as a hard requirement. A house that can move three inches but is hard-plumbed has only solved half the problem.</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Sundial inverted: the building turns instead of the pointer.</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Best test for weatherproofing: can a homeowner point to a smaller line item on a bill.</w:t>
      </w:r>
    </w:p>
    <w:p>
      <w:pPr>
        <w:pStyle w:val="Heading2"/>
        <w:spacing w:after="80" w:before="240"/>
      </w:pPr>
      <w:r>
        <w:rPr>
          <w:rFonts w:ascii="Calibri" w:cs="Calibri" w:eastAsia="Calibri" w:hAnsi="Calibri"/>
          <w:b/>
          <w:bCs/>
          <w:color w:val="2D6A4F"/>
          <w:sz w:val="24"/>
          <w:szCs w:val="24"/>
        </w:rPr>
        <w:t xml:space="preserve">ChatGPT IRHS</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Continuity hierarchy: life safety, habitability, serviceability, affordability, environmental continuity.</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Rotation kept as three options — full dwelling, collector crown, fixed adaptive envelope — instead of one forced answer.</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Two motions, two machines. Seismic and solar tracking may share a platform but not a control problem.</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Replaceability rules including successor standards so a 25-year-old house is still repairable.</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Scenario set: quake, summer price spike, debris hit, neighbor adds a story, decades of interior wear.</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Metrics that would make a prototype testable. Ten questions for you.</w:t>
      </w:r>
    </w:p>
    <w:p>
      <w:pPr>
        <w:pStyle w:val="Heading2"/>
        <w:spacing w:after="80" w:before="240"/>
      </w:pPr>
      <w:r>
        <w:rPr>
          <w:rFonts w:ascii="Calibri" w:cs="Calibri" w:eastAsia="Calibri" w:hAnsi="Calibri"/>
          <w:b/>
          <w:bCs/>
          <w:color w:val="2D6A4F"/>
          <w:sz w:val="24"/>
          <w:szCs w:val="24"/>
        </w:rPr>
        <w:t xml:space="preserve">RAHI</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Maps the cradle onto friction-pendulum and lead-rubber bearings, with a residential-scale sizing note.</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Puts published tracking-yield bands (roughly 15–35% single-axis, 30–45% dual-axis) next to the sundial idea so the energy claim can be tested.</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Four-phase path: one instrumented house, 4–8 home cluster, full block, then standards.</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Risk-category map and homeowner cost story in one place.</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Overreaches when it talks as if earthquake insurance disappears, or as if whole-house rotation inherits dual-axis farm yields automatically.</w:t>
      </w:r>
    </w:p>
    <w:p>
      <w:pPr>
        <w:pStyle w:val="Heading2"/>
        <w:spacing w:after="80" w:before="240"/>
      </w:pPr>
      <w:r>
        <w:rPr>
          <w:rFonts w:ascii="Calibri" w:cs="Calibri" w:eastAsia="Calibri" w:hAnsi="Calibri"/>
          <w:b/>
          <w:bCs/>
          <w:color w:val="2D6A4F"/>
          <w:sz w:val="24"/>
          <w:szCs w:val="24"/>
        </w:rPr>
        <w:t xml:space="preserve">26-page IRHS framework</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Adaptive reuse: adapt, upgrade, repurpose. The house should outlast a use-change, not just a storm.</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Neighborhood walkthrough (Bakersfield July morning) that makes the block feel real.</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Glossary useful for non-engineers.</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Same caution as RAHI: specific product targets (aerogel, PCM ±3°F, 2,000–3,500 sq ft of collector, electrochromic acoustics) are research options, not remembered course specs.</w:t>
      </w:r>
    </w:p>
    <w:p>
      <w:pPr>
        <w:pStyle w:val="Heading2"/>
        <w:spacing w:after="80" w:before="240"/>
      </w:pPr>
      <w:r>
        <w:rPr>
          <w:rFonts w:ascii="Calibri" w:cs="Calibri" w:eastAsia="Calibri" w:hAnsi="Calibri"/>
          <w:b/>
          <w:bCs/>
          <w:color w:val="2D6A4F"/>
          <w:sz w:val="24"/>
          <w:szCs w:val="24"/>
        </w:rPr>
        <w:t xml:space="preserve">Two-page brief</w:t>
      </w:r>
    </w:p>
    <w:p>
      <w:pPr>
        <w:spacing w:after="140" w:before="0" w:line="276"/>
        <w:jc w:val="left"/>
      </w:pPr>
      <w:r>
        <w:rPr>
          <w:rFonts w:ascii="Calibri" w:cs="Calibri" w:eastAsia="Calibri" w:hAnsi="Calibri"/>
          <w:b w:val="false"/>
          <w:bCs w:val="false"/>
          <w:i w:val="false"/>
          <w:iCs w:val="false"/>
          <w:color w:val="1F2933"/>
          <w:sz w:val="21"/>
          <w:szCs w:val="21"/>
        </w:rPr>
        <w:t xml:space="preserve">Keep it as the one-sheet. Do not let it become the master file. It drops provenance, tensions, and the two-stream distinction.</w:t>
      </w:r>
    </w:p>
    <w:p>
      <w:pPr>
        <w:pStyle w:val="Heading1"/>
        <w:pBdr>
          <w:bottom w:val="single" w:color="2D6A4F" w:sz="12" w:space="4"/>
        </w:pBdr>
        <w:spacing w:after="140" w:before="320"/>
      </w:pPr>
      <w:r>
        <w:rPr>
          <w:rFonts w:ascii="Calibri" w:cs="Calibri" w:eastAsia="Calibri" w:hAnsi="Calibri"/>
          <w:b/>
          <w:bCs/>
          <w:color w:val="1B4332"/>
          <w:sz w:val="30"/>
          <w:szCs w:val="30"/>
        </w:rPr>
        <w:t xml:space="preserve">4.  Tensions to keep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B7C4B8" w:sz="4"/>
              <w:left w:val="single" w:color="B7C4B8" w:sz="4"/>
              <w:bottom w:val="single" w:color="B7C4B8" w:sz="4"/>
              <w:right w:val="single" w:color="B7C4B8" w:sz="4"/>
            </w:tcBorders>
            <w:shd w:fill="1B4332" w:val="clear"/>
            <w:tcMar>
              <w:top w:type="dxa" w:w="70"/>
              <w:left w:type="dxa" w:w="90"/>
              <w:bottom w:type="dxa" w:w="70"/>
              <w:right w:type="dxa" w:w="90"/>
            </w:tcMar>
            <w:vAlign w:val="top"/>
          </w:tcPr>
          <w:p>
            <w:pPr>
              <w:spacing w:after="0" w:line="240"/>
            </w:pPr>
            <w:r>
              <w:rPr>
                <w:rFonts w:ascii="Calibri" w:cs="Calibri" w:eastAsia="Calibri" w:hAnsi="Calibri"/>
                <w:b/>
                <w:bCs/>
                <w:i w:val="false"/>
                <w:iCs w:val="false"/>
                <w:color w:val="FFFFFF"/>
                <w:sz w:val="17"/>
                <w:szCs w:val="17"/>
              </w:rPr>
              <w:t xml:space="preserve">Tension</w:t>
            </w:r>
          </w:p>
        </w:tc>
        <w:tc>
          <w:tcPr>
            <w:tcW w:type="dxa" w:w="3840"/>
            <w:tcBorders>
              <w:top w:val="single" w:color="B7C4B8" w:sz="4"/>
              <w:left w:val="single" w:color="B7C4B8" w:sz="4"/>
              <w:bottom w:val="single" w:color="B7C4B8" w:sz="4"/>
              <w:right w:val="single" w:color="B7C4B8" w:sz="4"/>
            </w:tcBorders>
            <w:shd w:fill="1B4332" w:val="clear"/>
            <w:tcMar>
              <w:top w:type="dxa" w:w="70"/>
              <w:left w:type="dxa" w:w="90"/>
              <w:bottom w:type="dxa" w:w="70"/>
              <w:right w:type="dxa" w:w="90"/>
            </w:tcMar>
            <w:vAlign w:val="top"/>
          </w:tcPr>
          <w:p>
            <w:pPr>
              <w:spacing w:after="0" w:line="240"/>
            </w:pPr>
            <w:r>
              <w:rPr>
                <w:rFonts w:ascii="Calibri" w:cs="Calibri" w:eastAsia="Calibri" w:hAnsi="Calibri"/>
                <w:b/>
                <w:bCs/>
                <w:i w:val="false"/>
                <w:iCs w:val="false"/>
                <w:color w:val="FFFFFF"/>
                <w:sz w:val="17"/>
                <w:szCs w:val="17"/>
              </w:rPr>
              <w:t xml:space="preserve">How the drafts split</w:t>
            </w:r>
          </w:p>
        </w:tc>
        <w:tc>
          <w:tcPr>
            <w:tcW w:type="dxa" w:w="3840"/>
            <w:tcBorders>
              <w:top w:val="single" w:color="B7C4B8" w:sz="4"/>
              <w:left w:val="single" w:color="B7C4B8" w:sz="4"/>
              <w:bottom w:val="single" w:color="B7C4B8" w:sz="4"/>
              <w:right w:val="single" w:color="B7C4B8" w:sz="4"/>
            </w:tcBorders>
            <w:shd w:fill="1B4332" w:val="clear"/>
            <w:tcMar>
              <w:top w:type="dxa" w:w="70"/>
              <w:left w:type="dxa" w:w="90"/>
              <w:bottom w:type="dxa" w:w="70"/>
              <w:right w:type="dxa" w:w="90"/>
            </w:tcMar>
            <w:vAlign w:val="top"/>
          </w:tcPr>
          <w:p>
            <w:pPr>
              <w:spacing w:after="0" w:line="240"/>
            </w:pPr>
            <w:r>
              <w:rPr>
                <w:rFonts w:ascii="Calibri" w:cs="Calibri" w:eastAsia="Calibri" w:hAnsi="Calibri"/>
                <w:b/>
                <w:bCs/>
                <w:i w:val="false"/>
                <w:iCs w:val="false"/>
                <w:color w:val="FFFFFF"/>
                <w:sz w:val="17"/>
                <w:szCs w:val="17"/>
              </w:rPr>
              <w:t xml:space="preserve">Recommended archive position</w:t>
            </w:r>
          </w:p>
        </w:tc>
      </w:tr>
      <w:tr>
        <w:tc>
          <w:tcPr>
            <w:tcW w:type="dxa" w:w="240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Name</w:t>
            </w:r>
          </w:p>
        </w:tc>
        <w:tc>
          <w:tcPr>
            <w:tcW w:type="dxa" w:w="384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Built to Last; IRHS; RAHI; Integrated Resilient Housing System.</w:t>
            </w:r>
          </w:p>
        </w:tc>
        <w:tc>
          <w:tcPr>
            <w:tcW w:type="dxa" w:w="384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Keep Built to Last as the doctrine name. IRHS can be the technical system name under it. RAHI is a working title from one pass, not the canon.</w:t>
            </w:r>
          </w:p>
        </w:tc>
      </w:tr>
      <w:tr>
        <w:tc>
          <w:tcPr>
            <w:tcW w:type="dxa" w:w="240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Three plans vs four subsystems</w:t>
            </w:r>
          </w:p>
        </w:tc>
        <w:tc>
          <w:tcPr>
            <w:tcW w:type="dxa" w:w="384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Most drafts keep your three. RAHI splits envelope off as its own subsystem.</w:t>
            </w:r>
          </w:p>
        </w:tc>
        <w:tc>
          <w:tcPr>
            <w:tcW w:type="dxa" w:w="384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Canon stays three plans. Envelope lives inside housing structure plus energy. Do not rewrite the origin into four pillars.</w:t>
            </w:r>
          </w:p>
        </w:tc>
      </w:tr>
      <w:tr>
        <w:tc>
          <w:tcPr>
            <w:tcW w:type="dxa" w:w="240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Whole-house rotation</w:t>
            </w:r>
          </w:p>
        </w:tc>
        <w:tc>
          <w:tcPr>
            <w:tcW w:type="dxa" w:w="384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Your memory and several drafts keep it. Claude, Grok, and ChatGPT mark collector-crown as the first build. RAHI and IRHS argue harder for rotating the dwelling.</w:t>
            </w:r>
          </w:p>
        </w:tc>
        <w:tc>
          <w:tcPr>
            <w:tcW w:type="dxa" w:w="384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Preserve whole-house rotation as the original idea. Build and test the collector crown first. Do not collapse the original image.</w:t>
            </w:r>
          </w:p>
        </w:tc>
      </w:tr>
      <w:tr>
        <w:tc>
          <w:tcPr>
            <w:tcW w:type="dxa" w:w="240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Literal sandbox and balls</w:t>
            </w:r>
          </w:p>
        </w:tc>
        <w:tc>
          <w:tcPr>
            <w:tcW w:type="dxa" w:w="384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Narrative drafts keep sand and balls. Technical drafts translate to FPS, LRB, elastomers, foam.</w:t>
            </w:r>
          </w:p>
        </w:tc>
        <w:tc>
          <w:tcPr>
            <w:tcW w:type="dxa" w:w="384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Keep the remembered geometry in the concept record. Let engineers pick certified devices. Do not pretend the course specified LRB or aerogel.</w:t>
            </w:r>
          </w:p>
        </w:tc>
      </w:tr>
      <w:tr>
        <w:tc>
          <w:tcPr>
            <w:tcW w:type="dxa" w:w="240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One platform, two motions</w:t>
            </w:r>
          </w:p>
        </w:tc>
        <w:tc>
          <w:tcPr>
            <w:tcW w:type="dxa" w:w="384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All serious drafts say seismic jerk and daily tracking are different clocks.</w:t>
            </w:r>
          </w:p>
        </w:tc>
        <w:tc>
          <w:tcPr>
            <w:tcW w:type="dxa" w:w="384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Shared platform only if the machines stay separate. This is already consensus.</w:t>
            </w:r>
          </w:p>
        </w:tc>
      </w:tr>
      <w:tr>
        <w:tc>
          <w:tcPr>
            <w:tcW w:type="dxa" w:w="240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How much tech</w:t>
            </w:r>
          </w:p>
        </w:tc>
        <w:tc>
          <w:tcPr>
            <w:tcW w:type="dxa" w:w="384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IRHS/RAHI load the envelope with aerogel, PCM, smart glass, blockchain trading. Narrative drafts stay lighter.</w:t>
            </w:r>
          </w:p>
        </w:tc>
        <w:tc>
          <w:tcPr>
            <w:tcW w:type="dxa" w:w="384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Passive first. Named products are a later options list, not core identity.</w:t>
            </w:r>
          </w:p>
        </w:tc>
      </w:tr>
      <w:tr>
        <w:tc>
          <w:tcPr>
            <w:tcW w:type="dxa" w:w="240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Off-grid vs islanding</w:t>
            </w:r>
          </w:p>
        </w:tc>
        <w:tc>
          <w:tcPr>
            <w:tcW w:type="dxa" w:w="384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Some drafts imply energy independence. ChatGPT keeps grid relationship plus islanding.</w:t>
            </w:r>
          </w:p>
        </w:tc>
        <w:tc>
          <w:tcPr>
            <w:tcW w:type="dxa" w:w="3840"/>
            <w:tcBorders>
              <w:top w:val="single" w:color="B7C4B8" w:sz="4"/>
              <w:left w:val="single" w:color="B7C4B8" w:sz="4"/>
              <w:bottom w:val="single" w:color="B7C4B8" w:sz="4"/>
              <w:right w:val="single" w:color="B7C4B8" w:sz="4"/>
            </w:tcBorders>
            <w:shd w:fill="F7F3EA"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Default: cut peak bills and island in an outage. Full off-grid is optional, not remembered as required.</w:t>
            </w:r>
          </w:p>
        </w:tc>
      </w:tr>
      <w:tr>
        <w:tc>
          <w:tcPr>
            <w:tcW w:type="dxa" w:w="240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Insurance language</w:t>
            </w:r>
          </w:p>
        </w:tc>
        <w:tc>
          <w:tcPr>
            <w:tcW w:type="dxa" w:w="384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A few lines say eliminate claims or premiums. Stronger drafts say change the object insured.</w:t>
            </w:r>
          </w:p>
        </w:tc>
        <w:tc>
          <w:tcPr>
            <w:tcW w:type="dxa" w:w="3840"/>
            <w:tcBorders>
              <w:top w:val="single" w:color="B7C4B8" w:sz="4"/>
              <w:left w:val="single" w:color="B7C4B8" w:sz="4"/>
              <w:bottom w:val="single" w:color="B7C4B8" w:sz="4"/>
              <w:right w:val="single" w:color="B7C4B8" w:sz="4"/>
            </w:tcBorders>
            <w:shd w:fill="F0F7F2" w:val="clear"/>
            <w:tcMar>
              <w:top w:type="dxa" w:w="70"/>
              <w:left w:type="dxa" w:w="90"/>
              <w:bottom w:type="dxa" w:w="70"/>
              <w:right w:type="dxa" w:w="90"/>
            </w:tcMar>
            <w:vAlign w:val="top"/>
          </w:tcPr>
          <w:p>
            <w:pPr>
              <w:spacing w:after="0" w:line="240"/>
            </w:pPr>
            <w:r>
              <w:rPr>
                <w:rFonts w:ascii="Calibri" w:cs="Calibri" w:eastAsia="Calibri" w:hAnsi="Calibri"/>
                <w:b w:val="false"/>
                <w:bCs w:val="false"/>
                <w:i w:val="false"/>
                <w:iCs w:val="false"/>
                <w:color w:val="1F2933"/>
                <w:sz w:val="17"/>
                <w:szCs w:val="17"/>
              </w:rPr>
              <w:t xml:space="preserve">Canon: insurance remains. Architecture should make total loss rare.</w:t>
            </w:r>
          </w:p>
        </w:tc>
      </w:tr>
    </w:tbl>
    <w:p>
      <w:pPr>
        <w:pStyle w:val="Heading1"/>
        <w:pBdr>
          <w:bottom w:val="single" w:color="2D6A4F" w:sz="12" w:space="4"/>
        </w:pBdr>
        <w:spacing w:after="140" w:before="320"/>
      </w:pPr>
      <w:r>
        <w:rPr>
          <w:rFonts w:ascii="Calibri" w:cs="Calibri" w:eastAsia="Calibri" w:hAnsi="Calibri"/>
          <w:b/>
          <w:bCs/>
          <w:color w:val="1B4332"/>
          <w:sz w:val="30"/>
          <w:szCs w:val="30"/>
        </w:rPr>
        <w:t xml:space="preserve">5.  Recommended canon for your files</w:t>
      </w:r>
    </w:p>
    <w:p>
      <w:pPr>
        <w:spacing w:after="140" w:before="0" w:line="276"/>
        <w:jc w:val="left"/>
      </w:pPr>
      <w:r>
        <w:rPr>
          <w:rFonts w:ascii="Calibri" w:cs="Calibri" w:eastAsia="Calibri" w:hAnsi="Calibri"/>
          <w:b w:val="false"/>
          <w:bCs w:val="false"/>
          <w:i w:val="false"/>
          <w:iCs w:val="false"/>
          <w:color w:val="1F2933"/>
          <w:sz w:val="21"/>
          <w:szCs w:val="21"/>
        </w:rPr>
        <w:t xml:space="preserve">Store every independent pass. Do not merge them into one document that pretends there was only one voice. Use this stack:</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Cover sheet. </w:t>
      </w:r>
      <w:r>
        <w:rPr>
          <w:rFonts w:ascii="Calibri" w:cs="Calibri" w:eastAsia="Calibri" w:hAnsi="Calibri"/>
          <w:b w:val="false"/>
          <w:bCs w:val="false"/>
          <w:i w:val="false"/>
          <w:iCs w:val="false"/>
          <w:color w:val="1F2933"/>
          <w:sz w:val="21"/>
          <w:szCs w:val="21"/>
        </w:rPr>
        <w:t xml:space="preserve">The two-page brief, plus this reconciliation.</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Origin record. </w:t>
      </w:r>
      <w:r>
        <w:rPr>
          <w:rFonts w:ascii="Calibri" w:cs="Calibri" w:eastAsia="Calibri" w:hAnsi="Calibri"/>
          <w:b w:val="false"/>
          <w:bCs w:val="false"/>
          <w:i w:val="false"/>
          <w:iCs w:val="false"/>
          <w:color w:val="1F2933"/>
          <w:sz w:val="21"/>
          <w:szCs w:val="21"/>
        </w:rPr>
        <w:t xml:space="preserve">Grok reconstruction. It is the closest written form of what you actually remembered, including lost files and the academic path.</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Readable argument. </w:t>
      </w:r>
      <w:r>
        <w:rPr>
          <w:rFonts w:ascii="Calibri" w:cs="Calibri" w:eastAsia="Calibri" w:hAnsi="Calibri"/>
          <w:b w:val="false"/>
          <w:bCs w:val="false"/>
          <w:i w:val="false"/>
          <w:iCs w:val="false"/>
          <w:color w:val="1F2933"/>
          <w:sz w:val="21"/>
          <w:szCs w:val="21"/>
        </w:rPr>
        <w:t xml:space="preserve">Claude independent. Best thing to hand someone who will read eight pages.</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Development brief. </w:t>
      </w:r>
      <w:r>
        <w:rPr>
          <w:rFonts w:ascii="Calibri" w:cs="Calibri" w:eastAsia="Calibri" w:hAnsi="Calibri"/>
          <w:b w:val="false"/>
          <w:bCs w:val="false"/>
          <w:i w:val="false"/>
          <w:iCs w:val="false"/>
          <w:color w:val="1F2933"/>
          <w:sz w:val="21"/>
          <w:szCs w:val="21"/>
        </w:rPr>
        <w:t xml:space="preserve">ChatGPT IRHS. Best thing to hand someone who will build a work plan.</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Engineering translation file. </w:t>
      </w:r>
      <w:r>
        <w:rPr>
          <w:rFonts w:ascii="Calibri" w:cs="Calibri" w:eastAsia="Calibri" w:hAnsi="Calibri"/>
          <w:b w:val="false"/>
          <w:bCs w:val="false"/>
          <w:i w:val="false"/>
          <w:iCs w:val="false"/>
          <w:color w:val="1F2933"/>
          <w:sz w:val="21"/>
          <w:szCs w:val="21"/>
        </w:rPr>
        <w:t xml:space="preserve">RAHI plus the long IRHS framework, marked as analogue lists and options, not as course specifications.</w:t>
      </w:r>
    </w:p>
    <w:p>
      <w:pPr>
        <w:pStyle w:val="Heading2"/>
        <w:spacing w:after="80" w:before="240"/>
      </w:pPr>
      <w:r>
        <w:rPr>
          <w:rFonts w:ascii="Calibri" w:cs="Calibri" w:eastAsia="Calibri" w:hAnsi="Calibri"/>
          <w:b/>
          <w:bCs/>
          <w:color w:val="2D6A4F"/>
          <w:sz w:val="24"/>
          <w:szCs w:val="24"/>
        </w:rPr>
        <w:t xml:space="preserve">Sentences worth keeping as official language</w:t>
      </w:r>
    </w:p>
    <w:p>
      <w:pPr>
        <w:spacing w:after="140" w:before="0" w:line="276"/>
        <w:jc w:val="left"/>
      </w:pPr>
      <w:r>
        <w:rPr>
          <w:rFonts w:ascii="Calibri" w:cs="Calibri" w:eastAsia="Calibri" w:hAnsi="Calibri"/>
          <w:b w:val="false"/>
          <w:bCs w:val="false"/>
          <w:i w:val="false"/>
          <w:iCs w:val="false"/>
          <w:color w:val="1F2933"/>
          <w:sz w:val="21"/>
          <w:szCs w:val="21"/>
        </w:rPr>
        <w:t xml:space="preserve">From the origin: Build it so it lasts. A fault, a storm, a brutal summer bill, or a wrecked run of siding should be a service event, not the reconstruction of a life.</w:t>
      </w:r>
    </w:p>
    <w:p>
      <w:pPr>
        <w:spacing w:after="140" w:before="0" w:line="276"/>
        <w:jc w:val="left"/>
      </w:pPr>
      <w:r>
        <w:rPr>
          <w:rFonts w:ascii="Calibri" w:cs="Calibri" w:eastAsia="Calibri" w:hAnsi="Calibri"/>
          <w:b w:val="false"/>
          <w:bCs w:val="false"/>
          <w:i w:val="false"/>
          <w:iCs w:val="false"/>
          <w:color w:val="1F2933"/>
          <w:sz w:val="21"/>
          <w:szCs w:val="21"/>
        </w:rPr>
        <w:t xml:space="preserve">From Claude: Most houses are built to survive an average day and negotiated after a bad one. This concept designs for the bad day first.</w:t>
      </w:r>
    </w:p>
    <w:p>
      <w:pPr>
        <w:spacing w:after="140" w:before="0" w:line="276"/>
        <w:jc w:val="left"/>
      </w:pPr>
      <w:r>
        <w:rPr>
          <w:rFonts w:ascii="Calibri" w:cs="Calibri" w:eastAsia="Calibri" w:hAnsi="Calibri"/>
          <w:b w:val="false"/>
          <w:bCs w:val="false"/>
          <w:i w:val="false"/>
          <w:iCs w:val="false"/>
          <w:color w:val="1F2933"/>
          <w:sz w:val="21"/>
          <w:szCs w:val="21"/>
        </w:rPr>
        <w:t xml:space="preserve">From ChatGPT: A resilient home is not one that never experiences stress. It is one designed to take stress, keep essential functions, and recover.</w:t>
      </w:r>
    </w:p>
    <w:p>
      <w:pPr>
        <w:spacing w:after="140" w:before="0" w:line="276"/>
        <w:jc w:val="left"/>
      </w:pPr>
      <w:r>
        <w:rPr>
          <w:rFonts w:ascii="Calibri" w:cs="Calibri" w:eastAsia="Calibri" w:hAnsi="Calibri"/>
          <w:b w:val="false"/>
          <w:bCs w:val="false"/>
          <w:i w:val="false"/>
          <w:iCs w:val="false"/>
          <w:color w:val="1F2933"/>
          <w:sz w:val="21"/>
          <w:szCs w:val="21"/>
        </w:rPr>
        <w:t xml:space="preserve">From Claude on utilities: If the house can move and the pipes cannot, the isolation is unfinished.</w:t>
      </w:r>
    </w:p>
    <w:p>
      <w:pPr>
        <w:spacing w:after="140" w:before="0" w:line="276"/>
        <w:jc w:val="left"/>
      </w:pPr>
      <w:r>
        <w:rPr>
          <w:rFonts w:ascii="Calibri" w:cs="Calibri" w:eastAsia="Calibri" w:hAnsi="Calibri"/>
          <w:b w:val="false"/>
          <w:bCs w:val="false"/>
          <w:i w:val="false"/>
          <w:iCs w:val="false"/>
          <w:color w:val="1F2933"/>
          <w:sz w:val="21"/>
          <w:szCs w:val="21"/>
        </w:rPr>
        <w:t xml:space="preserve">From ChatGPT on motion: Seismic travel and sundial travel are two machines. They may share a platform. They do not share a job.</w:t>
      </w:r>
    </w:p>
    <w:p>
      <w:pPr>
        <w:pStyle w:val="Heading1"/>
        <w:pBdr>
          <w:bottom w:val="single" w:color="2D6A4F" w:sz="12" w:space="4"/>
        </w:pBdr>
        <w:spacing w:after="140" w:before="320"/>
      </w:pPr>
      <w:r>
        <w:rPr>
          <w:rFonts w:ascii="Calibri" w:cs="Calibri" w:eastAsia="Calibri" w:hAnsi="Calibri"/>
          <w:b/>
          <w:bCs/>
          <w:color w:val="1B4332"/>
          <w:sz w:val="30"/>
          <w:szCs w:val="30"/>
        </w:rPr>
        <w:t xml:space="preserve">6.  Questions still only you can close</w:t>
      </w:r>
    </w:p>
    <w:p>
      <w:pPr>
        <w:spacing w:after="140" w:before="0" w:line="276"/>
        <w:jc w:val="left"/>
      </w:pPr>
      <w:r>
        <w:rPr>
          <w:rFonts w:ascii="Calibri" w:cs="Calibri" w:eastAsia="Calibri" w:hAnsi="Calibri"/>
          <w:b w:val="false"/>
          <w:bCs w:val="false"/>
          <w:i w:val="false"/>
          <w:iCs w:val="false"/>
          <w:color w:val="1F2933"/>
          <w:sz w:val="21"/>
          <w:szCs w:val="21"/>
        </w:rPr>
        <w:t xml:space="preserve">ChatGPT listed ten. These six are the ones that actually change the next drawing.</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Was whole-house rotation required in the course version, or was a moving collector enough?</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Did the original resilience plan include water capture, food, or wildfire defense, or only structure / energy / materials?</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Was the waste stream ordinary household trash, construction parts, or both? (Every draft assumed both; confirm.)</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How was adaptive sound supposed to be controlled — hand, schedule, or automatic?</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Was there a target service life — 50 years, 100, or just “outlast the rebuild cycle”?</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What must survive even if a licensed engineer simplifies everything else?</w:t>
      </w:r>
    </w:p>
    <w:p>
      <w:pPr>
        <w:pStyle w:val="Heading1"/>
        <w:pBdr>
          <w:bottom w:val="single" w:color="2D6A4F" w:sz="12" w:space="4"/>
        </w:pBdr>
        <w:spacing w:after="140" w:before="320"/>
      </w:pPr>
      <w:r>
        <w:rPr>
          <w:rFonts w:ascii="Calibri" w:cs="Calibri" w:eastAsia="Calibri" w:hAnsi="Calibri"/>
          <w:b/>
          <w:bCs/>
          <w:color w:val="1B4332"/>
          <w:sz w:val="30"/>
          <w:szCs w:val="30"/>
        </w:rPr>
        <w:t xml:space="preserve">7.  Suggested next artifact</w:t>
      </w:r>
    </w:p>
    <w:p>
      <w:pPr>
        <w:spacing w:after="140" w:before="0" w:line="276"/>
        <w:jc w:val="left"/>
      </w:pPr>
      <w:r>
        <w:rPr>
          <w:rFonts w:ascii="Calibri" w:cs="Calibri" w:eastAsia="Calibri" w:hAnsi="Calibri"/>
          <w:b w:val="false"/>
          <w:bCs w:val="false"/>
          <w:i w:val="false"/>
          <w:iCs w:val="false"/>
          <w:color w:val="1F2933"/>
          <w:sz w:val="21"/>
          <w:szCs w:val="21"/>
        </w:rPr>
        <w:t xml:space="preserve">Do not write a seventh essay that repeats the same three pillars. The missing objects are drawings and a decision log:</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One section through the basin: house, balls / bearings, sandbox, mesh, travel stops, flex utilities.</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One plan of a block: rotation envelopes, no-shadow rule, depot, waste point, shared storage.</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One parts card: siding bay, collector tile, baseboard, return path, owner vs licensed work.</w:t>
      </w:r>
    </w:p>
    <w:p>
      <w:pPr>
        <w:pStyle w:val="ListParagraph"/>
        <w:numPr>
          <w:ilvl w:val="0"/>
          <w:numId w:val="2"/>
        </w:numPr>
        <w:spacing w:after="50" w:before="30" w:line="260"/>
      </w:pPr>
      <w:r>
        <w:rPr>
          <w:rFonts w:ascii="Calibri" w:cs="Calibri" w:eastAsia="Calibri" w:hAnsi="Calibri"/>
          <w:b w:val="false"/>
          <w:bCs w:val="false"/>
          <w:i w:val="false"/>
          <w:iCs w:val="false"/>
          <w:color w:val="1F2933"/>
          <w:sz w:val="21"/>
          <w:szCs w:val="21"/>
        </w:rPr>
        <w:t xml:space="preserve">One decision log that records your answers to section 6 so later drafts stop guessing.</w:t>
      </w:r>
    </w:p>
    <w:p>
      <w:pPr>
        <w:pStyle w:val="Heading1"/>
        <w:pBdr>
          <w:bottom w:val="single" w:color="2D6A4F" w:sz="12" w:space="4"/>
        </w:pBdr>
        <w:spacing w:after="140" w:before="320"/>
      </w:pPr>
      <w:r>
        <w:rPr>
          <w:rFonts w:ascii="Calibri" w:cs="Calibri" w:eastAsia="Calibri" w:hAnsi="Calibri"/>
          <w:b/>
          <w:bCs/>
          <w:color w:val="1B4332"/>
          <w:sz w:val="30"/>
          <w:szCs w:val="30"/>
        </w:rPr>
        <w:t xml:space="preserve">8.  Closing</w:t>
      </w:r>
    </w:p>
    <w:p>
      <w:pPr>
        <w:spacing w:after="140" w:before="0" w:line="276"/>
        <w:jc w:val="left"/>
      </w:pPr>
      <w:r>
        <w:rPr>
          <w:rFonts w:ascii="Calibri" w:cs="Calibri" w:eastAsia="Calibri" w:hAnsi="Calibri"/>
          <w:b w:val="false"/>
          <w:bCs w:val="false"/>
          <w:i w:val="false"/>
          <w:iCs w:val="false"/>
          <w:color w:val="1F2933"/>
          <w:sz w:val="21"/>
          <w:szCs w:val="21"/>
        </w:rPr>
        <w:t xml:space="preserve">The collaborative set did what it was supposed to do. It did not invent six different houses. It produced six angles on one house: a dwelling that is allowed to move, a skin that collects the day, a block that keeps its parts, and a repair path that does not punish a small need.</w:t>
      </w:r>
    </w:p>
    <w:p>
      <w:pPr>
        <w:spacing w:after="140" w:before="0" w:line="276"/>
        <w:jc w:val="left"/>
      </w:pPr>
      <w:r>
        <w:rPr>
          <w:rFonts w:ascii="Calibri" w:cs="Calibri" w:eastAsia="Calibri" w:hAnsi="Calibri"/>
          <w:b w:val="false"/>
          <w:bCs w:val="false"/>
          <w:i w:val="false"/>
          <w:iCs w:val="false"/>
          <w:color w:val="1F2933"/>
          <w:sz w:val="21"/>
          <w:szCs w:val="21"/>
        </w:rPr>
        <w:t xml:space="preserve">Where the drafts get louder than the memory — aerogel setpoints, disappearing insurance, blockchain energy trades, whole-house dual-axis yields — file that as later option space. Where they all say the same quiet thing — decouple, collect, replace one piece, design the block — that is the concept you already had.</w:t>
      </w:r>
    </w:p>
    <w:p>
      <w:pPr>
        <w:spacing w:after="80" w:before="0" w:line="276"/>
        <w:jc w:val="left"/>
      </w:pPr>
      <w:r>
        <w:rPr>
          <w:rFonts w:ascii="Calibri" w:cs="Calibri" w:eastAsia="Calibri" w:hAnsi="Calibri"/>
          <w:b w:val="false"/>
          <w:bCs w:val="false"/>
          <w:i w:val="false"/>
          <w:iCs w:val="false"/>
          <w:color w:val="1F2933"/>
          <w:sz w:val="21"/>
          <w:szCs w:val="21"/>
        </w:rPr>
        <w:t xml:space="preserve">Keep every pass. Use this page to navigate them. Built to last remains the governing sentence.</w:t>
      </w:r>
    </w:p>
    <w:p>
      <w:pPr>
        <w:pBdr>
          <w:top w:val="single" w:color="2D6A4F" w:sz="12" w:space="10"/>
        </w:pBdr>
        <w:spacing w:after="40" w:before="200"/>
      </w:pPr>
      <w:r>
        <w:rPr>
          <w:rFonts w:ascii="Calibri" w:cs="Calibri" w:eastAsia="Calibri" w:hAnsi="Calibri"/>
          <w:b/>
          <w:bCs/>
          <w:color w:val="2D6A4F"/>
          <w:sz w:val="17"/>
          <w:szCs w:val="17"/>
        </w:rPr>
        <w:t xml:space="preserve">Document note</w:t>
      </w:r>
    </w:p>
    <w:p>
      <w:pPr>
        <w:spacing w:after="0" w:before="0" w:line="276"/>
        <w:jc w:val="left"/>
      </w:pPr>
      <w:r>
        <w:rPr>
          <w:rFonts w:ascii="Calibri" w:cs="Calibri" w:eastAsia="Calibri" w:hAnsi="Calibri"/>
          <w:b w:val="false"/>
          <w:bCs w:val="false"/>
          <w:i w:val="false"/>
          <w:iCs w:val="false"/>
          <w:color w:val="52606D"/>
          <w:sz w:val="17"/>
          <w:szCs w:val="17"/>
        </w:rPr>
        <w:t xml:space="preserve">Prepared 30 August 2026 as Grok’s reconciliation of the independent collaborative passes. It is a map of the set, not a replacement for any draft in the set, and not a construction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8" w:space="6"/>
      </w:pBdr>
      <w:tabs>
        <w:tab w:val="right" w:pos="10080"/>
      </w:tabs>
      <w:spacing w:before="60"/>
    </w:pPr>
    <w:r>
      <w:rPr>
        <w:rFonts w:ascii="Calibri" w:cs="Calibri" w:eastAsia="Calibri" w:hAnsi="Calibri"/>
        <w:color w:val="52606D"/>
        <w:sz w:val="15"/>
        <w:szCs w:val="15"/>
      </w:rPr>
      <w:t xml:space="preserve">Nathan Lewis  ·  Independent passes compared, not overwritten</w:t>
    </w:r>
    <w:r>
      <w:rPr>
        <w:rFonts w:ascii="Calibri" w:cs="Calibri" w:eastAsia="Calibri" w:hAnsi="Calibri"/>
        <w:color w:val="52606D"/>
        <w:sz w:val="15"/>
        <w:szCs w:val="15"/>
      </w:rPr>
      <w:t xml:space="preserve">	Page </w:t>
    </w:r>
    <w:r>
      <w:rPr>
        <w:rFonts w:ascii="Calibri" w:cs="Calibri" w:eastAsia="Calibri" w:hAnsi="Calibri"/>
        <w:color w:val="52606D"/>
        <w:sz w:val="15"/>
        <w:szCs w:val="15"/>
      </w:rPr>
      <w:fldChar w:fldCharType="begin"/>
      <w:instrText xml:space="preserve">PAGE</w:instrText>
      <w:fldChar w:fldCharType="separate"/>
      <w:fldChar w:fldCharType="end"/>
    </w:r>
    <w:r>
      <w:rPr>
        <w:rFonts w:ascii="Calibri" w:cs="Calibri" w:eastAsia="Calibri" w:hAnsi="Calibri"/>
        <w:color w:val="52606D"/>
        <w:sz w:val="15"/>
        <w:szCs w:val="15"/>
      </w:rPr>
      <w:t xml:space="preserve"> of </w:t>
    </w:r>
    <w:r>
      <w:rPr>
        <w:rFonts w:ascii="Calibri" w:cs="Calibri" w:eastAsia="Calibri" w:hAnsi="Calibri"/>
        <w:color w:val="52606D"/>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8" w:space="6"/>
      </w:pBdr>
      <w:tabs>
        <w:tab w:val="right" w:pos="10080"/>
      </w:tabs>
      <w:spacing w:after="60"/>
    </w:pPr>
    <w:r>
      <w:rPr>
        <w:rFonts w:ascii="Calibri" w:cs="Calibri" w:eastAsia="Calibri" w:hAnsi="Calibri"/>
        <w:i/>
        <w:iCs/>
        <w:color w:val="2D6A4F"/>
        <w:sz w:val="16"/>
        <w:szCs w:val="16"/>
      </w:rPr>
      <w:t xml:space="preserve">Built to Last  ·  Multi-Pass Reconciliation</w:t>
    </w:r>
    <w:r>
      <w:rPr>
        <w:rFonts w:ascii="Calibri" w:cs="Calibri" w:eastAsia="Calibri" w:hAnsi="Calibri"/>
        <w:color w:val="52606D"/>
        <w:sz w:val="16"/>
        <w:szCs w:val="16"/>
      </w:rPr>
      <w:t xml:space="preserve">	30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B4332"/>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Built to Last — Multi-Pass Comparison and Reconciliation</dc:title>
  <dc:creator>Nathan Lewis / Grok reconciliation pass</dc:creator>
  <cp:lastModifiedBy>Un-named</cp:lastModifiedBy>
  <cp:revision>1</cp:revision>
  <dcterms:created xsi:type="dcterms:W3CDTF">2026-08-30T20:23:56.946Z</dcterms:created>
  <dcterms:modified xsi:type="dcterms:W3CDTF">2026-08-30T20:23:56.946Z</dcterms:modified>
</cp:coreProperties>
</file>

<file path=docProps/custom.xml><?xml version="1.0" encoding="utf-8"?>
<Properties xmlns="http://schemas.openxmlformats.org/officeDocument/2006/custom-properties" xmlns:vt="http://schemas.openxmlformats.org/officeDocument/2006/docPropsVTypes"/>
</file>