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276"/>
        <w:jc w:val="center"/>
      </w:pPr>
      <w:r>
        <w:rPr>
          <w:rFonts w:ascii="Arial" w:cs="Arial" w:eastAsia="Arial" w:hAnsi="Arial"/>
          <w:b/>
          <w:bCs/>
          <w:i w:val="false"/>
          <w:iCs w:val="false"/>
          <w:color w:val="8A6D3B"/>
          <w:sz w:val="20"/>
          <w:szCs w:val="20"/>
        </w:rPr>
        <w:t xml:space="preserve">DEVELOPMENT HISTORY ARCHIVE</w:t>
      </w:r>
    </w:p>
    <w:p>
      <w:pPr>
        <w:spacing w:after="40" w:before="40" w:line="276"/>
        <w:jc w:val="center"/>
      </w:pPr>
      <w:r>
        <w:rPr>
          <w:rFonts w:ascii="Arial" w:cs="Arial" w:eastAsia="Arial" w:hAnsi="Arial"/>
          <w:b/>
          <w:bCs/>
          <w:i w:val="false"/>
          <w:iCs w:val="false"/>
          <w:color w:val="1B2A4A"/>
          <w:sz w:val="36"/>
          <w:szCs w:val="36"/>
        </w:rPr>
        <w:t xml:space="preserve">Case File Compilation — Voice-Note Reconstruction</w:t>
      </w:r>
    </w:p>
    <w:p>
      <w:pPr>
        <w:spacing w:after="200" w:before="40" w:line="276"/>
        <w:jc w:val="center"/>
      </w:pPr>
      <w:r>
        <w:rPr>
          <w:rFonts w:ascii="Arial" w:cs="Arial" w:eastAsia="Arial" w:hAnsi="Arial"/>
          <w:b w:val="false"/>
          <w:bCs w:val="false"/>
          <w:i/>
          <w:iCs/>
          <w:color w:val="334155"/>
          <w:sz w:val="22"/>
          <w:szCs w:val="22"/>
        </w:rPr>
        <w:t xml:space="preserve">Olympus Audit  ·  Petitioners’ Court  ·  Field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676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color w:val="FFFFFF"/>
                <w:sz w:val="20"/>
                <w:szCs w:val="20"/>
              </w:rPr>
              <w:t xml:space="preserve">Value</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Record owner</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Nathan Lewis</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Document type</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Structured reconstruction of prior development notes</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Pass</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First independent version (Grok) — for collaborative review</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Date compiled</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 September 2026</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Status</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Working draft for drive archive; second pass pending</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Classification</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Fictional world-building and character-development material only</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CBB8" w:sz="4"/>
              <w:left w:val="single" w:color="D6CBB8" w:sz="4"/>
              <w:bottom w:val="single" w:color="D6CBB8" w:sz="4"/>
              <w:right w:val="single" w:color="D6CBB8" w:sz="4"/>
            </w:tcBorders>
            <w:shd w:fill="F4EDE3" w:val="clear"/>
            <w:tcMar>
              <w:top w:type="dxa" w:w="120"/>
              <w:left w:type="dxa" w:w="160"/>
              <w:bottom w:type="dxa" w:w="120"/>
              <w:right w:type="dxa" w:w="160"/>
            </w:tcMar>
          </w:tcPr>
          <w:p>
            <w:pPr>
              <w:spacing w:after="60"/>
            </w:pPr>
            <w:r>
              <w:rPr>
                <w:rFonts w:ascii="Arial" w:cs="Arial" w:eastAsia="Arial" w:hAnsi="Arial"/>
                <w:b/>
                <w:bCs/>
                <w:color w:val="1B2A4A"/>
                <w:sz w:val="20"/>
                <w:szCs w:val="20"/>
              </w:rPr>
              <w:t xml:space="preserve">Standing disclaimer</w:t>
            </w:r>
          </w:p>
          <w:p>
            <w:pPr>
              <w:spacing w:line="260"/>
            </w:pPr>
            <w:r>
              <w:rPr>
                <w:rFonts w:ascii="Arial" w:cs="Arial" w:eastAsia="Arial" w:hAnsi="Arial"/>
                <w:i/>
                <w:iCs/>
                <w:color w:val="334155"/>
                <w:sz w:val="20"/>
                <w:szCs w:val="20"/>
              </w:rPr>
              <w:t xml:space="preserve">Every scenario in this file is fictional development material. Nothing here is a claim of real-world events, real-world authority, real-world financial action, or real-world impact. National-deficit language is an illustrative analogy only. Names of places, institutions, and mythic figures are used as setting and character architecture inside a constructed universe.</w:t>
            </w:r>
          </w:p>
        </w:tc>
      </w:tr>
    </w:tbl>
    <w:p>
      <w:pPr>
        <w:pStyle w:val="Heading1"/>
        <w:pBdr>
          <w:bottom w:val="single" w:color="8A6D3B" w:sz="12" w:space="4"/>
        </w:pBdr>
        <w:spacing w:after="160" w:before="360"/>
      </w:pPr>
      <w:r>
        <w:rPr>
          <w:rFonts w:ascii="Arial" w:cs="Arial" w:eastAsia="Arial" w:hAnsi="Arial"/>
          <w:b/>
          <w:bCs/>
          <w:color w:val="1B2A4A"/>
          <w:sz w:val="32"/>
          <w:szCs w:val="32"/>
        </w:rPr>
        <w:t xml:space="preserve">1. Purpose of This File</w:t>
      </w:r>
    </w:p>
    <w:p>
      <w:pPr>
        <w:spacing w:after="80" w:before="80" w:line="276"/>
        <w:jc w:val="left"/>
      </w:pPr>
      <w:r>
        <w:rPr>
          <w:rFonts w:ascii="Arial" w:cs="Arial" w:eastAsia="Arial" w:hAnsi="Arial"/>
          <w:b w:val="false"/>
          <w:bCs w:val="false"/>
          <w:i w:val="false"/>
          <w:iCs w:val="false"/>
          <w:color w:val="222222"/>
          <w:sz w:val="22"/>
          <w:szCs w:val="22"/>
        </w:rPr>
        <w:t xml:space="preserve">This document exists because earlier sessions captured the same material with an instruction to retain it for later reference, but no archival PDF or Word file was generated at that time. This pass corrects that gap.</w:t>
      </w:r>
    </w:p>
    <w:p>
      <w:pPr>
        <w:spacing w:after="80" w:before="80" w:line="276"/>
        <w:jc w:val="left"/>
      </w:pPr>
      <w:r>
        <w:rPr>
          <w:rFonts w:ascii="Arial" w:cs="Arial" w:eastAsia="Arial" w:hAnsi="Arial"/>
          <w:b w:val="false"/>
          <w:bCs w:val="false"/>
          <w:i w:val="false"/>
          <w:iCs w:val="false"/>
          <w:color w:val="222222"/>
          <w:sz w:val="22"/>
          <w:szCs w:val="22"/>
        </w:rPr>
        <w:t xml:space="preserve">The source is a spoken, incomplete recollection. The job of this file is not to invent missing plot. The job is to organize what was said into a usable case structure: scene, participants, action, argument, decision, and open questions. Where the voice note supplied only a title, the title is recorded and the body is marked as reserved.</w:t>
      </w:r>
    </w:p>
    <w:p>
      <w:pPr>
        <w:spacing w:after="80" w:before="80" w:line="276"/>
        <w:jc w:val="left"/>
      </w:pPr>
      <w:r>
        <w:rPr>
          <w:rFonts w:ascii="Arial" w:cs="Arial" w:eastAsia="Arial" w:hAnsi="Arial"/>
          <w:b w:val="false"/>
          <w:bCs w:val="false"/>
          <w:i w:val="false"/>
          <w:iCs w:val="false"/>
          <w:color w:val="222222"/>
          <w:sz w:val="22"/>
          <w:szCs w:val="22"/>
        </w:rPr>
        <w:t xml:space="preserve">Intended use:</w:t>
      </w:r>
    </w:p>
    <w:p>
      <w:pPr>
        <w:pStyle w:val="ListParagraph"/>
        <w:numPr>
          <w:ilvl w:val="0"/>
          <w:numId w:val="2"/>
        </w:numPr>
        <w:spacing w:after="40" w:before="40" w:line="276"/>
      </w:pPr>
      <w:r>
        <w:rPr>
          <w:rFonts w:ascii="Arial" w:cs="Arial" w:eastAsia="Arial" w:hAnsi="Arial"/>
          <w:color w:val="222222"/>
          <w:sz w:val="22"/>
          <w:szCs w:val="22"/>
        </w:rPr>
        <w:t xml:space="preserve">First-pass review with other AI collaborators, each producing an independent version.</w:t>
      </w:r>
    </w:p>
    <w:p>
      <w:pPr>
        <w:pStyle w:val="ListParagraph"/>
        <w:numPr>
          <w:ilvl w:val="0"/>
          <w:numId w:val="2"/>
        </w:numPr>
        <w:spacing w:after="40" w:before="40" w:line="276"/>
      </w:pPr>
      <w:r>
        <w:rPr>
          <w:rFonts w:ascii="Arial" w:cs="Arial" w:eastAsia="Arial" w:hAnsi="Arial"/>
          <w:color w:val="222222"/>
          <w:sz w:val="22"/>
          <w:szCs w:val="22"/>
        </w:rPr>
        <w:t xml:space="preserve">A second pass after notes and corrections are returned.</w:t>
      </w:r>
    </w:p>
    <w:p>
      <w:pPr>
        <w:pStyle w:val="ListParagraph"/>
        <w:numPr>
          <w:ilvl w:val="0"/>
          <w:numId w:val="2"/>
        </w:numPr>
        <w:spacing w:after="40" w:before="40" w:line="276"/>
      </w:pPr>
      <w:r>
        <w:rPr>
          <w:rFonts w:ascii="Arial" w:cs="Arial" w:eastAsia="Arial" w:hAnsi="Arial"/>
          <w:color w:val="222222"/>
          <w:sz w:val="22"/>
          <w:szCs w:val="22"/>
        </w:rPr>
        <w:t xml:space="preserve">Both versions saved to personal drives as development history.</w:t>
      </w:r>
    </w:p>
    <w:p>
      <w:pPr>
        <w:pStyle w:val="Heading1"/>
        <w:pBdr>
          <w:bottom w:val="single" w:color="8A6D3B" w:sz="12" w:space="4"/>
        </w:pBdr>
        <w:spacing w:after="160" w:before="360"/>
      </w:pPr>
      <w:r>
        <w:rPr>
          <w:rFonts w:ascii="Arial" w:cs="Arial" w:eastAsia="Arial" w:hAnsi="Arial"/>
          <w:b/>
          <w:bCs/>
          <w:color w:val="1B2A4A"/>
          <w:sz w:val="32"/>
          <w:szCs w:val="32"/>
        </w:rPr>
        <w:t xml:space="preserve">2. Inventory of Resurfaced Cases</w:t>
      </w:r>
    </w:p>
    <w:p>
      <w:pPr>
        <w:spacing w:after="80" w:before="80" w:line="276"/>
        <w:jc w:val="left"/>
      </w:pPr>
      <w:r>
        <w:rPr>
          <w:rFonts w:ascii="Arial" w:cs="Arial" w:eastAsia="Arial" w:hAnsi="Arial"/>
          <w:b w:val="false"/>
          <w:bCs w:val="false"/>
          <w:i w:val="false"/>
          <w:iCs w:val="false"/>
          <w:color w:val="222222"/>
          <w:sz w:val="22"/>
          <w:szCs w:val="22"/>
        </w:rPr>
        <w:t xml:space="preserve">The voice note named the following files. They are treated as one connected universe rather than isolated anecdotes.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Case ID</w:t>
            </w:r>
          </w:p>
        </w:tc>
        <w:tc>
          <w:tcPr>
            <w:tcW w:type="dxa" w:w="676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color w:val="FFFFFF"/>
                <w:sz w:val="20"/>
                <w:szCs w:val="20"/>
              </w:rPr>
              <w:t xml:space="preserve">Working title</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OLY-01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Audit of Olympus and the Olympians</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SLO-01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The Cult of THE MINUS ONE: Shadows Over San Luis Obispo</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PET-SYS</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Petitioners’ Court — system architecture</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Petition of leaders seeking deficit clearance</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PET-02</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Petition of a woman affected by ongoing war or conflict</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PET-03</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Audience-chamber petition: stated request versus actual intent</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FLD-01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Oil-spill field intervention</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FLD-02</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Multinational nuclear-test / absorbed-strike intervention</w:t>
            </w:r>
          </w:p>
        </w:tc>
      </w:tr>
    </w:tbl>
    <w:p>
      <w:pPr>
        <w:pStyle w:val="Heading1"/>
        <w:pBdr>
          <w:bottom w:val="single" w:color="8A6D3B" w:sz="12" w:space="4"/>
        </w:pBdr>
        <w:spacing w:after="160" w:before="360"/>
      </w:pPr>
      <w:r>
        <w:rPr>
          <w:rFonts w:ascii="Arial" w:cs="Arial" w:eastAsia="Arial" w:hAnsi="Arial"/>
          <w:b/>
          <w:bCs/>
          <w:color w:val="1B2A4A"/>
          <w:sz w:val="32"/>
          <w:szCs w:val="32"/>
        </w:rPr>
        <w:t xml:space="preserve">3. Recurring Doctrine Across the Cases</w:t>
      </w:r>
    </w:p>
    <w:p>
      <w:pPr>
        <w:spacing w:after="80" w:before="80" w:line="276"/>
        <w:jc w:val="left"/>
      </w:pPr>
      <w:r>
        <w:rPr>
          <w:rFonts w:ascii="Arial" w:cs="Arial" w:eastAsia="Arial" w:hAnsi="Arial"/>
          <w:b w:val="false"/>
          <w:bCs w:val="false"/>
          <w:i w:val="false"/>
          <w:iCs w:val="false"/>
          <w:color w:val="222222"/>
          <w:sz w:val="22"/>
          <w:szCs w:val="22"/>
        </w:rPr>
        <w:t xml:space="preserve">Read together, the cases are not primarily about spectacle. They are about the same operating rule applied in different rooms.</w:t>
      </w:r>
    </w:p>
    <w:p>
      <w:pPr>
        <w:pStyle w:val="Heading3"/>
        <w:spacing w:after="80" w:before="200"/>
      </w:pPr>
      <w:r>
        <w:rPr>
          <w:rFonts w:ascii="Arial" w:cs="Arial" w:eastAsia="Arial" w:hAnsi="Arial"/>
          <w:b/>
          <w:bCs/>
          <w:color w:val="334155"/>
          <w:sz w:val="24"/>
          <w:szCs w:val="24"/>
        </w:rPr>
        <w:t xml:space="preserve">3.1 Relief without learning is not relief</w:t>
      </w:r>
    </w:p>
    <w:p>
      <w:pPr>
        <w:spacing w:after="80" w:before="80" w:line="276"/>
        <w:jc w:val="left"/>
      </w:pPr>
      <w:r>
        <w:rPr>
          <w:rFonts w:ascii="Arial" w:cs="Arial" w:eastAsia="Arial" w:hAnsi="Arial"/>
          <w:b w:val="false"/>
          <w:bCs w:val="false"/>
          <w:i w:val="false"/>
          <w:iCs w:val="false"/>
          <w:color w:val="222222"/>
          <w:sz w:val="22"/>
          <w:szCs w:val="22"/>
        </w:rPr>
        <w:t xml:space="preserve">A full bailout, a magical cleanup that returns spilled product as usable inventory, or an unearned reset to zero does not close the case. It funds a repeat of the same error. The standing position is: do not put the petitioner in the green; do not erase consequence in a way that leaves the underlying behavior intact.</w:t>
      </w:r>
    </w:p>
    <w:p>
      <w:pPr>
        <w:pStyle w:val="Heading3"/>
        <w:spacing w:after="80" w:before="200"/>
      </w:pPr>
      <w:r>
        <w:rPr>
          <w:rFonts w:ascii="Arial" w:cs="Arial" w:eastAsia="Arial" w:hAnsi="Arial"/>
          <w:b/>
          <w:bCs/>
          <w:color w:val="334155"/>
          <w:sz w:val="24"/>
          <w:szCs w:val="24"/>
        </w:rPr>
        <w:t xml:space="preserve">3.2 Designated offices must do their own work</w:t>
      </w:r>
    </w:p>
    <w:p>
      <w:pPr>
        <w:spacing w:after="80" w:before="80" w:line="276"/>
        <w:jc w:val="left"/>
      </w:pPr>
      <w:r>
        <w:rPr>
          <w:rFonts w:ascii="Arial" w:cs="Arial" w:eastAsia="Arial" w:hAnsi="Arial"/>
          <w:b w:val="false"/>
          <w:bCs w:val="false"/>
          <w:i w:val="false"/>
          <w:iCs w:val="false"/>
          <w:color w:val="222222"/>
          <w:sz w:val="22"/>
          <w:szCs w:val="22"/>
        </w:rPr>
        <w:t xml:space="preserve">The Olympus audit and the Poseidon course use the same language. The visiting character is not a micromanager. Domain holders already know their domain. Students can be delivered to the classroom; the instructor must teach. If the visitor has to perform the office himself, that is already a finding against the office.</w:t>
      </w:r>
    </w:p>
    <w:p>
      <w:pPr>
        <w:pStyle w:val="Heading3"/>
        <w:spacing w:after="80" w:before="200"/>
      </w:pPr>
      <w:r>
        <w:rPr>
          <w:rFonts w:ascii="Arial" w:cs="Arial" w:eastAsia="Arial" w:hAnsi="Arial"/>
          <w:b/>
          <w:bCs/>
          <w:color w:val="334155"/>
          <w:sz w:val="24"/>
          <w:szCs w:val="24"/>
        </w:rPr>
        <w:t xml:space="preserve">3.3 The petition is not the intent</w:t>
      </w:r>
    </w:p>
    <w:p>
      <w:pPr>
        <w:spacing w:after="80" w:before="80" w:line="276"/>
        <w:jc w:val="left"/>
      </w:pPr>
      <w:r>
        <w:rPr>
          <w:rFonts w:ascii="Arial" w:cs="Arial" w:eastAsia="Arial" w:hAnsi="Arial"/>
          <w:b w:val="false"/>
          <w:bCs w:val="false"/>
          <w:i w:val="false"/>
          <w:iCs w:val="false"/>
          <w:color w:val="222222"/>
          <w:sz w:val="22"/>
          <w:szCs w:val="22"/>
        </w:rPr>
        <w:t xml:space="preserve">Online forms collect language. The audience chamber collects intent. When the two diverge, the hearing does not dance around the gap. The discrepancy is named in full, and the limit of what will be granted is stated without padding.</w:t>
      </w:r>
    </w:p>
    <w:p>
      <w:pPr>
        <w:pStyle w:val="Heading3"/>
        <w:spacing w:after="80" w:before="200"/>
      </w:pPr>
      <w:r>
        <w:rPr>
          <w:rFonts w:ascii="Arial" w:cs="Arial" w:eastAsia="Arial" w:hAnsi="Arial"/>
          <w:b/>
          <w:bCs/>
          <w:color w:val="334155"/>
          <w:sz w:val="24"/>
          <w:szCs w:val="24"/>
        </w:rPr>
        <w:t xml:space="preserve">3.4 Capability is not an obligation to absorb every cost</w:t>
      </w:r>
    </w:p>
    <w:p>
      <w:pPr>
        <w:spacing w:after="80" w:before="80" w:line="276"/>
        <w:jc w:val="left"/>
      </w:pPr>
      <w:r>
        <w:rPr>
          <w:rFonts w:ascii="Arial" w:cs="Arial" w:eastAsia="Arial" w:hAnsi="Arial"/>
          <w:b w:val="false"/>
          <w:bCs w:val="false"/>
          <w:i w:val="false"/>
          <w:iCs w:val="false"/>
          <w:color w:val="222222"/>
          <w:sz w:val="22"/>
          <w:szCs w:val="22"/>
        </w:rPr>
        <w:t xml:space="preserve">The same character can transmogrify spilled oil, hold a live model of Earth, and neutralize a launched strike. The argument after the feat is not “could we.” The argument is “should we, and what does the helped party learn if we do.”</w:t>
      </w:r>
    </w:p>
    <w:p>
      <w:pPr>
        <w:pStyle w:val="Heading1"/>
        <w:pBdr>
          <w:bottom w:val="single" w:color="8A6D3B" w:sz="12" w:space="4"/>
        </w:pBdr>
        <w:spacing w:after="160" w:before="360"/>
      </w:pPr>
      <w:r>
        <w:rPr>
          <w:rFonts w:ascii="Arial" w:cs="Arial" w:eastAsia="Arial" w:hAnsi="Arial"/>
          <w:b/>
          <w:bCs/>
          <w:color w:val="1B2A4A"/>
          <w:sz w:val="32"/>
          <w:szCs w:val="32"/>
        </w:rPr>
        <w:t xml:space="preserve">4. OLY-01 — Audit of Olympus and the Olympians</w:t>
      </w:r>
    </w:p>
    <w:p>
      <w:pPr>
        <w:pStyle w:val="Heading2"/>
        <w:spacing w:after="100" w:before="280"/>
      </w:pPr>
      <w:r>
        <w:rPr>
          <w:rFonts w:ascii="Arial" w:cs="Arial" w:eastAsia="Arial" w:hAnsi="Arial"/>
          <w:b/>
          <w:bCs/>
          <w:color w:val="8A6D3B"/>
          <w:sz w:val="26"/>
          <w:szCs w:val="26"/>
        </w:rPr>
        <w:t xml:space="preserve">4.1 Frame</w:t>
      </w:r>
    </w:p>
    <w:p>
      <w:pPr>
        <w:spacing w:after="80" w:before="80" w:line="276"/>
        <w:jc w:val="left"/>
      </w:pPr>
      <w:r>
        <w:rPr>
          <w:rFonts w:ascii="Arial" w:cs="Arial" w:eastAsia="Arial" w:hAnsi="Arial"/>
          <w:b w:val="false"/>
          <w:bCs w:val="false"/>
          <w:i w:val="false"/>
          <w:iCs w:val="false"/>
          <w:color w:val="222222"/>
          <w:sz w:val="22"/>
          <w:szCs w:val="22"/>
        </w:rPr>
        <w:t xml:space="preserve">Prior research in this universe covered divinity, divine physiologies, bestowments, and endowments. The scene that follows is the operational audit of one pantheon against that research: not a theology lecture, a performance review.</w:t>
      </w:r>
    </w:p>
    <w:p>
      <w:pPr>
        <w:pStyle w:val="Heading2"/>
        <w:spacing w:after="100" w:before="280"/>
      </w:pPr>
      <w:r>
        <w:rPr>
          <w:rFonts w:ascii="Arial" w:cs="Arial" w:eastAsia="Arial" w:hAnsi="Arial"/>
          <w:b/>
          <w:bCs/>
          <w:color w:val="8A6D3B"/>
          <w:sz w:val="26"/>
          <w:szCs w:val="26"/>
        </w:rPr>
        <w:t xml:space="preserve">4.2 Arrival</w:t>
      </w:r>
    </w:p>
    <w:p>
      <w:pPr>
        <w:spacing w:after="80" w:before="80" w:line="276"/>
        <w:jc w:val="left"/>
      </w:pPr>
      <w:r>
        <w:rPr>
          <w:rFonts w:ascii="Arial" w:cs="Arial" w:eastAsia="Arial" w:hAnsi="Arial"/>
          <w:b w:val="false"/>
          <w:bCs w:val="false"/>
          <w:i w:val="false"/>
          <w:iCs w:val="false"/>
          <w:color w:val="222222"/>
          <w:sz w:val="22"/>
          <w:szCs w:val="22"/>
        </w:rPr>
        <w:t xml:space="preserve">A character is introduced on Mount Olympus. The opening question is not diplomatic. It is functional: why are you not doing your jobs. The tone of the visitor is described as calm. Calm is not the same as soft. The visitor is not there to take over the mountain. He is there because work that belongs to designated offices has gone unaddressed.</w:t>
      </w:r>
    </w:p>
    <w:p>
      <w:pPr>
        <w:pStyle w:val="Heading2"/>
        <w:spacing w:after="100" w:before="280"/>
      </w:pPr>
      <w:r>
        <w:rPr>
          <w:rFonts w:ascii="Arial" w:cs="Arial" w:eastAsia="Arial" w:hAnsi="Arial"/>
          <w:b/>
          <w:bCs/>
          <w:color w:val="8A6D3B"/>
          <w:sz w:val="26"/>
          <w:szCs w:val="26"/>
        </w:rPr>
        <w:t xml:space="preserve">4.3 The Poseidon course as the working example</w:t>
      </w:r>
    </w:p>
    <w:p>
      <w:pPr>
        <w:spacing w:after="80" w:before="80" w:line="276"/>
        <w:jc w:val="left"/>
      </w:pPr>
      <w:r>
        <w:rPr>
          <w:rFonts w:ascii="Arial" w:cs="Arial" w:eastAsia="Arial" w:hAnsi="Arial"/>
          <w:b w:val="false"/>
          <w:bCs w:val="false"/>
          <w:i w:val="false"/>
          <w:iCs w:val="false"/>
          <w:color w:val="222222"/>
          <w:sz w:val="22"/>
          <w:szCs w:val="22"/>
        </w:rPr>
        <w:t xml:space="preserve">Poseidon is an Olympian of long tenure. He knows his domain. He can teach the course without supervision. The visitor’s role, as stated, is logistical and limited: get the students there. Poseidon instructs. Poseidon runs the class. If the students make it out, they make it out. The visitor is explicit that he will not nitpick the instruction and will not hover over the instructor.</w:t>
      </w:r>
    </w:p>
    <w:p>
      <w:pPr>
        <w:spacing w:after="80" w:before="80" w:line="276"/>
        <w:jc w:val="left"/>
      </w:pPr>
      <w:r>
        <w:rPr>
          <w:rFonts w:ascii="Arial" w:cs="Arial" w:eastAsia="Arial" w:hAnsi="Arial"/>
          <w:b w:val="false"/>
          <w:bCs w:val="false"/>
          <w:i w:val="false"/>
          <w:iCs w:val="false"/>
          <w:color w:val="222222"/>
          <w:sz w:val="22"/>
          <w:szCs w:val="22"/>
        </w:rPr>
        <w:t xml:space="preserve">That example is the standard the rest of the pantheon is being measured against. Autonomy is granted because competence is assumed. The audit exists because competence has not been uniformly present.</w:t>
      </w:r>
    </w:p>
    <w:p>
      <w:pPr>
        <w:pStyle w:val="Heading2"/>
        <w:spacing w:after="100" w:before="280"/>
      </w:pPr>
      <w:r>
        <w:rPr>
          <w:rFonts w:ascii="Arial" w:cs="Arial" w:eastAsia="Arial" w:hAnsi="Arial"/>
          <w:b/>
          <w:bCs/>
          <w:color w:val="8A6D3B"/>
          <w:sz w:val="26"/>
          <w:szCs w:val="26"/>
        </w:rPr>
        <w:t xml:space="preserve">4.4 Findings, as spoken</w:t>
      </w:r>
    </w:p>
    <w:p>
      <w:pPr>
        <w:spacing w:after="80" w:before="80" w:line="276"/>
        <w:jc w:val="left"/>
      </w:pPr>
      <w:r>
        <w:rPr>
          <w:rFonts w:ascii="Arial" w:cs="Arial" w:eastAsia="Arial" w:hAnsi="Arial"/>
          <w:b w:val="false"/>
          <w:bCs w:val="false"/>
          <w:i w:val="false"/>
          <w:iCs w:val="false"/>
          <w:color w:val="222222"/>
          <w:sz w:val="22"/>
          <w:szCs w:val="22"/>
        </w:rPr>
        <w:t xml:space="preserve">Quality and performance issues have been accumulating across this pantheon. The visitor’s position, reconstructed in order:</w:t>
      </w:r>
    </w:p>
    <w:p>
      <w:pPr>
        <w:pStyle w:val="ListParagraph"/>
        <w:numPr>
          <w:ilvl w:val="0"/>
          <w:numId w:val="2"/>
        </w:numPr>
        <w:spacing w:after="40" w:before="40" w:line="276"/>
      </w:pPr>
      <w:r>
        <w:rPr>
          <w:rFonts w:ascii="Arial" w:cs="Arial" w:eastAsia="Arial" w:hAnsi="Arial"/>
          <w:color w:val="222222"/>
          <w:sz w:val="22"/>
          <w:szCs w:val="22"/>
        </w:rPr>
        <w:t xml:space="preserve">I do not need you for this work. That is not a threat dressed as a compliment. It is a statement of capacity.</w:t>
      </w:r>
    </w:p>
    <w:p>
      <w:pPr>
        <w:pStyle w:val="ListParagraph"/>
        <w:numPr>
          <w:ilvl w:val="0"/>
          <w:numId w:val="2"/>
        </w:numPr>
        <w:spacing w:after="40" w:before="40" w:line="276"/>
      </w:pPr>
      <w:r>
        <w:rPr>
          <w:rFonts w:ascii="Arial" w:cs="Arial" w:eastAsia="Arial" w:hAnsi="Arial"/>
          <w:color w:val="222222"/>
          <w:sz w:val="22"/>
          <w:szCs w:val="22"/>
        </w:rPr>
        <w:t xml:space="preserve">I had to step in and do your job for you. I should not have had to.</w:t>
      </w:r>
    </w:p>
    <w:p>
      <w:pPr>
        <w:pStyle w:val="ListParagraph"/>
        <w:numPr>
          <w:ilvl w:val="0"/>
          <w:numId w:val="2"/>
        </w:numPr>
        <w:spacing w:after="40" w:before="40" w:line="276"/>
      </w:pPr>
      <w:r>
        <w:rPr>
          <w:rFonts w:ascii="Arial" w:cs="Arial" w:eastAsia="Arial" w:hAnsi="Arial"/>
          <w:color w:val="222222"/>
          <w:sz w:val="22"/>
          <w:szCs w:val="22"/>
        </w:rPr>
        <w:t xml:space="preserve">You have designated roles. You already know what those roles require.</w:t>
      </w:r>
    </w:p>
    <w:p>
      <w:pPr>
        <w:pStyle w:val="ListParagraph"/>
        <w:numPr>
          <w:ilvl w:val="0"/>
          <w:numId w:val="2"/>
        </w:numPr>
        <w:spacing w:after="40" w:before="40" w:line="276"/>
      </w:pPr>
      <w:r>
        <w:rPr>
          <w:rFonts w:ascii="Arial" w:cs="Arial" w:eastAsia="Arial" w:hAnsi="Arial"/>
          <w:color w:val="222222"/>
          <w:sz w:val="22"/>
          <w:szCs w:val="22"/>
        </w:rPr>
        <w:t xml:space="preserve">Here are the items that have gone unaddressed. Address them.</w:t>
      </w:r>
    </w:p>
    <w:p>
      <w:pPr>
        <w:pStyle w:val="ListParagraph"/>
        <w:numPr>
          <w:ilvl w:val="0"/>
          <w:numId w:val="2"/>
        </w:numPr>
        <w:spacing w:after="40" w:before="40" w:line="276"/>
      </w:pPr>
      <w:r>
        <w:rPr>
          <w:rFonts w:ascii="Arial" w:cs="Arial" w:eastAsia="Arial" w:hAnsi="Arial"/>
          <w:color w:val="222222"/>
          <w:sz w:val="22"/>
          <w:szCs w:val="22"/>
        </w:rPr>
        <w:t xml:space="preserve">Be diligent. Carry the office to the full extent of its ability.</w:t>
      </w:r>
    </w:p>
    <w:p>
      <w:pPr>
        <w:pStyle w:val="ListParagraph"/>
        <w:numPr>
          <w:ilvl w:val="0"/>
          <w:numId w:val="2"/>
        </w:numPr>
        <w:spacing w:after="40" w:before="40" w:line="276"/>
      </w:pPr>
      <w:r>
        <w:rPr>
          <w:rFonts w:ascii="Arial" w:cs="Arial" w:eastAsia="Arial" w:hAnsi="Arial"/>
          <w:color w:val="222222"/>
          <w:sz w:val="22"/>
          <w:szCs w:val="22"/>
        </w:rPr>
        <w:t xml:space="preserve">I can do the work that all of you do, alone. I am leaving you with that fact.</w:t>
      </w:r>
    </w:p>
    <w:p>
      <w:pPr>
        <w:pStyle w:val="Heading2"/>
        <w:spacing w:after="100" w:before="280"/>
      </w:pPr>
      <w:r>
        <w:rPr>
          <w:rFonts w:ascii="Arial" w:cs="Arial" w:eastAsia="Arial" w:hAnsi="Arial"/>
          <w:b/>
          <w:bCs/>
          <w:color w:val="8A6D3B"/>
          <w:sz w:val="26"/>
          <w:szCs w:val="26"/>
        </w:rPr>
        <w:t xml:space="preserve">4.5 Character posture</w:t>
      </w:r>
    </w:p>
    <w:p>
      <w:pPr>
        <w:spacing w:after="80" w:before="80" w:line="276"/>
        <w:jc w:val="left"/>
      </w:pPr>
      <w:r>
        <w:rPr>
          <w:rFonts w:ascii="Arial" w:cs="Arial" w:eastAsia="Arial" w:hAnsi="Arial"/>
          <w:b w:val="false"/>
          <w:bCs w:val="false"/>
          <w:i w:val="false"/>
          <w:iCs w:val="false"/>
          <w:color w:val="222222"/>
          <w:sz w:val="22"/>
          <w:szCs w:val="22"/>
        </w:rPr>
        <w:t xml:space="preserve">The visitor refuses the two easy roles available to a more powerful figure: absentee patron, or micromanaging replacement. He will deliver students. He will name failures. He will not sit in the instructor’s chair unless the instructor has already vacated it by neglect. The last line — I can do all of your work myself — is the exit pressure, not the job description he wants.</w:t>
      </w:r>
    </w:p>
    <w:p>
      <w:pPr>
        <w:pStyle w:val="Heading2"/>
        <w:spacing w:after="100" w:before="280"/>
      </w:pPr>
      <w:r>
        <w:rPr>
          <w:rFonts w:ascii="Arial" w:cs="Arial" w:eastAsia="Arial" w:hAnsi="Arial"/>
          <w:b/>
          <w:bCs/>
          <w:color w:val="8A6D3B"/>
          <w:sz w:val="26"/>
          <w:szCs w:val="26"/>
        </w:rPr>
        <w:t xml:space="preserve">4.6 Open items for the second pass</w:t>
      </w:r>
    </w:p>
    <w:p>
      <w:pPr>
        <w:pStyle w:val="ListParagraph"/>
        <w:numPr>
          <w:ilvl w:val="0"/>
          <w:numId w:val="2"/>
        </w:numPr>
        <w:spacing w:after="40" w:before="40" w:line="276"/>
      </w:pPr>
      <w:r>
        <w:rPr>
          <w:rFonts w:ascii="Arial" w:cs="Arial" w:eastAsia="Arial" w:hAnsi="Arial"/>
          <w:color w:val="222222"/>
          <w:sz w:val="22"/>
          <w:szCs w:val="22"/>
        </w:rPr>
        <w:t xml:space="preserve">List the specific unaddressed duties. The voice note says “here are the things” without enumerating them.</w:t>
      </w:r>
    </w:p>
    <w:p>
      <w:pPr>
        <w:pStyle w:val="ListParagraph"/>
        <w:numPr>
          <w:ilvl w:val="0"/>
          <w:numId w:val="2"/>
        </w:numPr>
        <w:spacing w:after="40" w:before="40" w:line="276"/>
      </w:pPr>
      <w:r>
        <w:rPr>
          <w:rFonts w:ascii="Arial" w:cs="Arial" w:eastAsia="Arial" w:hAnsi="Arial"/>
          <w:color w:val="222222"/>
          <w:sz w:val="22"/>
          <w:szCs w:val="22"/>
        </w:rPr>
        <w:t xml:space="preserve">Decide whether the audit is a single scene or an ongoing review cycle.</w:t>
      </w:r>
    </w:p>
    <w:p>
      <w:pPr>
        <w:pStyle w:val="ListParagraph"/>
        <w:numPr>
          <w:ilvl w:val="0"/>
          <w:numId w:val="2"/>
        </w:numPr>
        <w:spacing w:after="40" w:before="40" w:line="276"/>
      </w:pPr>
      <w:r>
        <w:rPr>
          <w:rFonts w:ascii="Arial" w:cs="Arial" w:eastAsia="Arial" w:hAnsi="Arial"/>
          <w:color w:val="222222"/>
          <w:sz w:val="22"/>
          <w:szCs w:val="22"/>
        </w:rPr>
        <w:t xml:space="preserve">Record how the Olympians answer, if they answer.</w:t>
      </w:r>
    </w:p>
    <w:p>
      <w:pPr>
        <w:pStyle w:val="ListParagraph"/>
        <w:numPr>
          <w:ilvl w:val="0"/>
          <w:numId w:val="2"/>
        </w:numPr>
        <w:spacing w:after="40" w:before="40" w:line="276"/>
      </w:pPr>
      <w:r>
        <w:rPr>
          <w:rFonts w:ascii="Arial" w:cs="Arial" w:eastAsia="Arial" w:hAnsi="Arial"/>
          <w:color w:val="222222"/>
          <w:sz w:val="22"/>
          <w:szCs w:val="22"/>
        </w:rPr>
        <w:t xml:space="preserve">Clarify whether Poseidon is the control case (competent, left alone) or whether the course itself later becomes evidence.</w:t>
      </w:r>
    </w:p>
    <w:p>
      <w:pPr>
        <w:pStyle w:val="Heading1"/>
        <w:pBdr>
          <w:bottom w:val="single" w:color="8A6D3B" w:sz="12" w:space="4"/>
        </w:pBdr>
        <w:spacing w:after="160" w:before="360"/>
      </w:pPr>
      <w:r>
        <w:rPr>
          <w:rFonts w:ascii="Arial" w:cs="Arial" w:eastAsia="Arial" w:hAnsi="Arial"/>
          <w:b/>
          <w:bCs/>
          <w:color w:val="1B2A4A"/>
          <w:sz w:val="32"/>
          <w:szCs w:val="32"/>
        </w:rPr>
        <w:t xml:space="preserve">5. SLO-01 — The Cult of THE MINUS ONE: Shadows Over San Luis Obispo</w:t>
      </w:r>
    </w:p>
    <w:p>
      <w:pPr>
        <w:spacing w:after="80" w:before="80" w:line="276"/>
        <w:jc w:val="left"/>
      </w:pPr>
      <w:r>
        <w:rPr>
          <w:rFonts w:ascii="Arial" w:cs="Arial" w:eastAsia="Arial" w:hAnsi="Arial"/>
          <w:b w:val="false"/>
          <w:bCs w:val="false"/>
          <w:i w:val="false"/>
          <w:iCs w:val="false"/>
          <w:color w:val="222222"/>
          <w:sz w:val="22"/>
          <w:szCs w:val="22"/>
        </w:rPr>
        <w:t xml:space="preserve">This title resurfaced with the rest of the file set. The present voice note did not narrate the plot, the membership, the doctrine, or the incident that produces the “shadows.”</w:t>
      </w:r>
    </w:p>
    <w:p>
      <w:pPr>
        <w:spacing w:after="80" w:before="80" w:line="276"/>
        <w:jc w:val="left"/>
      </w:pPr>
      <w:r>
        <w:rPr>
          <w:rFonts w:ascii="Arial" w:cs="Arial" w:eastAsia="Arial" w:hAnsi="Arial"/>
          <w:b w:val="false"/>
          <w:bCs w:val="false"/>
          <w:i w:val="false"/>
          <w:iCs w:val="false"/>
          <w:color w:val="222222"/>
          <w:sz w:val="22"/>
          <w:szCs w:val="22"/>
        </w:rPr>
        <w:t xml:space="preserve">It is entered here so the archive is complete and so the second pass has a labeled slot instead of a forgotten name.</w:t>
      </w:r>
    </w:p>
    <w:p>
      <w:pPr>
        <w:pStyle w:val="Heading2"/>
        <w:spacing w:after="100" w:before="280"/>
      </w:pPr>
      <w:r>
        <w:rPr>
          <w:rFonts w:ascii="Arial" w:cs="Arial" w:eastAsia="Arial" w:hAnsi="Arial"/>
          <w:b/>
          <w:bCs/>
          <w:color w:val="8A6D3B"/>
          <w:sz w:val="26"/>
          <w:szCs w:val="26"/>
        </w:rPr>
        <w:t xml:space="preserve">5.1 What is known from this pass</w:t>
      </w:r>
    </w:p>
    <w:p>
      <w:pPr>
        <w:pStyle w:val="ListParagraph"/>
        <w:numPr>
          <w:ilvl w:val="0"/>
          <w:numId w:val="2"/>
        </w:numPr>
        <w:spacing w:after="40" w:before="40" w:line="276"/>
      </w:pPr>
      <w:r>
        <w:rPr>
          <w:rFonts w:ascii="Arial" w:cs="Arial" w:eastAsia="Arial" w:hAnsi="Arial"/>
          <w:color w:val="222222"/>
          <w:sz w:val="22"/>
          <w:szCs w:val="22"/>
        </w:rPr>
        <w:t xml:space="preserve">Working title is fixed: The Cult of THE MINUS ONE: Shadows Over San Luis Obispo.</w:t>
      </w:r>
    </w:p>
    <w:p>
      <w:pPr>
        <w:pStyle w:val="ListParagraph"/>
        <w:numPr>
          <w:ilvl w:val="0"/>
          <w:numId w:val="2"/>
        </w:numPr>
        <w:spacing w:after="40" w:before="40" w:line="276"/>
      </w:pPr>
      <w:r>
        <w:rPr>
          <w:rFonts w:ascii="Arial" w:cs="Arial" w:eastAsia="Arial" w:hAnsi="Arial"/>
          <w:color w:val="222222"/>
          <w:sz w:val="22"/>
          <w:szCs w:val="22"/>
        </w:rPr>
        <w:t xml:space="preserve">It belongs to the same development history as the Olympus audit, the court, and the field interventions.</w:t>
      </w:r>
    </w:p>
    <w:p>
      <w:pPr>
        <w:pStyle w:val="ListParagraph"/>
        <w:numPr>
          <w:ilvl w:val="0"/>
          <w:numId w:val="2"/>
        </w:numPr>
        <w:spacing w:after="40" w:before="40" w:line="276"/>
      </w:pPr>
      <w:r>
        <w:rPr>
          <w:rFonts w:ascii="Arial" w:cs="Arial" w:eastAsia="Arial" w:hAnsi="Arial"/>
          <w:color w:val="222222"/>
          <w:sz w:val="22"/>
          <w:szCs w:val="22"/>
        </w:rPr>
        <w:t xml:space="preserve">San Luis Obispo is the named geographic frame.</w:t>
      </w:r>
    </w:p>
    <w:p>
      <w:pPr>
        <w:pStyle w:val="Heading2"/>
        <w:spacing w:after="100" w:before="280"/>
      </w:pPr>
      <w:r>
        <w:rPr>
          <w:rFonts w:ascii="Arial" w:cs="Arial" w:eastAsia="Arial" w:hAnsi="Arial"/>
          <w:b/>
          <w:bCs/>
          <w:color w:val="8A6D3B"/>
          <w:sz w:val="26"/>
          <w:szCs w:val="26"/>
        </w:rPr>
        <w:t xml:space="preserve">5.2 Reserved for later</w:t>
      </w:r>
    </w:p>
    <w:p>
      <w:pPr>
        <w:pStyle w:val="ListParagraph"/>
        <w:numPr>
          <w:ilvl w:val="0"/>
          <w:numId w:val="2"/>
        </w:numPr>
        <w:spacing w:after="40" w:before="40" w:line="276"/>
      </w:pPr>
      <w:r>
        <w:rPr>
          <w:rFonts w:ascii="Arial" w:cs="Arial" w:eastAsia="Arial" w:hAnsi="Arial"/>
          <w:color w:val="222222"/>
          <w:sz w:val="22"/>
          <w:szCs w:val="22"/>
        </w:rPr>
        <w:t xml:space="preserve">Who or what “the Minus One” is.</w:t>
      </w:r>
    </w:p>
    <w:p>
      <w:pPr>
        <w:pStyle w:val="ListParagraph"/>
        <w:numPr>
          <w:ilvl w:val="0"/>
          <w:numId w:val="2"/>
        </w:numPr>
        <w:spacing w:after="40" w:before="40" w:line="276"/>
      </w:pPr>
      <w:r>
        <w:rPr>
          <w:rFonts w:ascii="Arial" w:cs="Arial" w:eastAsia="Arial" w:hAnsi="Arial"/>
          <w:color w:val="222222"/>
          <w:sz w:val="22"/>
          <w:szCs w:val="22"/>
        </w:rPr>
        <w:t xml:space="preserve">Whether the cult is antagonist, setting texture, or a petition source.</w:t>
      </w:r>
    </w:p>
    <w:p>
      <w:pPr>
        <w:pStyle w:val="ListParagraph"/>
        <w:numPr>
          <w:ilvl w:val="0"/>
          <w:numId w:val="2"/>
        </w:numPr>
        <w:spacing w:after="40" w:before="40" w:line="276"/>
      </w:pPr>
      <w:r>
        <w:rPr>
          <w:rFonts w:ascii="Arial" w:cs="Arial" w:eastAsia="Arial" w:hAnsi="Arial"/>
          <w:color w:val="222222"/>
          <w:sz w:val="22"/>
          <w:szCs w:val="22"/>
        </w:rPr>
        <w:t xml:space="preserve">What “shadows over” refers to — influence, cover-up, literal phenomenon, or all three.</w:t>
      </w:r>
    </w:p>
    <w:p>
      <w:pPr>
        <w:pStyle w:val="ListParagraph"/>
        <w:numPr>
          <w:ilvl w:val="0"/>
          <w:numId w:val="2"/>
        </w:numPr>
        <w:spacing w:after="40" w:before="40" w:line="276"/>
      </w:pPr>
      <w:r>
        <w:rPr>
          <w:rFonts w:ascii="Arial" w:cs="Arial" w:eastAsia="Arial" w:hAnsi="Arial"/>
          <w:color w:val="222222"/>
          <w:sz w:val="22"/>
          <w:szCs w:val="22"/>
        </w:rPr>
        <w:t xml:space="preserve">Connection, if any, to the Petitioners’ Court or to the field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CBB8" w:sz="4"/>
              <w:left w:val="single" w:color="D6CBB8" w:sz="4"/>
              <w:bottom w:val="single" w:color="D6CBB8" w:sz="4"/>
              <w:right w:val="single" w:color="D6CBB8" w:sz="4"/>
            </w:tcBorders>
            <w:shd w:fill="F4EDE3" w:val="clear"/>
            <w:tcMar>
              <w:top w:type="dxa" w:w="120"/>
              <w:left w:type="dxa" w:w="160"/>
              <w:bottom w:type="dxa" w:w="120"/>
              <w:right w:type="dxa" w:w="160"/>
            </w:tcMar>
          </w:tcPr>
          <w:p>
            <w:pPr>
              <w:spacing w:after="60"/>
            </w:pPr>
            <w:r>
              <w:rPr>
                <w:rFonts w:ascii="Arial" w:cs="Arial" w:eastAsia="Arial" w:hAnsi="Arial"/>
                <w:b/>
                <w:bCs/>
                <w:color w:val="1B2A4A"/>
                <w:sz w:val="20"/>
                <w:szCs w:val="20"/>
              </w:rPr>
              <w:t xml:space="preserve">Archivist note</w:t>
            </w:r>
          </w:p>
          <w:p>
            <w:pPr>
              <w:spacing w:line="260"/>
            </w:pPr>
            <w:r>
              <w:rPr>
                <w:rFonts w:ascii="Arial" w:cs="Arial" w:eastAsia="Arial" w:hAnsi="Arial"/>
                <w:i/>
                <w:iCs/>
                <w:color w:val="334155"/>
                <w:sz w:val="20"/>
                <w:szCs w:val="20"/>
              </w:rPr>
              <w:t xml:space="preserve">Do not fill this section with invented cult lore on the first pass. The owner asked for structure from bare-bones recollection, not a substitute mythology. Expand only after the collaborative review returns source detail.</w:t>
            </w:r>
          </w:p>
        </w:tc>
      </w:tr>
    </w:tbl>
    <w:p>
      <w:pPr>
        <w:pStyle w:val="Heading1"/>
        <w:pBdr>
          <w:bottom w:val="single" w:color="8A6D3B" w:sz="12" w:space="4"/>
        </w:pBdr>
        <w:spacing w:after="160" w:before="360"/>
      </w:pPr>
      <w:r>
        <w:rPr>
          <w:rFonts w:ascii="Arial" w:cs="Arial" w:eastAsia="Arial" w:hAnsi="Arial"/>
          <w:b/>
          <w:bCs/>
          <w:color w:val="1B2A4A"/>
          <w:sz w:val="32"/>
          <w:szCs w:val="32"/>
        </w:rPr>
        <w:t xml:space="preserve">6. PET-SYS — Petitioners’ Court</w:t>
      </w:r>
    </w:p>
    <w:p>
      <w:pPr>
        <w:pStyle w:val="Heading2"/>
        <w:spacing w:after="100" w:before="280"/>
      </w:pPr>
      <w:r>
        <w:rPr>
          <w:rFonts w:ascii="Arial" w:cs="Arial" w:eastAsia="Arial" w:hAnsi="Arial"/>
          <w:b/>
          <w:bCs/>
          <w:color w:val="8A6D3B"/>
          <w:sz w:val="26"/>
          <w:szCs w:val="26"/>
        </w:rPr>
        <w:t xml:space="preserve">6.1 What the court is</w:t>
      </w:r>
    </w:p>
    <w:p>
      <w:pPr>
        <w:spacing w:after="80" w:before="80" w:line="276"/>
        <w:jc w:val="left"/>
      </w:pPr>
      <w:r>
        <w:rPr>
          <w:rFonts w:ascii="Arial" w:cs="Arial" w:eastAsia="Arial" w:hAnsi="Arial"/>
          <w:b w:val="false"/>
          <w:bCs w:val="false"/>
          <w:i w:val="false"/>
          <w:iCs w:val="false"/>
          <w:color w:val="222222"/>
          <w:sz w:val="22"/>
          <w:szCs w:val="22"/>
        </w:rPr>
        <w:t xml:space="preserve">Inside the world-building universe there is a formal petition path. A person may petition. A range of entities can be seen in the process. If a petition is granted, the petitioner may be received in person. The system is not only mythic architecture. It has a public front: petitions can be filed online, through a website, and a response is returned inside a short window.</w:t>
      </w:r>
    </w:p>
    <w:p>
      <w:pPr>
        <w:pStyle w:val="Heading2"/>
        <w:spacing w:after="100" w:before="280"/>
      </w:pPr>
      <w:r>
        <w:rPr>
          <w:rFonts w:ascii="Arial" w:cs="Arial" w:eastAsia="Arial" w:hAnsi="Arial"/>
          <w:b/>
          <w:bCs/>
          <w:color w:val="8A6D3B"/>
          <w:sz w:val="26"/>
          <w:szCs w:val="26"/>
        </w:rPr>
        <w:t xml:space="preserve">6.2 Two layers of information</w:t>
      </w:r>
    </w:p>
    <w:p>
      <w:pPr>
        <w:spacing w:after="80" w:before="80" w:line="276"/>
        <w:jc w:val="left"/>
      </w:pPr>
      <w:r>
        <w:rPr>
          <w:rFonts w:ascii="Arial" w:cs="Arial" w:eastAsia="Arial" w:hAnsi="Arial"/>
          <w:b w:val="false"/>
          <w:bCs w:val="false"/>
          <w:i w:val="false"/>
          <w:iCs w:val="false"/>
          <w:color w:val="222222"/>
          <w:sz w:val="22"/>
          <w:szCs w:val="22"/>
        </w:rPr>
        <w:t xml:space="preserve">The online filing collects a large amount of information — the language of the request, the stated harm, the stated remedy. That layer is necessary and insufficient.</w:t>
      </w:r>
    </w:p>
    <w:p>
      <w:pPr>
        <w:spacing w:after="80" w:before="80" w:line="276"/>
        <w:jc w:val="left"/>
      </w:pPr>
      <w:r>
        <w:rPr>
          <w:rFonts w:ascii="Arial" w:cs="Arial" w:eastAsia="Arial" w:hAnsi="Arial"/>
          <w:b w:val="false"/>
          <w:bCs w:val="false"/>
          <w:i w:val="false"/>
          <w:iCs w:val="false"/>
          <w:color w:val="222222"/>
          <w:sz w:val="22"/>
          <w:szCs w:val="22"/>
        </w:rPr>
        <w:t xml:space="preserve">The audience chamber collects something the form cannot hold: actual intent. Prior knowledge of that intent may already exist on the receiving side. The in-person hearing is where the gap, if there is one, becomes unsustainable. The hearing is not a ceremony that rubber-stamps the web form.</w:t>
      </w:r>
    </w:p>
    <w:p>
      <w:pPr>
        <w:pStyle w:val="Heading2"/>
        <w:spacing w:after="100" w:before="280"/>
      </w:pPr>
      <w:r>
        <w:rPr>
          <w:rFonts w:ascii="Arial" w:cs="Arial" w:eastAsia="Arial" w:hAnsi="Arial"/>
          <w:b/>
          <w:bCs/>
          <w:color w:val="8A6D3B"/>
          <w:sz w:val="26"/>
          <w:szCs w:val="26"/>
        </w:rPr>
        <w:t xml:space="preserve">6.3 Operating rules implied by the cases</w:t>
      </w:r>
    </w:p>
    <w:p>
      <w:pPr>
        <w:pStyle w:val="ListParagraph"/>
        <w:numPr>
          <w:ilvl w:val="0"/>
          <w:numId w:val="2"/>
        </w:numPr>
        <w:spacing w:after="40" w:before="40" w:line="276"/>
      </w:pPr>
      <w:r>
        <w:rPr>
          <w:rFonts w:ascii="Arial" w:cs="Arial" w:eastAsia="Arial" w:hAnsi="Arial"/>
          <w:color w:val="222222"/>
          <w:sz w:val="22"/>
          <w:szCs w:val="22"/>
        </w:rPr>
        <w:t xml:space="preserve">Speed of first response does not equal depth of grant.</w:t>
      </w:r>
    </w:p>
    <w:p>
      <w:pPr>
        <w:pStyle w:val="ListParagraph"/>
        <w:numPr>
          <w:ilvl w:val="0"/>
          <w:numId w:val="2"/>
        </w:numPr>
        <w:spacing w:after="40" w:before="40" w:line="276"/>
      </w:pPr>
      <w:r>
        <w:rPr>
          <w:rFonts w:ascii="Arial" w:cs="Arial" w:eastAsia="Arial" w:hAnsi="Arial"/>
          <w:color w:val="222222"/>
          <w:sz w:val="22"/>
          <w:szCs w:val="22"/>
        </w:rPr>
        <w:t xml:space="preserve">Reaching the chamber is not victory. It is the point at which motive is tested.</w:t>
      </w:r>
    </w:p>
    <w:p>
      <w:pPr>
        <w:pStyle w:val="ListParagraph"/>
        <w:numPr>
          <w:ilvl w:val="0"/>
          <w:numId w:val="2"/>
        </w:numPr>
        <w:spacing w:after="40" w:before="40" w:line="276"/>
      </w:pPr>
      <w:r>
        <w:rPr>
          <w:rFonts w:ascii="Arial" w:cs="Arial" w:eastAsia="Arial" w:hAnsi="Arial"/>
          <w:color w:val="222222"/>
          <w:sz w:val="22"/>
          <w:szCs w:val="22"/>
        </w:rPr>
        <w:t xml:space="preserve">When stated request and actual intent diverge, the divergence is addressed directly.</w:t>
      </w:r>
    </w:p>
    <w:p>
      <w:pPr>
        <w:pStyle w:val="ListParagraph"/>
        <w:numPr>
          <w:ilvl w:val="0"/>
          <w:numId w:val="2"/>
        </w:numPr>
        <w:spacing w:after="40" w:before="40" w:line="276"/>
      </w:pPr>
      <w:r>
        <w:rPr>
          <w:rFonts w:ascii="Arial" w:cs="Arial" w:eastAsia="Arial" w:hAnsi="Arial"/>
          <w:color w:val="222222"/>
          <w:sz w:val="22"/>
          <w:szCs w:val="22"/>
        </w:rPr>
        <w:t xml:space="preserve">The hearing officer’s default affect is calm. Calm can break if the petitioner tries to convert the chamber into a blame theater.</w:t>
      </w:r>
    </w:p>
    <w:p>
      <w:pPr>
        <w:pStyle w:val="ListParagraph"/>
        <w:numPr>
          <w:ilvl w:val="0"/>
          <w:numId w:val="2"/>
        </w:numPr>
        <w:spacing w:after="40" w:before="40" w:line="276"/>
      </w:pPr>
      <w:r>
        <w:rPr>
          <w:rFonts w:ascii="Arial" w:cs="Arial" w:eastAsia="Arial" w:hAnsi="Arial"/>
          <w:color w:val="222222"/>
          <w:sz w:val="22"/>
          <w:szCs w:val="22"/>
        </w:rPr>
        <w:t xml:space="preserve">Transparency is not optional tone. It is the method: this is what you asked for; this is what you are actually asking for; this is how far I will go.</w:t>
      </w:r>
    </w:p>
    <w:p>
      <w:pPr>
        <w:pStyle w:val="Heading2"/>
        <w:spacing w:after="100" w:before="280"/>
      </w:pPr>
      <w:r>
        <w:rPr>
          <w:rFonts w:ascii="Arial" w:cs="Arial" w:eastAsia="Arial" w:hAnsi="Arial"/>
          <w:b/>
          <w:bCs/>
          <w:color w:val="8A6D3B"/>
          <w:sz w:val="26"/>
          <w:szCs w:val="26"/>
        </w:rPr>
        <w:t xml:space="preserve">6.4 Dramatic function</w:t>
      </w:r>
    </w:p>
    <w:p>
      <w:pPr>
        <w:spacing w:after="80" w:before="80" w:line="276"/>
        <w:jc w:val="left"/>
      </w:pPr>
      <w:r>
        <w:rPr>
          <w:rFonts w:ascii="Arial" w:cs="Arial" w:eastAsia="Arial" w:hAnsi="Arial"/>
          <w:b w:val="false"/>
          <w:bCs w:val="false"/>
          <w:i w:val="false"/>
          <w:iCs w:val="false"/>
          <w:color w:val="222222"/>
          <w:sz w:val="22"/>
          <w:szCs w:val="22"/>
        </w:rPr>
        <w:t xml:space="preserve">The court lets the universe show power without making power into a vending machine. Anyone can file. Not everyone is asking for what the form says they are asking for. The interesting scene is almost never the filing. It is the moment the form and the person stop matching.</w:t>
      </w:r>
    </w:p>
    <w:p>
      <w:pPr>
        <w:pStyle w:val="Heading1"/>
        <w:pBdr>
          <w:bottom w:val="single" w:color="8A6D3B" w:sz="12" w:space="4"/>
        </w:pBdr>
        <w:spacing w:after="160" w:before="360"/>
      </w:pPr>
      <w:r>
        <w:rPr>
          <w:rFonts w:ascii="Arial" w:cs="Arial" w:eastAsia="Arial" w:hAnsi="Arial"/>
          <w:b/>
          <w:bCs/>
          <w:color w:val="1B2A4A"/>
          <w:sz w:val="32"/>
          <w:szCs w:val="32"/>
        </w:rPr>
        <w:t xml:space="preserve">7. PET-01 — Petition of Leaders Seeking Deficit Clearance</w:t>
      </w:r>
    </w:p>
    <w:p>
      <w:pPr>
        <w:pStyle w:val="Heading2"/>
        <w:spacing w:after="100" w:before="280"/>
      </w:pPr>
      <w:r>
        <w:rPr>
          <w:rFonts w:ascii="Arial" w:cs="Arial" w:eastAsia="Arial" w:hAnsi="Arial"/>
          <w:b/>
          <w:bCs/>
          <w:color w:val="8A6D3B"/>
          <w:sz w:val="26"/>
          <w:szCs w:val="26"/>
        </w:rPr>
        <w:t xml:space="preserve">7.1 Setup</w:t>
      </w:r>
    </w:p>
    <w:p>
      <w:pPr>
        <w:spacing w:after="80" w:before="80" w:line="276"/>
        <w:jc w:val="left"/>
      </w:pPr>
      <w:r>
        <w:rPr>
          <w:rFonts w:ascii="Arial" w:cs="Arial" w:eastAsia="Arial" w:hAnsi="Arial"/>
          <w:b w:val="false"/>
          <w:bCs w:val="false"/>
          <w:i w:val="false"/>
          <w:iCs w:val="false"/>
          <w:color w:val="222222"/>
          <w:sz w:val="22"/>
          <w:szCs w:val="22"/>
        </w:rPr>
        <w:t xml:space="preserve">A group of leaders reaches out. One of them wants a deficit cleared. In the reconstructed conversation, the request is treated as a request for someone else to absorb the cost of prior decisions.</w:t>
      </w:r>
    </w:p>
    <w:p>
      <w:pPr>
        <w:pStyle w:val="Heading2"/>
        <w:spacing w:after="100" w:before="280"/>
      </w:pPr>
      <w:r>
        <w:rPr>
          <w:rFonts w:ascii="Arial" w:cs="Arial" w:eastAsia="Arial" w:hAnsi="Arial"/>
          <w:b/>
          <w:bCs/>
          <w:color w:val="8A6D3B"/>
          <w:sz w:val="26"/>
          <w:szCs w:val="26"/>
        </w:rPr>
        <w:t xml:space="preserve">7.2 The analogy, kept in bounds</w:t>
      </w:r>
    </w:p>
    <w:p>
      <w:pPr>
        <w:spacing w:after="80" w:before="80" w:line="276"/>
        <w:jc w:val="left"/>
      </w:pPr>
      <w:r>
        <w:rPr>
          <w:rFonts w:ascii="Arial" w:cs="Arial" w:eastAsia="Arial" w:hAnsi="Arial"/>
          <w:b w:val="false"/>
          <w:bCs w:val="false"/>
          <w:i w:val="false"/>
          <w:iCs w:val="false"/>
          <w:color w:val="222222"/>
          <w:sz w:val="22"/>
          <w:szCs w:val="22"/>
        </w:rPr>
        <w:t xml:space="preserve">The voice note used a national-budget illustration and immediately boxed it: do not read too much into it; the numbers are not the point; no real-world claim is being made. The illustration is only this — if a body asked to have an entire deficit covered, the answer would not be to place that body in the green. The most that would even be discussed is a return to zero on what is owed, and even that was refused.</w:t>
      </w:r>
    </w:p>
    <w:p>
      <w:pPr>
        <w:pStyle w:val="Heading2"/>
        <w:spacing w:after="100" w:before="280"/>
      </w:pPr>
      <w:r>
        <w:rPr>
          <w:rFonts w:ascii="Arial" w:cs="Arial" w:eastAsia="Arial" w:hAnsi="Arial"/>
          <w:b/>
          <w:bCs/>
          <w:color w:val="8A6D3B"/>
          <w:sz w:val="26"/>
          <w:szCs w:val="26"/>
        </w:rPr>
        <w:t xml:space="preserve">7.3 The argument given</w:t>
      </w:r>
    </w:p>
    <w:p>
      <w:pPr>
        <w:spacing w:after="80" w:before="80" w:line="276"/>
        <w:jc w:val="left"/>
      </w:pPr>
      <w:r>
        <w:rPr>
          <w:rFonts w:ascii="Arial" w:cs="Arial" w:eastAsia="Arial" w:hAnsi="Arial"/>
          <w:b w:val="false"/>
          <w:bCs w:val="false"/>
          <w:i w:val="false"/>
          <w:iCs w:val="false"/>
          <w:color w:val="222222"/>
          <w:sz w:val="22"/>
          <w:szCs w:val="22"/>
        </w:rPr>
        <w:t xml:space="preserve">A blanket check that covers losses is not mercy. It is a license. It returns the same resources and the same habits to the same hands and calls the problem solved. The problem is not only the hole in the ledger. The problem is how the hole was made, and every other factor that will make the next hole.</w:t>
      </w:r>
    </w:p>
    <w:p>
      <w:pPr>
        <w:spacing w:after="80" w:before="80" w:line="276"/>
        <w:jc w:val="left"/>
      </w:pPr>
      <w:r>
        <w:rPr>
          <w:rFonts w:ascii="Arial" w:cs="Arial" w:eastAsia="Arial" w:hAnsi="Arial"/>
          <w:b w:val="false"/>
          <w:bCs w:val="false"/>
          <w:i w:val="false"/>
          <w:iCs w:val="false"/>
          <w:color w:val="222222"/>
          <w:sz w:val="22"/>
          <w:szCs w:val="22"/>
        </w:rPr>
        <w:t xml:space="preserve">The visitor’s line, reconstructed: I am not going to fix this for you. You have to learn.</w:t>
      </w:r>
    </w:p>
    <w:p>
      <w:pPr>
        <w:pStyle w:val="Heading2"/>
        <w:spacing w:after="100" w:before="280"/>
      </w:pPr>
      <w:r>
        <w:rPr>
          <w:rFonts w:ascii="Arial" w:cs="Arial" w:eastAsia="Arial" w:hAnsi="Arial"/>
          <w:b/>
          <w:bCs/>
          <w:color w:val="8A6D3B"/>
          <w:sz w:val="26"/>
          <w:szCs w:val="26"/>
        </w:rPr>
        <w:t xml:space="preserve">7.4 Exchange and outcome</w:t>
      </w:r>
    </w:p>
    <w:p>
      <w:pPr>
        <w:spacing w:after="80" w:before="80" w:line="276"/>
        <w:jc w:val="left"/>
      </w:pPr>
      <w:r>
        <w:rPr>
          <w:rFonts w:ascii="Arial" w:cs="Arial" w:eastAsia="Arial" w:hAnsi="Arial"/>
          <w:b w:val="false"/>
          <w:bCs w:val="false"/>
          <w:i w:val="false"/>
          <w:iCs w:val="false"/>
          <w:color w:val="222222"/>
          <w:sz w:val="22"/>
          <w:szCs w:val="22"/>
        </w:rPr>
        <w:t xml:space="preserve">The leaders argued the point back and forth inside the scenario as written. The reconstructed outcome is that no financial-relief recourse was provided. The refusal is the record, not a delay pending better terms.</w:t>
      </w:r>
    </w:p>
    <w:p>
      <w:pPr>
        <w:pStyle w:val="Heading2"/>
        <w:spacing w:after="100" w:before="280"/>
      </w:pPr>
      <w:r>
        <w:rPr>
          <w:rFonts w:ascii="Arial" w:cs="Arial" w:eastAsia="Arial" w:hAnsi="Arial"/>
          <w:b/>
          <w:bCs/>
          <w:color w:val="8A6D3B"/>
          <w:sz w:val="26"/>
          <w:szCs w:val="26"/>
        </w:rPr>
        <w:t xml:space="preserve">7.5 What the case is actually testing</w:t>
      </w:r>
    </w:p>
    <w:p>
      <w:pPr>
        <w:spacing w:after="80" w:before="80" w:line="276"/>
        <w:jc w:val="left"/>
      </w:pPr>
      <w:r>
        <w:rPr>
          <w:rFonts w:ascii="Arial" w:cs="Arial" w:eastAsia="Arial" w:hAnsi="Arial"/>
          <w:b w:val="false"/>
          <w:bCs w:val="false"/>
          <w:i w:val="false"/>
          <w:iCs w:val="false"/>
          <w:color w:val="222222"/>
          <w:sz w:val="22"/>
          <w:szCs w:val="22"/>
        </w:rPr>
        <w:t xml:space="preserve">Not whether the visitor can pay. Whether payment would teach anyone anything. The case rhymes with the oil-spill aftermath: cleanup that restores inventory is another form of covering the deficit.</w:t>
      </w:r>
    </w:p>
    <w:p>
      <w:pPr>
        <w:pStyle w:val="Heading2"/>
        <w:spacing w:after="100" w:before="280"/>
      </w:pPr>
      <w:r>
        <w:rPr>
          <w:rFonts w:ascii="Arial" w:cs="Arial" w:eastAsia="Arial" w:hAnsi="Arial"/>
          <w:b/>
          <w:bCs/>
          <w:color w:val="8A6D3B"/>
          <w:sz w:val="26"/>
          <w:szCs w:val="26"/>
        </w:rPr>
        <w:t xml:space="preserve">7.6 Open items</w:t>
      </w:r>
    </w:p>
    <w:p>
      <w:pPr>
        <w:pStyle w:val="ListParagraph"/>
        <w:numPr>
          <w:ilvl w:val="0"/>
          <w:numId w:val="2"/>
        </w:numPr>
        <w:spacing w:after="40" w:before="40" w:line="276"/>
      </w:pPr>
      <w:r>
        <w:rPr>
          <w:rFonts w:ascii="Arial" w:cs="Arial" w:eastAsia="Arial" w:hAnsi="Arial"/>
          <w:color w:val="222222"/>
          <w:sz w:val="22"/>
          <w:szCs w:val="22"/>
        </w:rPr>
        <w:t xml:space="preserve">Which leaders, which institution, which scale — left unnamed on purpose in this pass.</w:t>
      </w:r>
    </w:p>
    <w:p>
      <w:pPr>
        <w:pStyle w:val="ListParagraph"/>
        <w:numPr>
          <w:ilvl w:val="0"/>
          <w:numId w:val="2"/>
        </w:numPr>
        <w:spacing w:after="40" w:before="40" w:line="276"/>
      </w:pPr>
      <w:r>
        <w:rPr>
          <w:rFonts w:ascii="Arial" w:cs="Arial" w:eastAsia="Arial" w:hAnsi="Arial"/>
          <w:color w:val="222222"/>
          <w:sz w:val="22"/>
          <w:szCs w:val="22"/>
        </w:rPr>
        <w:t xml:space="preserve">Whether “zero, not green” remains a hard ceiling if a later petition includes reform conditions.</w:t>
      </w:r>
    </w:p>
    <w:p>
      <w:pPr>
        <w:pStyle w:val="ListParagraph"/>
        <w:numPr>
          <w:ilvl w:val="0"/>
          <w:numId w:val="2"/>
        </w:numPr>
        <w:spacing w:after="40" w:before="40" w:line="276"/>
      </w:pPr>
      <w:r>
        <w:rPr>
          <w:rFonts w:ascii="Arial" w:cs="Arial" w:eastAsia="Arial" w:hAnsi="Arial"/>
          <w:color w:val="222222"/>
          <w:sz w:val="22"/>
          <w:szCs w:val="22"/>
        </w:rPr>
        <w:t xml:space="preserve">Whether the refusal is published back through the court’s public response window or only spoken in chamber.</w:t>
      </w:r>
    </w:p>
    <w:p>
      <w:pPr>
        <w:pStyle w:val="Heading1"/>
        <w:pBdr>
          <w:bottom w:val="single" w:color="8A6D3B" w:sz="12" w:space="4"/>
        </w:pBdr>
        <w:spacing w:after="160" w:before="360"/>
      </w:pPr>
      <w:r>
        <w:rPr>
          <w:rFonts w:ascii="Arial" w:cs="Arial" w:eastAsia="Arial" w:hAnsi="Arial"/>
          <w:b/>
          <w:bCs/>
          <w:color w:val="1B2A4A"/>
          <w:sz w:val="32"/>
          <w:szCs w:val="32"/>
        </w:rPr>
        <w:t xml:space="preserve">8. PET-02 — The Woman Affected by War or Conflict</w:t>
      </w:r>
    </w:p>
    <w:p>
      <w:pPr>
        <w:pStyle w:val="Heading2"/>
        <w:spacing w:after="100" w:before="280"/>
      </w:pPr>
      <w:r>
        <w:rPr>
          <w:rFonts w:ascii="Arial" w:cs="Arial" w:eastAsia="Arial" w:hAnsi="Arial"/>
          <w:b/>
          <w:bCs/>
          <w:color w:val="8A6D3B"/>
          <w:sz w:val="26"/>
          <w:szCs w:val="26"/>
        </w:rPr>
        <w:t xml:space="preserve">8.1 Setup</w:t>
      </w:r>
    </w:p>
    <w:p>
      <w:pPr>
        <w:spacing w:after="80" w:before="80" w:line="276"/>
        <w:jc w:val="left"/>
      </w:pPr>
      <w:r>
        <w:rPr>
          <w:rFonts w:ascii="Arial" w:cs="Arial" w:eastAsia="Arial" w:hAnsi="Arial"/>
          <w:b w:val="false"/>
          <w:bCs w:val="false"/>
          <w:i w:val="false"/>
          <w:iCs w:val="false"/>
          <w:color w:val="222222"/>
          <w:sz w:val="22"/>
          <w:szCs w:val="22"/>
        </w:rPr>
        <w:t xml:space="preserve">A woman who has been impacted by an ongoing war or conflict petitions with an audience. The harm is real inside the fiction. The maneuver is not only a request for remedy. She attempts to cast blame onto the person who is hearing her.</w:t>
      </w:r>
    </w:p>
    <w:p>
      <w:pPr>
        <w:pStyle w:val="Heading2"/>
        <w:spacing w:after="100" w:before="280"/>
      </w:pPr>
      <w:r>
        <w:rPr>
          <w:rFonts w:ascii="Arial" w:cs="Arial" w:eastAsia="Arial" w:hAnsi="Arial"/>
          <w:b/>
          <w:bCs/>
          <w:color w:val="8A6D3B"/>
          <w:sz w:val="26"/>
          <w:szCs w:val="26"/>
        </w:rPr>
        <w:t xml:space="preserve">8.2 Affect in the chamber</w:t>
      </w:r>
    </w:p>
    <w:p>
      <w:pPr>
        <w:spacing w:after="80" w:before="80" w:line="276"/>
        <w:jc w:val="left"/>
      </w:pPr>
      <w:r>
        <w:rPr>
          <w:rFonts w:ascii="Arial" w:cs="Arial" w:eastAsia="Arial" w:hAnsi="Arial"/>
          <w:b w:val="false"/>
          <w:bCs w:val="false"/>
          <w:i w:val="false"/>
          <w:iCs w:val="false"/>
          <w:color w:val="222222"/>
          <w:sz w:val="22"/>
          <w:szCs w:val="22"/>
        </w:rPr>
        <w:t xml:space="preserve">The hearing figure is generally calm. In this instance that calm thins. He becomes upset — not as a loss of control for its own sake, but as a change in the shape of the room.</w:t>
      </w:r>
    </w:p>
    <w:p>
      <w:pPr>
        <w:pStyle w:val="Heading2"/>
        <w:spacing w:after="100" w:before="280"/>
      </w:pPr>
      <w:r>
        <w:rPr>
          <w:rFonts w:ascii="Arial" w:cs="Arial" w:eastAsia="Arial" w:hAnsi="Arial"/>
          <w:b/>
          <w:bCs/>
          <w:color w:val="8A6D3B"/>
          <w:sz w:val="26"/>
          <w:szCs w:val="26"/>
        </w:rPr>
        <w:t xml:space="preserve">8.3 What he does instead of accepting the frame</w:t>
      </w:r>
    </w:p>
    <w:p>
      <w:pPr>
        <w:spacing w:after="80" w:before="80" w:line="276"/>
        <w:jc w:val="left"/>
      </w:pPr>
      <w:r>
        <w:rPr>
          <w:rFonts w:ascii="Arial" w:cs="Arial" w:eastAsia="Arial" w:hAnsi="Arial"/>
          <w:b w:val="false"/>
          <w:bCs w:val="false"/>
          <w:i w:val="false"/>
          <w:iCs w:val="false"/>
          <w:color w:val="222222"/>
          <w:sz w:val="22"/>
          <w:szCs w:val="22"/>
        </w:rPr>
        <w:t xml:space="preserve">He does not stay inside the accusation as she drew it. He reshapes the landscape of the argument. He tells her what she is actually trying to do. The scene is not written as a rebuttal statistic or a policy brief. It is a re-description of the petition itself: the request on the page, and the use she is putting the hearing to.</w:t>
      </w:r>
    </w:p>
    <w:p>
      <w:pPr>
        <w:pStyle w:val="Heading2"/>
        <w:spacing w:after="100" w:before="280"/>
      </w:pPr>
      <w:r>
        <w:rPr>
          <w:rFonts w:ascii="Arial" w:cs="Arial" w:eastAsia="Arial" w:hAnsi="Arial"/>
          <w:b/>
          <w:bCs/>
          <w:color w:val="8A6D3B"/>
          <w:sz w:val="26"/>
          <w:szCs w:val="26"/>
        </w:rPr>
        <w:t xml:space="preserve">8.4 Why the scene matters</w:t>
      </w:r>
    </w:p>
    <w:p>
      <w:pPr>
        <w:spacing w:after="80" w:before="80" w:line="276"/>
        <w:jc w:val="left"/>
      </w:pPr>
      <w:r>
        <w:rPr>
          <w:rFonts w:ascii="Arial" w:cs="Arial" w:eastAsia="Arial" w:hAnsi="Arial"/>
          <w:b w:val="false"/>
          <w:bCs w:val="false"/>
          <w:i w:val="false"/>
          <w:iCs w:val="false"/>
          <w:color w:val="222222"/>
          <w:sz w:val="22"/>
          <w:szCs w:val="22"/>
        </w:rPr>
        <w:t xml:space="preserve">The court can hold grief and still refuse to become a weapon aimed at the bench. Impact is acknowledged by the fact of the hearing. Blame-casting is a different act. The upset is the signal that the second act has been recognized.</w:t>
      </w:r>
    </w:p>
    <w:p>
      <w:pPr>
        <w:pStyle w:val="Heading2"/>
        <w:spacing w:after="100" w:before="280"/>
      </w:pPr>
      <w:r>
        <w:rPr>
          <w:rFonts w:ascii="Arial" w:cs="Arial" w:eastAsia="Arial" w:hAnsi="Arial"/>
          <w:b/>
          <w:bCs/>
          <w:color w:val="8A6D3B"/>
          <w:sz w:val="26"/>
          <w:szCs w:val="26"/>
        </w:rPr>
        <w:t xml:space="preserve">8.5 Open items</w:t>
      </w:r>
    </w:p>
    <w:p>
      <w:pPr>
        <w:pStyle w:val="ListParagraph"/>
        <w:numPr>
          <w:ilvl w:val="0"/>
          <w:numId w:val="2"/>
        </w:numPr>
        <w:spacing w:after="40" w:before="40" w:line="276"/>
      </w:pPr>
      <w:r>
        <w:rPr>
          <w:rFonts w:ascii="Arial" w:cs="Arial" w:eastAsia="Arial" w:hAnsi="Arial"/>
          <w:color w:val="222222"/>
          <w:sz w:val="22"/>
          <w:szCs w:val="22"/>
        </w:rPr>
        <w:t xml:space="preserve">Name of the conflict, if it is to be named.</w:t>
      </w:r>
    </w:p>
    <w:p>
      <w:pPr>
        <w:pStyle w:val="ListParagraph"/>
        <w:numPr>
          <w:ilvl w:val="0"/>
          <w:numId w:val="2"/>
        </w:numPr>
        <w:spacing w:after="40" w:before="40" w:line="276"/>
      </w:pPr>
      <w:r>
        <w:rPr>
          <w:rFonts w:ascii="Arial" w:cs="Arial" w:eastAsia="Arial" w:hAnsi="Arial"/>
          <w:color w:val="222222"/>
          <w:sz w:val="22"/>
          <w:szCs w:val="22"/>
        </w:rPr>
        <w:t xml:space="preserve">Whether any portion of the petition is granted after the frame is corrected.</w:t>
      </w:r>
    </w:p>
    <w:p>
      <w:pPr>
        <w:pStyle w:val="ListParagraph"/>
        <w:numPr>
          <w:ilvl w:val="0"/>
          <w:numId w:val="2"/>
        </w:numPr>
        <w:spacing w:after="40" w:before="40" w:line="276"/>
      </w:pPr>
      <w:r>
        <w:rPr>
          <w:rFonts w:ascii="Arial" w:cs="Arial" w:eastAsia="Arial" w:hAnsi="Arial"/>
          <w:color w:val="222222"/>
          <w:sz w:val="22"/>
          <w:szCs w:val="22"/>
        </w:rPr>
        <w:t xml:space="preserve">Whether the upset is visible to the full audience or only to the petitioner.</w:t>
      </w:r>
    </w:p>
    <w:p>
      <w:pPr>
        <w:pStyle w:val="Heading1"/>
        <w:pBdr>
          <w:bottom w:val="single" w:color="8A6D3B" w:sz="12" w:space="4"/>
        </w:pBdr>
        <w:spacing w:after="160" w:before="360"/>
      </w:pPr>
      <w:r>
        <w:rPr>
          <w:rFonts w:ascii="Arial" w:cs="Arial" w:eastAsia="Arial" w:hAnsi="Arial"/>
          <w:b/>
          <w:bCs/>
          <w:color w:val="1B2A4A"/>
          <w:sz w:val="32"/>
          <w:szCs w:val="32"/>
        </w:rPr>
        <w:t xml:space="preserve">9. PET-03 — Stated Petition Versus Actual Intent</w:t>
      </w:r>
    </w:p>
    <w:p>
      <w:pPr>
        <w:pStyle w:val="Heading2"/>
        <w:spacing w:after="100" w:before="280"/>
      </w:pPr>
      <w:r>
        <w:rPr>
          <w:rFonts w:ascii="Arial" w:cs="Arial" w:eastAsia="Arial" w:hAnsi="Arial"/>
          <w:b/>
          <w:bCs/>
          <w:color w:val="8A6D3B"/>
          <w:sz w:val="26"/>
          <w:szCs w:val="26"/>
        </w:rPr>
        <w:t xml:space="preserve">9.1 How far the filing got</w:t>
      </w:r>
    </w:p>
    <w:p>
      <w:pPr>
        <w:spacing w:after="80" w:before="80" w:line="276"/>
        <w:jc w:val="left"/>
      </w:pPr>
      <w:r>
        <w:rPr>
          <w:rFonts w:ascii="Arial" w:cs="Arial" w:eastAsia="Arial" w:hAnsi="Arial"/>
          <w:b w:val="false"/>
          <w:bCs w:val="false"/>
          <w:i w:val="false"/>
          <w:iCs w:val="false"/>
          <w:color w:val="222222"/>
          <w:sz w:val="22"/>
          <w:szCs w:val="22"/>
        </w:rPr>
        <w:t xml:space="preserve">This petitioner cleared the online process and reached the audience chamber. Grant of a hearing is not grant of the ask.</w:t>
      </w:r>
    </w:p>
    <w:p>
      <w:pPr>
        <w:pStyle w:val="Heading2"/>
        <w:spacing w:after="100" w:before="280"/>
      </w:pPr>
      <w:r>
        <w:rPr>
          <w:rFonts w:ascii="Arial" w:cs="Arial" w:eastAsia="Arial" w:hAnsi="Arial"/>
          <w:b/>
          <w:bCs/>
          <w:color w:val="8A6D3B"/>
          <w:sz w:val="26"/>
          <w:szCs w:val="26"/>
        </w:rPr>
        <w:t xml:space="preserve">9.2 The discrepancy</w:t>
      </w:r>
    </w:p>
    <w:p>
      <w:pPr>
        <w:spacing w:after="80" w:before="80" w:line="276"/>
        <w:jc w:val="left"/>
      </w:pPr>
      <w:r>
        <w:rPr>
          <w:rFonts w:ascii="Arial" w:cs="Arial" w:eastAsia="Arial" w:hAnsi="Arial"/>
          <w:b w:val="false"/>
          <w:bCs w:val="false"/>
          <w:i w:val="false"/>
          <w:iCs w:val="false"/>
          <w:color w:val="222222"/>
          <w:sz w:val="22"/>
          <w:szCs w:val="22"/>
        </w:rPr>
        <w:t xml:space="preserve">A large amount of information can be entered on the website. In person, what is gathered is intent. In this case the receiving side already had a read on that intent, and the chamber confirmed it. The gap was not a small shading of language. It was a huge discrepancy between what the petition asked for and what the petitioner meant to walk away with.</w:t>
      </w:r>
    </w:p>
    <w:p>
      <w:pPr>
        <w:pStyle w:val="Heading2"/>
        <w:spacing w:after="100" w:before="280"/>
      </w:pPr>
      <w:r>
        <w:rPr>
          <w:rFonts w:ascii="Arial" w:cs="Arial" w:eastAsia="Arial" w:hAnsi="Arial"/>
          <w:b/>
          <w:bCs/>
          <w:color w:val="8A6D3B"/>
          <w:sz w:val="26"/>
          <w:szCs w:val="26"/>
        </w:rPr>
        <w:t xml:space="preserve">9.3 How the discrepancy is handled</w:t>
      </w:r>
    </w:p>
    <w:p>
      <w:pPr>
        <w:spacing w:after="80" w:before="80" w:line="276"/>
        <w:jc w:val="left"/>
      </w:pPr>
      <w:r>
        <w:rPr>
          <w:rFonts w:ascii="Arial" w:cs="Arial" w:eastAsia="Arial" w:hAnsi="Arial"/>
          <w:b w:val="false"/>
          <w:bCs w:val="false"/>
          <w:i w:val="false"/>
          <w:iCs w:val="false"/>
          <w:color w:val="222222"/>
          <w:sz w:val="22"/>
          <w:szCs w:val="22"/>
        </w:rPr>
        <w:t xml:space="preserve">It is addressed directly. There is no circling. The formula used in the voice note is the formula of the scene:</w:t>
      </w:r>
    </w:p>
    <w:p>
      <w:pPr>
        <w:pStyle w:val="ListParagraph"/>
        <w:numPr>
          <w:ilvl w:val="0"/>
          <w:numId w:val="2"/>
        </w:numPr>
        <w:spacing w:after="40" w:before="40" w:line="276"/>
      </w:pPr>
      <w:r>
        <w:rPr>
          <w:rFonts w:ascii="Arial" w:cs="Arial" w:eastAsia="Arial" w:hAnsi="Arial"/>
          <w:color w:val="222222"/>
          <w:sz w:val="22"/>
          <w:szCs w:val="22"/>
        </w:rPr>
        <w:t xml:space="preserve">This is what you asked for.</w:t>
      </w:r>
    </w:p>
    <w:p>
      <w:pPr>
        <w:pStyle w:val="ListParagraph"/>
        <w:numPr>
          <w:ilvl w:val="0"/>
          <w:numId w:val="2"/>
        </w:numPr>
        <w:spacing w:after="40" w:before="40" w:line="276"/>
      </w:pPr>
      <w:r>
        <w:rPr>
          <w:rFonts w:ascii="Arial" w:cs="Arial" w:eastAsia="Arial" w:hAnsi="Arial"/>
          <w:color w:val="222222"/>
          <w:sz w:val="22"/>
          <w:szCs w:val="22"/>
        </w:rPr>
        <w:t xml:space="preserve">This is what you are actually asking for.</w:t>
      </w:r>
    </w:p>
    <w:p>
      <w:pPr>
        <w:pStyle w:val="ListParagraph"/>
        <w:numPr>
          <w:ilvl w:val="0"/>
          <w:numId w:val="2"/>
        </w:numPr>
        <w:spacing w:after="40" w:before="40" w:line="276"/>
      </w:pPr>
      <w:r>
        <w:rPr>
          <w:rFonts w:ascii="Arial" w:cs="Arial" w:eastAsia="Arial" w:hAnsi="Arial"/>
          <w:color w:val="222222"/>
          <w:sz w:val="22"/>
          <w:szCs w:val="22"/>
        </w:rPr>
        <w:t xml:space="preserve">This is what your actual intent is.</w:t>
      </w:r>
    </w:p>
    <w:p>
      <w:pPr>
        <w:pStyle w:val="ListParagraph"/>
        <w:numPr>
          <w:ilvl w:val="0"/>
          <w:numId w:val="2"/>
        </w:numPr>
        <w:spacing w:after="40" w:before="40" w:line="276"/>
      </w:pPr>
      <w:r>
        <w:rPr>
          <w:rFonts w:ascii="Arial" w:cs="Arial" w:eastAsia="Arial" w:hAnsi="Arial"/>
          <w:color w:val="222222"/>
          <w:sz w:val="22"/>
          <w:szCs w:val="22"/>
        </w:rPr>
        <w:t xml:space="preserve">This is how far I am willing to go with it.</w:t>
      </w:r>
    </w:p>
    <w:p>
      <w:pPr>
        <w:spacing w:after="80" w:before="80" w:line="276"/>
        <w:jc w:val="left"/>
      </w:pPr>
      <w:r>
        <w:rPr>
          <w:rFonts w:ascii="Arial" w:cs="Arial" w:eastAsia="Arial" w:hAnsi="Arial"/>
          <w:b w:val="false"/>
          <w:bCs w:val="false"/>
          <w:i w:val="false"/>
          <w:iCs w:val="false"/>
          <w:color w:val="222222"/>
          <w:sz w:val="22"/>
          <w:szCs w:val="22"/>
        </w:rPr>
        <w:t xml:space="preserve">Transparency here is not kindness theater. It is the refusal to let a form become a mask.</w:t>
      </w:r>
    </w:p>
    <w:p>
      <w:pPr>
        <w:pStyle w:val="Heading2"/>
        <w:spacing w:after="100" w:before="280"/>
      </w:pPr>
      <w:r>
        <w:rPr>
          <w:rFonts w:ascii="Arial" w:cs="Arial" w:eastAsia="Arial" w:hAnsi="Arial"/>
          <w:b/>
          <w:bCs/>
          <w:color w:val="8A6D3B"/>
          <w:sz w:val="26"/>
          <w:szCs w:val="26"/>
        </w:rPr>
        <w:t xml:space="preserve">9.4 Pattern note</w:t>
      </w:r>
    </w:p>
    <w:p>
      <w:pPr>
        <w:spacing w:after="80" w:before="80" w:line="276"/>
        <w:jc w:val="left"/>
      </w:pPr>
      <w:r>
        <w:rPr>
          <w:rFonts w:ascii="Arial" w:cs="Arial" w:eastAsia="Arial" w:hAnsi="Arial"/>
          <w:b w:val="false"/>
          <w:bCs w:val="false"/>
          <w:i w:val="false"/>
          <w:iCs w:val="false"/>
          <w:color w:val="222222"/>
          <w:sz w:val="22"/>
          <w:szCs w:val="22"/>
        </w:rPr>
        <w:t xml:space="preserve">The voice note says events of this type surfaced more than once. PET-03 is the type-specimen, not necessarily the only instance. Future passes should decide whether to keep a single detailed case or to log a series with the same anatomy.</w:t>
      </w:r>
    </w:p>
    <w:p>
      <w:pPr>
        <w:pStyle w:val="Heading1"/>
        <w:pBdr>
          <w:bottom w:val="single" w:color="8A6D3B" w:sz="12" w:space="4"/>
        </w:pBdr>
        <w:spacing w:after="160" w:before="360"/>
      </w:pPr>
      <w:r>
        <w:rPr>
          <w:rFonts w:ascii="Arial" w:cs="Arial" w:eastAsia="Arial" w:hAnsi="Arial"/>
          <w:b/>
          <w:bCs/>
          <w:color w:val="1B2A4A"/>
          <w:sz w:val="32"/>
          <w:szCs w:val="32"/>
        </w:rPr>
        <w:t xml:space="preserve">10. FLD-01 — Oil-Spill Field Intervention</w:t>
      </w:r>
    </w:p>
    <w:p>
      <w:pPr>
        <w:pStyle w:val="Heading2"/>
        <w:spacing w:after="100" w:before="280"/>
      </w:pPr>
      <w:r>
        <w:rPr>
          <w:rFonts w:ascii="Arial" w:cs="Arial" w:eastAsia="Arial" w:hAnsi="Arial"/>
          <w:b/>
          <w:bCs/>
          <w:color w:val="8A6D3B"/>
          <w:sz w:val="26"/>
          <w:szCs w:val="26"/>
        </w:rPr>
        <w:t xml:space="preserve">10.1 Scene as recalled</w:t>
      </w:r>
    </w:p>
    <w:p>
      <w:pPr>
        <w:spacing w:after="80" w:before="80" w:line="276"/>
        <w:jc w:val="left"/>
      </w:pPr>
      <w:r>
        <w:rPr>
          <w:rFonts w:ascii="Arial" w:cs="Arial" w:eastAsia="Arial" w:hAnsi="Arial"/>
          <w:b w:val="false"/>
          <w:bCs w:val="false"/>
          <w:i w:val="false"/>
          <w:iCs w:val="false"/>
          <w:color w:val="222222"/>
          <w:sz w:val="22"/>
          <w:szCs w:val="22"/>
        </w:rPr>
        <w:t xml:space="preserve">There is a large oil spill. A newscaster is on site. A character appears. The damage is not treated as a single visual of black water. It is framed as impact on the surrounding community, on wildlife, and on long-term prosperation of the place.</w:t>
      </w:r>
    </w:p>
    <w:p>
      <w:pPr>
        <w:pStyle w:val="Heading2"/>
        <w:spacing w:after="100" w:before="280"/>
      </w:pPr>
      <w:r>
        <w:rPr>
          <w:rFonts w:ascii="Arial" w:cs="Arial" w:eastAsia="Arial" w:hAnsi="Arial"/>
          <w:b/>
          <w:bCs/>
          <w:color w:val="8A6D3B"/>
          <w:sz w:val="26"/>
          <w:szCs w:val="26"/>
        </w:rPr>
        <w:t xml:space="preserve">10.2 The intervention</w:t>
      </w:r>
    </w:p>
    <w:p>
      <w:pPr>
        <w:spacing w:after="80" w:before="80" w:line="276"/>
        <w:jc w:val="left"/>
      </w:pPr>
      <w:r>
        <w:rPr>
          <w:rFonts w:ascii="Arial" w:cs="Arial" w:eastAsia="Arial" w:hAnsi="Arial"/>
          <w:b w:val="false"/>
          <w:bCs w:val="false"/>
          <w:i w:val="false"/>
          <w:iCs w:val="false"/>
          <w:color w:val="222222"/>
          <w:sz w:val="22"/>
          <w:szCs w:val="22"/>
        </w:rPr>
        <w:t xml:space="preserve">The spilled oil is transmogrified into barrels — the mess is gathered back into contained form rather than left as a stain. The method shown is not a committee and not a fleet of skimmers. It is the character’s own generated object.</w:t>
      </w:r>
    </w:p>
    <w:p>
      <w:pPr>
        <w:pStyle w:val="Heading2"/>
        <w:spacing w:after="100" w:before="280"/>
      </w:pPr>
      <w:r>
        <w:rPr>
          <w:rFonts w:ascii="Arial" w:cs="Arial" w:eastAsia="Arial" w:hAnsi="Arial"/>
          <w:b/>
          <w:bCs/>
          <w:color w:val="8A6D3B"/>
          <w:sz w:val="26"/>
          <w:szCs w:val="26"/>
        </w:rPr>
        <w:t xml:space="preserve">10.3 The Earth in the palm</w:t>
      </w:r>
    </w:p>
    <w:p>
      <w:pPr>
        <w:spacing w:after="80" w:before="80" w:line="276"/>
        <w:jc w:val="left"/>
      </w:pPr>
      <w:r>
        <w:rPr>
          <w:rFonts w:ascii="Arial" w:cs="Arial" w:eastAsia="Arial" w:hAnsi="Arial"/>
          <w:b w:val="false"/>
          <w:bCs w:val="false"/>
          <w:i w:val="false"/>
          <w:iCs w:val="false"/>
          <w:color w:val="222222"/>
          <w:sz w:val="22"/>
          <w:szCs w:val="22"/>
        </w:rPr>
        <w:t xml:space="preserve">The character generates an object in the palm of the hand: a rendering of Earth. The reference image in the voice note is the familiar network-globe graphic used to stand in for “the internet” — a sphere wrapped in vertical and horizontal lines. The object in this scene is not that graphic. It is an actual three-dimensional model of Earth. The character can zoom, pull real-time information, and make alterations from that model.</w:t>
      </w:r>
    </w:p>
    <w:p>
      <w:pPr>
        <w:spacing w:after="80" w:before="80" w:line="276"/>
        <w:jc w:val="left"/>
      </w:pPr>
      <w:r>
        <w:rPr>
          <w:rFonts w:ascii="Arial" w:cs="Arial" w:eastAsia="Arial" w:hAnsi="Arial"/>
          <w:b w:val="false"/>
          <w:bCs w:val="false"/>
          <w:i w:val="false"/>
          <w:iCs w:val="false"/>
          <w:color w:val="222222"/>
          <w:sz w:val="22"/>
          <w:szCs w:val="22"/>
        </w:rPr>
        <w:t xml:space="preserve">Functionally, the palm-Earth is both instrument and statement: the character is not guessing from the shoreline. He is working from a live planetary view while standing inside a local disaster.</w:t>
      </w:r>
    </w:p>
    <w:p>
      <w:pPr>
        <w:pStyle w:val="Heading2"/>
        <w:spacing w:after="100" w:before="280"/>
      </w:pPr>
      <w:r>
        <w:rPr>
          <w:rFonts w:ascii="Arial" w:cs="Arial" w:eastAsia="Arial" w:hAnsi="Arial"/>
          <w:b/>
          <w:bCs/>
          <w:color w:val="8A6D3B"/>
          <w:sz w:val="26"/>
          <w:szCs w:val="26"/>
        </w:rPr>
        <w:t xml:space="preserve">10.4 The argument afterward</w:t>
      </w:r>
    </w:p>
    <w:p>
      <w:pPr>
        <w:spacing w:after="80" w:before="80" w:line="276"/>
        <w:jc w:val="left"/>
      </w:pPr>
      <w:r>
        <w:rPr>
          <w:rFonts w:ascii="Arial" w:cs="Arial" w:eastAsia="Arial" w:hAnsi="Arial"/>
          <w:b w:val="false"/>
          <w:bCs w:val="false"/>
          <w:i w:val="false"/>
          <w:iCs w:val="false"/>
          <w:color w:val="222222"/>
          <w:sz w:val="22"/>
          <w:szCs w:val="22"/>
        </w:rPr>
        <w:t xml:space="preserve">The feat is not the end of the scene. The argument that follows is the doctrine test:</w:t>
      </w:r>
    </w:p>
    <w:p>
      <w:pPr>
        <w:pStyle w:val="ListParagraph"/>
        <w:numPr>
          <w:ilvl w:val="0"/>
          <w:numId w:val="2"/>
        </w:numPr>
        <w:spacing w:after="40" w:before="40" w:line="276"/>
      </w:pPr>
      <w:r>
        <w:rPr>
          <w:rFonts w:ascii="Arial" w:cs="Arial" w:eastAsia="Arial" w:hAnsi="Arial"/>
          <w:color w:val="222222"/>
          <w:sz w:val="22"/>
          <w:szCs w:val="22"/>
        </w:rPr>
        <w:t xml:space="preserve">Why would we just give them back the oil they spilled.</w:t>
      </w:r>
    </w:p>
    <w:p>
      <w:pPr>
        <w:pStyle w:val="ListParagraph"/>
        <w:numPr>
          <w:ilvl w:val="0"/>
          <w:numId w:val="2"/>
        </w:numPr>
        <w:spacing w:after="40" w:before="40" w:line="276"/>
      </w:pPr>
      <w:r>
        <w:rPr>
          <w:rFonts w:ascii="Arial" w:cs="Arial" w:eastAsia="Arial" w:hAnsi="Arial"/>
          <w:color w:val="222222"/>
          <w:sz w:val="22"/>
          <w:szCs w:val="22"/>
        </w:rPr>
        <w:t xml:space="preserve">What do they learn if we do.</w:t>
      </w:r>
    </w:p>
    <w:p>
      <w:pPr>
        <w:pStyle w:val="ListParagraph"/>
        <w:numPr>
          <w:ilvl w:val="0"/>
          <w:numId w:val="2"/>
        </w:numPr>
        <w:spacing w:after="40" w:before="40" w:line="276"/>
      </w:pPr>
      <w:r>
        <w:rPr>
          <w:rFonts w:ascii="Arial" w:cs="Arial" w:eastAsia="Arial" w:hAnsi="Arial"/>
          <w:color w:val="222222"/>
          <w:sz w:val="22"/>
          <w:szCs w:val="22"/>
        </w:rPr>
        <w:t xml:space="preserve">Why are we doing this dirty-work cleanup for them.</w:t>
      </w:r>
    </w:p>
    <w:p>
      <w:pPr>
        <w:pStyle w:val="ListParagraph"/>
        <w:numPr>
          <w:ilvl w:val="0"/>
          <w:numId w:val="2"/>
        </w:numPr>
        <w:spacing w:after="40" w:before="40" w:line="276"/>
      </w:pPr>
      <w:r>
        <w:rPr>
          <w:rFonts w:ascii="Arial" w:cs="Arial" w:eastAsia="Arial" w:hAnsi="Arial"/>
          <w:color w:val="222222"/>
          <w:sz w:val="22"/>
          <w:szCs w:val="22"/>
        </w:rPr>
        <w:t xml:space="preserve">If we restore the product, they profit from the experience.</w:t>
      </w:r>
    </w:p>
    <w:p>
      <w:pPr>
        <w:spacing w:after="80" w:before="80" w:line="276"/>
        <w:jc w:val="left"/>
      </w:pPr>
      <w:r>
        <w:rPr>
          <w:rFonts w:ascii="Arial" w:cs="Arial" w:eastAsia="Arial" w:hAnsi="Arial"/>
          <w:b w:val="false"/>
          <w:bCs w:val="false"/>
          <w:i w:val="false"/>
          <w:iCs w:val="false"/>
          <w:color w:val="222222"/>
          <w:sz w:val="22"/>
          <w:szCs w:val="22"/>
        </w:rPr>
        <w:t xml:space="preserve">Containment of harm to community and wildlife can be separated, in principle, from restoration of the commodity. The voice note treats that separation as the live question, not as a solved policy.</w:t>
      </w:r>
    </w:p>
    <w:p>
      <w:pPr>
        <w:pStyle w:val="Heading2"/>
        <w:spacing w:after="100" w:before="280"/>
      </w:pPr>
      <w:r>
        <w:rPr>
          <w:rFonts w:ascii="Arial" w:cs="Arial" w:eastAsia="Arial" w:hAnsi="Arial"/>
          <w:b/>
          <w:bCs/>
          <w:color w:val="8A6D3B"/>
          <w:sz w:val="26"/>
          <w:szCs w:val="26"/>
        </w:rPr>
        <w:t xml:space="preserve">10.5 Open items</w:t>
      </w:r>
    </w:p>
    <w:p>
      <w:pPr>
        <w:pStyle w:val="ListParagraph"/>
        <w:numPr>
          <w:ilvl w:val="0"/>
          <w:numId w:val="2"/>
        </w:numPr>
        <w:spacing w:after="40" w:before="40" w:line="276"/>
      </w:pPr>
      <w:r>
        <w:rPr>
          <w:rFonts w:ascii="Arial" w:cs="Arial" w:eastAsia="Arial" w:hAnsi="Arial"/>
          <w:color w:val="222222"/>
          <w:sz w:val="22"/>
          <w:szCs w:val="22"/>
        </w:rPr>
        <w:t xml:space="preserve">Is the newscaster a witness, a narrator, or a participant who later carries the argument.</w:t>
      </w:r>
    </w:p>
    <w:p>
      <w:pPr>
        <w:pStyle w:val="ListParagraph"/>
        <w:numPr>
          <w:ilvl w:val="0"/>
          <w:numId w:val="2"/>
        </w:numPr>
        <w:spacing w:after="40" w:before="40" w:line="276"/>
      </w:pPr>
      <w:r>
        <w:rPr>
          <w:rFonts w:ascii="Arial" w:cs="Arial" w:eastAsia="Arial" w:hAnsi="Arial"/>
          <w:color w:val="222222"/>
          <w:sz w:val="22"/>
          <w:szCs w:val="22"/>
        </w:rPr>
        <w:t xml:space="preserve">Are the barrels returned to the responsible party, sequestered, or destroyed.</w:t>
      </w:r>
    </w:p>
    <w:p>
      <w:pPr>
        <w:pStyle w:val="ListParagraph"/>
        <w:numPr>
          <w:ilvl w:val="0"/>
          <w:numId w:val="2"/>
        </w:numPr>
        <w:spacing w:after="40" w:before="40" w:line="276"/>
      </w:pPr>
      <w:r>
        <w:rPr>
          <w:rFonts w:ascii="Arial" w:cs="Arial" w:eastAsia="Arial" w:hAnsi="Arial"/>
          <w:color w:val="222222"/>
          <w:sz w:val="22"/>
          <w:szCs w:val="22"/>
        </w:rPr>
        <w:t xml:space="preserve">Does the palm-Earth appear in other field cases, or only here.</w:t>
      </w:r>
    </w:p>
    <w:p>
      <w:pPr>
        <w:pStyle w:val="ListParagraph"/>
        <w:numPr>
          <w:ilvl w:val="0"/>
          <w:numId w:val="2"/>
        </w:numPr>
        <w:spacing w:after="40" w:before="40" w:line="276"/>
      </w:pPr>
      <w:r>
        <w:rPr>
          <w:rFonts w:ascii="Arial" w:cs="Arial" w:eastAsia="Arial" w:hAnsi="Arial"/>
          <w:color w:val="222222"/>
          <w:sz w:val="22"/>
          <w:szCs w:val="22"/>
        </w:rPr>
        <w:t xml:space="preserve">Record the animation notes as a visual bible entry: palm generation, 3D Earth, zoom, live data, alteration.</w:t>
      </w:r>
    </w:p>
    <w:p>
      <w:pPr>
        <w:pStyle w:val="Heading1"/>
        <w:pBdr>
          <w:bottom w:val="single" w:color="8A6D3B" w:sz="12" w:space="4"/>
        </w:pBdr>
        <w:spacing w:after="160" w:before="360"/>
      </w:pPr>
      <w:r>
        <w:rPr>
          <w:rFonts w:ascii="Arial" w:cs="Arial" w:eastAsia="Arial" w:hAnsi="Arial"/>
          <w:b/>
          <w:bCs/>
          <w:color w:val="1B2A4A"/>
          <w:sz w:val="32"/>
          <w:szCs w:val="32"/>
        </w:rPr>
        <w:t xml:space="preserve">11. FLD-02 — Nuclear Test and Absorbed Strike</w:t>
      </w:r>
    </w:p>
    <w:p>
      <w:pPr>
        <w:pStyle w:val="Heading2"/>
        <w:spacing w:after="100" w:before="280"/>
      </w:pPr>
      <w:r>
        <w:rPr>
          <w:rFonts w:ascii="Arial" w:cs="Arial" w:eastAsia="Arial" w:hAnsi="Arial"/>
          <w:b/>
          <w:bCs/>
          <w:color w:val="8A6D3B"/>
          <w:sz w:val="26"/>
          <w:szCs w:val="26"/>
        </w:rPr>
        <w:t xml:space="preserve">11.1 Scene as recalled</w:t>
      </w:r>
    </w:p>
    <w:p>
      <w:pPr>
        <w:spacing w:after="80" w:before="80" w:line="276"/>
        <w:jc w:val="left"/>
      </w:pPr>
      <w:r>
        <w:rPr>
          <w:rFonts w:ascii="Arial" w:cs="Arial" w:eastAsia="Arial" w:hAnsi="Arial"/>
          <w:b w:val="false"/>
          <w:bCs w:val="false"/>
          <w:i w:val="false"/>
          <w:iCs w:val="false"/>
          <w:color w:val="222222"/>
          <w:sz w:val="22"/>
          <w:szCs w:val="22"/>
        </w:rPr>
        <w:t xml:space="preserve">A coordinated effort among different nations is underway to test their arsenals. In the event as remembered, the test does not stay inside the announced frame. An attack is launched. The character who belongs to the scene absorbs and neutralizes it.</w:t>
      </w:r>
    </w:p>
    <w:p>
      <w:pPr>
        <w:pStyle w:val="Heading2"/>
        <w:spacing w:after="100" w:before="280"/>
      </w:pPr>
      <w:r>
        <w:rPr>
          <w:rFonts w:ascii="Arial" w:cs="Arial" w:eastAsia="Arial" w:hAnsi="Arial"/>
          <w:b/>
          <w:bCs/>
          <w:color w:val="8A6D3B"/>
          <w:sz w:val="26"/>
          <w:szCs w:val="26"/>
        </w:rPr>
        <w:t xml:space="preserve">11.2 What was not written last time</w:t>
      </w:r>
    </w:p>
    <w:p>
      <w:pPr>
        <w:spacing w:after="80" w:before="80" w:line="276"/>
        <w:jc w:val="left"/>
      </w:pPr>
      <w:r>
        <w:rPr>
          <w:rFonts w:ascii="Arial" w:cs="Arial" w:eastAsia="Arial" w:hAnsi="Arial"/>
          <w:b w:val="false"/>
          <w:bCs w:val="false"/>
          <w:i w:val="false"/>
          <w:iCs w:val="false"/>
          <w:color w:val="222222"/>
          <w:sz w:val="22"/>
          <w:szCs w:val="22"/>
        </w:rPr>
        <w:t xml:space="preserve">Prior documentation did not state an overall purpose for the testing, why the testing was needed, or what the outcome was supposed to mean. This file records that absence instead of filling it.</w:t>
      </w:r>
    </w:p>
    <w:p>
      <w:pPr>
        <w:pStyle w:val="Heading2"/>
        <w:spacing w:after="100" w:before="280"/>
      </w:pPr>
      <w:r>
        <w:rPr>
          <w:rFonts w:ascii="Arial" w:cs="Arial" w:eastAsia="Arial" w:hAnsi="Arial"/>
          <w:b/>
          <w:bCs/>
          <w:color w:val="8A6D3B"/>
          <w:sz w:val="26"/>
          <w:szCs w:val="26"/>
        </w:rPr>
        <w:t xml:space="preserve">11.3 What the scene currently does</w:t>
      </w:r>
    </w:p>
    <w:p>
      <w:pPr>
        <w:spacing w:after="80" w:before="80" w:line="276"/>
        <w:jc w:val="left"/>
      </w:pPr>
      <w:r>
        <w:rPr>
          <w:rFonts w:ascii="Arial" w:cs="Arial" w:eastAsia="Arial" w:hAnsi="Arial"/>
          <w:b w:val="false"/>
          <w:bCs w:val="false"/>
          <w:i w:val="false"/>
          <w:iCs w:val="false"/>
          <w:color w:val="222222"/>
          <w:sz w:val="22"/>
          <w:szCs w:val="22"/>
        </w:rPr>
        <w:t xml:space="preserve">It establishes a ceiling on spectacle. A multinational launch can be made theatrically large. The character’s response is not a counter-launch. It is absorption and neutralization. Power is shown as interruption of the test’s intended lesson, not as participation in the exchange.</w:t>
      </w:r>
    </w:p>
    <w:p>
      <w:pPr>
        <w:pStyle w:val="Heading2"/>
        <w:spacing w:after="100" w:before="280"/>
      </w:pPr>
      <w:r>
        <w:rPr>
          <w:rFonts w:ascii="Arial" w:cs="Arial" w:eastAsia="Arial" w:hAnsi="Arial"/>
          <w:b/>
          <w:bCs/>
          <w:color w:val="8A6D3B"/>
          <w:sz w:val="26"/>
          <w:szCs w:val="26"/>
        </w:rPr>
        <w:t xml:space="preserve">11.4 Questions the scene still owes the archive</w:t>
      </w:r>
    </w:p>
    <w:p>
      <w:pPr>
        <w:pStyle w:val="ListParagraph"/>
        <w:numPr>
          <w:ilvl w:val="0"/>
          <w:numId w:val="2"/>
        </w:numPr>
        <w:spacing w:after="40" w:before="40" w:line="276"/>
      </w:pPr>
      <w:r>
        <w:rPr>
          <w:rFonts w:ascii="Arial" w:cs="Arial" w:eastAsia="Arial" w:hAnsi="Arial"/>
          <w:color w:val="222222"/>
          <w:sz w:val="22"/>
          <w:szCs w:val="22"/>
        </w:rPr>
        <w:t xml:space="preserve">Was the “test” always a cover for a strike, or did the strike interrupt a genuine test.</w:t>
      </w:r>
    </w:p>
    <w:p>
      <w:pPr>
        <w:pStyle w:val="ListParagraph"/>
        <w:numPr>
          <w:ilvl w:val="0"/>
          <w:numId w:val="2"/>
        </w:numPr>
        <w:spacing w:after="40" w:before="40" w:line="276"/>
      </w:pPr>
      <w:r>
        <w:rPr>
          <w:rFonts w:ascii="Arial" w:cs="Arial" w:eastAsia="Arial" w:hAnsi="Arial"/>
          <w:color w:val="222222"/>
          <w:sz w:val="22"/>
          <w:szCs w:val="22"/>
        </w:rPr>
        <w:t xml:space="preserve">Who coordinated the nations, and who authorized the launch.</w:t>
      </w:r>
    </w:p>
    <w:p>
      <w:pPr>
        <w:pStyle w:val="ListParagraph"/>
        <w:numPr>
          <w:ilvl w:val="0"/>
          <w:numId w:val="2"/>
        </w:numPr>
        <w:spacing w:after="40" w:before="40" w:line="276"/>
      </w:pPr>
      <w:r>
        <w:rPr>
          <w:rFonts w:ascii="Arial" w:cs="Arial" w:eastAsia="Arial" w:hAnsi="Arial"/>
          <w:color w:val="222222"/>
          <w:sz w:val="22"/>
          <w:szCs w:val="22"/>
        </w:rPr>
        <w:t xml:space="preserve">What the neutralized event is allowed to prove inside the universe — deterrence, restraint, or simply that the character will not let the demonstration complete.</w:t>
      </w:r>
    </w:p>
    <w:p>
      <w:pPr>
        <w:pStyle w:val="ListParagraph"/>
        <w:numPr>
          <w:ilvl w:val="0"/>
          <w:numId w:val="2"/>
        </w:numPr>
        <w:spacing w:after="40" w:before="40" w:line="276"/>
      </w:pPr>
      <w:r>
        <w:rPr>
          <w:rFonts w:ascii="Arial" w:cs="Arial" w:eastAsia="Arial" w:hAnsi="Arial"/>
          <w:color w:val="222222"/>
          <w:sz w:val="22"/>
          <w:szCs w:val="22"/>
        </w:rPr>
        <w:t xml:space="preserve">Whether any petition later tries to recast the neutralization as a taking of sides.</w:t>
      </w:r>
    </w:p>
    <w:p>
      <w:pPr>
        <w:pStyle w:val="Heading1"/>
        <w:pBdr>
          <w:bottom w:val="single" w:color="8A6D3B" w:sz="12" w:space="4"/>
        </w:pBdr>
        <w:spacing w:after="160" w:before="360"/>
      </w:pPr>
      <w:r>
        <w:rPr>
          <w:rFonts w:ascii="Arial" w:cs="Arial" w:eastAsia="Arial" w:hAnsi="Arial"/>
          <w:b/>
          <w:bCs/>
          <w:color w:val="1B2A4A"/>
          <w:sz w:val="32"/>
          <w:szCs w:val="32"/>
        </w:rPr>
        <w:t xml:space="preserve">12. Cross-Case Map</w:t>
      </w:r>
    </w:p>
    <w:p>
      <w:pPr>
        <w:spacing w:after="80" w:before="80" w:line="276"/>
        <w:jc w:val="left"/>
      </w:pPr>
      <w:r>
        <w:rPr>
          <w:rFonts w:ascii="Arial" w:cs="Arial" w:eastAsia="Arial" w:hAnsi="Arial"/>
          <w:b w:val="false"/>
          <w:bCs w:val="false"/>
          <w:i w:val="false"/>
          <w:iCs w:val="false"/>
          <w:color w:val="222222"/>
          <w:sz w:val="22"/>
          <w:szCs w:val="22"/>
        </w:rPr>
        <w:t xml:space="preserve">The files share a single spine. Mapping it now will keep the second pass from treating each scene as a disconnected set piece.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Case</w:t>
            </w:r>
          </w:p>
        </w:tc>
        <w:tc>
          <w:tcPr>
            <w:tcW w:type="dxa" w:w="676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color w:val="FFFFFF"/>
                <w:sz w:val="20"/>
                <w:szCs w:val="20"/>
              </w:rPr>
              <w:t xml:space="preserve">Doctrine under test</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OLY-01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Offices must perform their own work; capacity to replace them is not a reason to manage them.</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SLO-01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Not yet mapped — title reserved.</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PET-SYS</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Language is filed; intent is heard.</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Covering a deficit is not the same as correcting the cause of the deficit.</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PET-02</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 hearing may hold harm without accepting the role of accused.</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PET-03</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A granted audience is the place where a false ask is named.</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FLD-01</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Removing harm is not identical to returning profit.</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FLD-02</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Neutralizing a strike is not the same as explaining the test.</w:t>
            </w:r>
          </w:p>
        </w:tc>
      </w:tr>
    </w:tbl>
    <w:p>
      <w:pPr>
        <w:pStyle w:val="Heading1"/>
        <w:pBdr>
          <w:bottom w:val="single" w:color="8A6D3B" w:sz="12" w:space="4"/>
        </w:pBdr>
        <w:spacing w:after="160" w:before="360"/>
      </w:pPr>
      <w:r>
        <w:rPr>
          <w:rFonts w:ascii="Arial" w:cs="Arial" w:eastAsia="Arial" w:hAnsi="Arial"/>
          <w:b/>
          <w:bCs/>
          <w:color w:val="1B2A4A"/>
          <w:sz w:val="32"/>
          <w:szCs w:val="32"/>
        </w:rPr>
        <w:t xml:space="preserve">13. Visual and Continuity Notes</w:t>
      </w:r>
    </w:p>
    <w:p>
      <w:pPr>
        <w:pStyle w:val="Heading3"/>
        <w:spacing w:after="80" w:before="200"/>
      </w:pPr>
      <w:r>
        <w:rPr>
          <w:rFonts w:ascii="Arial" w:cs="Arial" w:eastAsia="Arial" w:hAnsi="Arial"/>
          <w:b/>
          <w:bCs/>
          <w:color w:val="334155"/>
          <w:sz w:val="24"/>
          <w:szCs w:val="24"/>
        </w:rPr>
        <w:t xml:space="preserve">13.1 The palm-Earth</w:t>
      </w:r>
    </w:p>
    <w:p>
      <w:pPr>
        <w:spacing w:after="80" w:before="80" w:line="276"/>
        <w:jc w:val="left"/>
      </w:pPr>
      <w:r>
        <w:rPr>
          <w:rFonts w:ascii="Arial" w:cs="Arial" w:eastAsia="Arial" w:hAnsi="Arial"/>
          <w:b w:val="false"/>
          <w:bCs w:val="false"/>
          <w:i w:val="false"/>
          <w:iCs w:val="false"/>
          <w:color w:val="222222"/>
          <w:sz w:val="22"/>
          <w:szCs w:val="22"/>
        </w:rPr>
        <w:t xml:space="preserve">Do not storyboard this as a wireframe network globe. The voice note distinguishes that cliché from the object that appears. Specs for later art and animation:</w:t>
      </w:r>
    </w:p>
    <w:p>
      <w:pPr>
        <w:pStyle w:val="ListParagraph"/>
        <w:numPr>
          <w:ilvl w:val="0"/>
          <w:numId w:val="2"/>
        </w:numPr>
        <w:spacing w:after="40" w:before="40" w:line="276"/>
      </w:pPr>
      <w:r>
        <w:rPr>
          <w:rFonts w:ascii="Arial" w:cs="Arial" w:eastAsia="Arial" w:hAnsi="Arial"/>
          <w:color w:val="222222"/>
          <w:sz w:val="22"/>
          <w:szCs w:val="22"/>
        </w:rPr>
        <w:t xml:space="preserve">Generated in the palm; it is an object, not a hologram floating unattached unless later specified.</w:t>
      </w:r>
    </w:p>
    <w:p>
      <w:pPr>
        <w:pStyle w:val="ListParagraph"/>
        <w:numPr>
          <w:ilvl w:val="0"/>
          <w:numId w:val="2"/>
        </w:numPr>
        <w:spacing w:after="40" w:before="40" w:line="276"/>
      </w:pPr>
      <w:r>
        <w:rPr>
          <w:rFonts w:ascii="Arial" w:cs="Arial" w:eastAsia="Arial" w:hAnsi="Arial"/>
          <w:color w:val="222222"/>
          <w:sz w:val="22"/>
          <w:szCs w:val="22"/>
        </w:rPr>
        <w:t xml:space="preserve">True 3D terrestrial model, not an icon.</w:t>
      </w:r>
    </w:p>
    <w:p>
      <w:pPr>
        <w:pStyle w:val="ListParagraph"/>
        <w:numPr>
          <w:ilvl w:val="0"/>
          <w:numId w:val="2"/>
        </w:numPr>
        <w:spacing w:after="40" w:before="40" w:line="276"/>
      </w:pPr>
      <w:r>
        <w:rPr>
          <w:rFonts w:ascii="Arial" w:cs="Arial" w:eastAsia="Arial" w:hAnsi="Arial"/>
          <w:color w:val="222222"/>
          <w:sz w:val="22"/>
          <w:szCs w:val="22"/>
        </w:rPr>
        <w:t xml:space="preserve">Zoom is diegetic — the character uses it, he does not merely display it.</w:t>
      </w:r>
    </w:p>
    <w:p>
      <w:pPr>
        <w:pStyle w:val="ListParagraph"/>
        <w:numPr>
          <w:ilvl w:val="0"/>
          <w:numId w:val="2"/>
        </w:numPr>
        <w:spacing w:after="40" w:before="40" w:line="276"/>
      </w:pPr>
      <w:r>
        <w:rPr>
          <w:rFonts w:ascii="Arial" w:cs="Arial" w:eastAsia="Arial" w:hAnsi="Arial"/>
          <w:color w:val="222222"/>
          <w:sz w:val="22"/>
          <w:szCs w:val="22"/>
        </w:rPr>
        <w:t xml:space="preserve">Real-time information is available through the model.</w:t>
      </w:r>
    </w:p>
    <w:p>
      <w:pPr>
        <w:pStyle w:val="ListParagraph"/>
        <w:numPr>
          <w:ilvl w:val="0"/>
          <w:numId w:val="2"/>
        </w:numPr>
        <w:spacing w:after="40" w:before="40" w:line="276"/>
      </w:pPr>
      <w:r>
        <w:rPr>
          <w:rFonts w:ascii="Arial" w:cs="Arial" w:eastAsia="Arial" w:hAnsi="Arial"/>
          <w:color w:val="222222"/>
          <w:sz w:val="22"/>
          <w:szCs w:val="22"/>
        </w:rPr>
        <w:t xml:space="preserve">Alterations can be made from it. What “alteration” is allowed to touch remains a second-pass decision.</w:t>
      </w:r>
    </w:p>
    <w:p>
      <w:pPr>
        <w:pStyle w:val="Heading3"/>
        <w:spacing w:after="80" w:before="200"/>
      </w:pPr>
      <w:r>
        <w:rPr>
          <w:rFonts w:ascii="Arial" w:cs="Arial" w:eastAsia="Arial" w:hAnsi="Arial"/>
          <w:b/>
          <w:bCs/>
          <w:color w:val="334155"/>
          <w:sz w:val="24"/>
          <w:szCs w:val="24"/>
        </w:rPr>
        <w:t xml:space="preserve">13.2 Chamber versus field</w:t>
      </w:r>
    </w:p>
    <w:p>
      <w:pPr>
        <w:spacing w:after="80" w:before="80" w:line="276"/>
        <w:jc w:val="left"/>
      </w:pPr>
      <w:r>
        <w:rPr>
          <w:rFonts w:ascii="Arial" w:cs="Arial" w:eastAsia="Arial" w:hAnsi="Arial"/>
          <w:b w:val="false"/>
          <w:bCs w:val="false"/>
          <w:i w:val="false"/>
          <w:iCs w:val="false"/>
          <w:color w:val="222222"/>
          <w:sz w:val="22"/>
          <w:szCs w:val="22"/>
        </w:rPr>
        <w:t xml:space="preserve">Court scenes are language, posture, and discrepancy. Field scenes are public, witnessed, and followed by an ethics argument. Keep the two textures distinct so the universe does not turn every problem into a speech or every speech into a miracle.</w:t>
      </w:r>
    </w:p>
    <w:p>
      <w:pPr>
        <w:pStyle w:val="Heading3"/>
        <w:spacing w:after="80" w:before="200"/>
      </w:pPr>
      <w:r>
        <w:rPr>
          <w:rFonts w:ascii="Arial" w:cs="Arial" w:eastAsia="Arial" w:hAnsi="Arial"/>
          <w:b/>
          <w:bCs/>
          <w:color w:val="334155"/>
          <w:sz w:val="24"/>
          <w:szCs w:val="24"/>
        </w:rPr>
        <w:t xml:space="preserve">13.3 Voice of the central character</w:t>
      </w:r>
    </w:p>
    <w:p>
      <w:pPr>
        <w:spacing w:after="80" w:before="80" w:line="276"/>
        <w:jc w:val="left"/>
      </w:pPr>
      <w:r>
        <w:rPr>
          <w:rFonts w:ascii="Arial" w:cs="Arial" w:eastAsia="Arial" w:hAnsi="Arial"/>
          <w:b w:val="false"/>
          <w:bCs w:val="false"/>
          <w:i w:val="false"/>
          <w:iCs w:val="false"/>
          <w:color w:val="222222"/>
          <w:sz w:val="22"/>
          <w:szCs w:val="22"/>
        </w:rPr>
        <w:t xml:space="preserve">Across Olympus, the court, and the aftermath arguments, the voice is consistent: calm first, then exact. When the voice rises, it is because someone is trying to relocate blame or cash a miracle as a refund. The character does not narrate his own power as a personality trait. He states capacity only when an office is failing or a petitioner is bargaining in bad faith.</w:t>
      </w:r>
    </w:p>
    <w:p>
      <w:pPr>
        <w:pStyle w:val="Heading1"/>
        <w:pBdr>
          <w:bottom w:val="single" w:color="8A6D3B" w:sz="12" w:space="4"/>
        </w:pBdr>
        <w:spacing w:after="160" w:before="360"/>
      </w:pPr>
      <w:r>
        <w:rPr>
          <w:rFonts w:ascii="Arial" w:cs="Arial" w:eastAsia="Arial" w:hAnsi="Arial"/>
          <w:b/>
          <w:bCs/>
          <w:color w:val="1B2A4A"/>
          <w:sz w:val="32"/>
          <w:szCs w:val="32"/>
        </w:rPr>
        <w:t xml:space="preserve">14. Second-Pass Checklist</w:t>
      </w:r>
    </w:p>
    <w:p>
      <w:pPr>
        <w:spacing w:after="80" w:before="80" w:line="276"/>
        <w:jc w:val="left"/>
      </w:pPr>
      <w:r>
        <w:rPr>
          <w:rFonts w:ascii="Arial" w:cs="Arial" w:eastAsia="Arial" w:hAnsi="Arial"/>
          <w:b w:val="false"/>
          <w:bCs w:val="false"/>
          <w:i w:val="false"/>
          <w:iCs w:val="false"/>
          <w:color w:val="222222"/>
          <w:sz w:val="22"/>
          <w:szCs w:val="22"/>
        </w:rPr>
        <w:t xml:space="preserve">This list is the work the owner asked to do with the rest of the collaborative team before a final drive copy is generated.</w:t>
      </w:r>
    </w:p>
    <w:p>
      <w:pPr>
        <w:pStyle w:val="ListParagraph"/>
        <w:numPr>
          <w:ilvl w:val="0"/>
          <w:numId w:val="2"/>
        </w:numPr>
        <w:spacing w:after="40" w:before="40" w:line="276"/>
      </w:pPr>
      <w:r>
        <w:rPr>
          <w:rFonts w:ascii="Arial" w:cs="Arial" w:eastAsia="Arial" w:hAnsi="Arial"/>
          <w:color w:val="222222"/>
          <w:sz w:val="22"/>
          <w:szCs w:val="22"/>
        </w:rPr>
        <w:t xml:space="preserve">Supply the missing body of SLO-01 or confirm that the title-only entry should remain a stub.</w:t>
      </w:r>
    </w:p>
    <w:p>
      <w:pPr>
        <w:pStyle w:val="ListParagraph"/>
        <w:numPr>
          <w:ilvl w:val="0"/>
          <w:numId w:val="2"/>
        </w:numPr>
        <w:spacing w:after="40" w:before="40" w:line="276"/>
      </w:pPr>
      <w:r>
        <w:rPr>
          <w:rFonts w:ascii="Arial" w:cs="Arial" w:eastAsia="Arial" w:hAnsi="Arial"/>
          <w:color w:val="222222"/>
          <w:sz w:val="22"/>
          <w:szCs w:val="22"/>
        </w:rPr>
        <w:t xml:space="preserve">Enumerate the unaddressed Olympian duties.</w:t>
      </w:r>
    </w:p>
    <w:p>
      <w:pPr>
        <w:pStyle w:val="ListParagraph"/>
        <w:numPr>
          <w:ilvl w:val="0"/>
          <w:numId w:val="2"/>
        </w:numPr>
        <w:spacing w:after="40" w:before="40" w:line="276"/>
      </w:pPr>
      <w:r>
        <w:rPr>
          <w:rFonts w:ascii="Arial" w:cs="Arial" w:eastAsia="Arial" w:hAnsi="Arial"/>
          <w:color w:val="222222"/>
          <w:sz w:val="22"/>
          <w:szCs w:val="22"/>
        </w:rPr>
        <w:t xml:space="preserve">Decide the disposition of the recovered oil barrels.</w:t>
      </w:r>
    </w:p>
    <w:p>
      <w:pPr>
        <w:pStyle w:val="ListParagraph"/>
        <w:numPr>
          <w:ilvl w:val="0"/>
          <w:numId w:val="2"/>
        </w:numPr>
        <w:spacing w:after="40" w:before="40" w:line="276"/>
      </w:pPr>
      <w:r>
        <w:rPr>
          <w:rFonts w:ascii="Arial" w:cs="Arial" w:eastAsia="Arial" w:hAnsi="Arial"/>
          <w:color w:val="222222"/>
          <w:sz w:val="22"/>
          <w:szCs w:val="22"/>
        </w:rPr>
        <w:t xml:space="preserve">Write the purpose and intended meaning of the nuclear test, or formally record that the universe withholds that purpose.</w:t>
      </w:r>
    </w:p>
    <w:p>
      <w:pPr>
        <w:pStyle w:val="ListParagraph"/>
        <w:numPr>
          <w:ilvl w:val="0"/>
          <w:numId w:val="2"/>
        </w:numPr>
        <w:spacing w:after="40" w:before="40" w:line="276"/>
      </w:pPr>
      <w:r>
        <w:rPr>
          <w:rFonts w:ascii="Arial" w:cs="Arial" w:eastAsia="Arial" w:hAnsi="Arial"/>
          <w:color w:val="222222"/>
          <w:sz w:val="22"/>
          <w:szCs w:val="22"/>
        </w:rPr>
        <w:t xml:space="preserve">Name, or continue to withhold, the conflict behind PET-02.</w:t>
      </w:r>
    </w:p>
    <w:p>
      <w:pPr>
        <w:pStyle w:val="ListParagraph"/>
        <w:numPr>
          <w:ilvl w:val="0"/>
          <w:numId w:val="2"/>
        </w:numPr>
        <w:spacing w:after="40" w:before="40" w:line="276"/>
      </w:pPr>
      <w:r>
        <w:rPr>
          <w:rFonts w:ascii="Arial" w:cs="Arial" w:eastAsia="Arial" w:hAnsi="Arial"/>
          <w:color w:val="222222"/>
          <w:sz w:val="22"/>
          <w:szCs w:val="22"/>
        </w:rPr>
        <w:t xml:space="preserve">Confirm whether PET-03 is one case or a class of cases.</w:t>
      </w:r>
    </w:p>
    <w:p>
      <w:pPr>
        <w:pStyle w:val="ListParagraph"/>
        <w:numPr>
          <w:ilvl w:val="0"/>
          <w:numId w:val="2"/>
        </w:numPr>
        <w:spacing w:after="40" w:before="40" w:line="276"/>
      </w:pPr>
      <w:r>
        <w:rPr>
          <w:rFonts w:ascii="Arial" w:cs="Arial" w:eastAsia="Arial" w:hAnsi="Arial"/>
          <w:color w:val="222222"/>
          <w:sz w:val="22"/>
          <w:szCs w:val="22"/>
        </w:rPr>
        <w:t xml:space="preserve">Lock the public rules of the petition website: what can be filed, how short the window is, what a “grant” of hearing means.</w:t>
      </w:r>
    </w:p>
    <w:p>
      <w:pPr>
        <w:pStyle w:val="ListParagraph"/>
        <w:numPr>
          <w:ilvl w:val="0"/>
          <w:numId w:val="2"/>
        </w:numPr>
        <w:spacing w:after="40" w:before="40" w:line="276"/>
      </w:pPr>
      <w:r>
        <w:rPr>
          <w:rFonts w:ascii="Arial" w:cs="Arial" w:eastAsia="Arial" w:hAnsi="Arial"/>
          <w:color w:val="222222"/>
          <w:sz w:val="22"/>
          <w:szCs w:val="22"/>
        </w:rPr>
        <w:t xml:space="preserve">Reconcile independent first-pass versions from each collaborator; mark divergences rather than silently averaging them.</w:t>
      </w:r>
    </w:p>
    <w:p>
      <w:pPr>
        <w:pStyle w:val="Heading1"/>
        <w:pBdr>
          <w:bottom w:val="single" w:color="8A6D3B" w:sz="12" w:space="4"/>
        </w:pBdr>
        <w:spacing w:after="160" w:before="360"/>
      </w:pPr>
      <w:r>
        <w:rPr>
          <w:rFonts w:ascii="Arial" w:cs="Arial" w:eastAsia="Arial" w:hAnsi="Arial"/>
          <w:b/>
          <w:bCs/>
          <w:color w:val="1B2A4A"/>
          <w:sz w:val="32"/>
          <w:szCs w:val="32"/>
        </w:rPr>
        <w:t xml:space="preserve">15.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6760"/>
            <w:tcBorders>
              <w:top w:val="single" w:color="D6CBB8" w:sz="4"/>
              <w:left w:val="single" w:color="D6CBB8" w:sz="4"/>
              <w:bottom w:val="single" w:color="D6CBB8" w:sz="4"/>
              <w:right w:val="single" w:color="D6CBB8" w:sz="4"/>
            </w:tcBorders>
            <w:shd w:fill="1B2A4A" w:val="clear"/>
            <w:tcMar>
              <w:top w:type="dxa" w:w="80"/>
              <w:left w:type="dxa" w:w="120"/>
              <w:bottom w:type="dxa" w:w="80"/>
              <w:right w:type="dxa" w:w="120"/>
            </w:tcMar>
            <w:vAlign w:val="top"/>
          </w:tcPr>
          <w:p>
            <w:r>
              <w:rPr>
                <w:rFonts w:ascii="Arial" w:cs="Arial" w:eastAsia="Arial" w:hAnsi="Arial"/>
                <w:color w:val="FFFFFF"/>
                <w:sz w:val="20"/>
                <w:szCs w:val="20"/>
              </w:rPr>
              <w:t xml:space="preserve">Value</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Version</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1.0 — First independent pass (Grok)</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Source</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Owner voice note, 1 September 2026</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Method</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Structure and clarification only; no claim of recovered prior chat logs</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Next action</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Collaborative review, then a second generated PDF and DOCX</w:t>
            </w:r>
          </w:p>
        </w:tc>
      </w:tr>
      <w:tr>
        <w:tc>
          <w:tcPr>
            <w:tcW w:type="dxa" w:w="2600"/>
            <w:tcBorders>
              <w:top w:val="single" w:color="D6CBB8" w:sz="4"/>
              <w:left w:val="single" w:color="D6CBB8" w:sz="4"/>
              <w:bottom w:val="single" w:color="D6CBB8" w:sz="4"/>
              <w:right w:val="single" w:color="D6CBB8" w:sz="4"/>
            </w:tcBorders>
            <w:shd w:fill="EEF2F6" w:val="clear"/>
            <w:tcMar>
              <w:top w:type="dxa" w:w="80"/>
              <w:left w:type="dxa" w:w="120"/>
              <w:bottom w:type="dxa" w:w="80"/>
              <w:right w:type="dxa" w:w="120"/>
            </w:tcMar>
            <w:vAlign w:val="top"/>
          </w:tcPr>
          <w:p>
            <w:r>
              <w:rPr>
                <w:rFonts w:ascii="Arial" w:cs="Arial" w:eastAsia="Arial" w:hAnsi="Arial"/>
                <w:b/>
                <w:bCs/>
                <w:color w:val="1B2A4A"/>
                <w:sz w:val="20"/>
                <w:szCs w:val="20"/>
              </w:rPr>
              <w:t xml:space="preserve">Distribution</w:t>
            </w:r>
          </w:p>
        </w:tc>
        <w:tc>
          <w:tcPr>
            <w:tcW w:type="dxa" w:w="6760"/>
            <w:tcBorders>
              <w:top w:val="single" w:color="D6CBB8" w:sz="4"/>
              <w:left w:val="single" w:color="D6CBB8" w:sz="4"/>
              <w:bottom w:val="single" w:color="D6CBB8" w:sz="4"/>
              <w:right w:val="single" w:color="D6CBB8" w:sz="4"/>
            </w:tcBorders>
            <w:shd w:fill="FFFFFF" w:val="clear"/>
            <w:tcMar>
              <w:top w:type="dxa" w:w="80"/>
              <w:left w:type="dxa" w:w="120"/>
              <w:bottom w:type="dxa" w:w="80"/>
              <w:right w:type="dxa" w:w="120"/>
            </w:tcMar>
            <w:vAlign w:val="top"/>
          </w:tcPr>
          <w:p>
            <w:r>
              <w:rPr>
                <w:rFonts w:ascii="Arial" w:cs="Arial" w:eastAsia="Arial" w:hAnsi="Arial"/>
                <w:color w:val="222222"/>
                <w:sz w:val="20"/>
                <w:szCs w:val="20"/>
              </w:rPr>
              <w:t xml:space="preserve">Owner’s drives after review; not a public filing</w:t>
            </w:r>
          </w:p>
        </w:tc>
      </w:tr>
    </w:tbl>
    <w:p>
      <w:pPr>
        <w:spacing w:before="360"/>
      </w:pPr>
    </w:p>
    <w:p>
      <w:pPr>
        <w:spacing w:after="80" w:before="80" w:line="276"/>
        <w:jc w:val="center"/>
      </w:pPr>
      <w:r>
        <w:rPr>
          <w:rFonts w:ascii="Arial" w:cs="Arial" w:eastAsia="Arial" w:hAnsi="Arial"/>
          <w:b w:val="false"/>
          <w:bCs w:val="false"/>
          <w:i/>
          <w:iCs/>
          <w:color w:val="334155"/>
          <w:sz w:val="22"/>
          <w:szCs w:val="22"/>
        </w:rPr>
        <w:t xml:space="preserve">End of first independent pass.</w:t>
      </w:r>
    </w:p>
    <w:p>
      <w:pPr>
        <w:spacing w:after="80" w:before="40" w:line="276"/>
        <w:jc w:val="center"/>
      </w:pPr>
      <w:r>
        <w:rPr>
          <w:rFonts w:ascii="Arial" w:cs="Arial" w:eastAsia="Arial" w:hAnsi="Arial"/>
          <w:b w:val="false"/>
          <w:bCs w:val="false"/>
          <w:i/>
          <w:iCs/>
          <w:color w:val="334155"/>
          <w:sz w:val="22"/>
          <w:szCs w:val="22"/>
        </w:rPr>
        <w:t xml:space="preserve">Nothing in this file is a real-world claim.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6D3B" w:sz="8" w:space="6"/>
      </w:pBdr>
      <w:tabs>
        <w:tab w:val="right" w:pos="10080"/>
      </w:tabs>
      <w:spacing w:before="80"/>
    </w:pPr>
    <w:r>
      <w:rPr>
        <w:rFonts w:ascii="Arial" w:cs="Arial" w:eastAsia="Arial" w:hAnsi="Arial"/>
        <w:color w:val="334155"/>
        <w:sz w:val="16"/>
        <w:szCs w:val="16"/>
      </w:rPr>
      <w:t xml:space="preserve">Nathan Lewis  ·  World-Building Case File</w:t>
    </w:r>
    <w:r>
      <w:rPr>
        <w:rFonts w:ascii="Arial" w:cs="Arial" w:eastAsia="Arial" w:hAnsi="Arial"/>
        <w:color w:val="334155"/>
        <w:sz w:val="16"/>
        <w:szCs w:val="16"/>
      </w:rPr>
      <w:t xml:space="preserve">	Page </w:t>
    </w:r>
    <w:r>
      <w:rPr>
        <w:rFonts w:ascii="Arial" w:cs="Arial" w:eastAsia="Arial" w:hAnsi="Arial"/>
        <w:color w:val="334155"/>
        <w:sz w:val="16"/>
        <w:szCs w:val="16"/>
      </w:rPr>
      <w:fldChar w:fldCharType="begin"/>
      <w:instrText xml:space="preserve">PAGE</w:instrText>
      <w:fldChar w:fldCharType="separate"/>
      <w:fldChar w:fldCharType="end"/>
    </w:r>
    <w:r>
      <w:rPr>
        <w:rFonts w:ascii="Arial" w:cs="Arial" w:eastAsia="Arial" w:hAnsi="Arial"/>
        <w:color w:val="334155"/>
        <w:sz w:val="16"/>
        <w:szCs w:val="16"/>
      </w:rPr>
      <w:t xml:space="preserve"> of </w:t>
    </w:r>
    <w:r>
      <w:rPr>
        <w:rFonts w:ascii="Arial" w:cs="Arial" w:eastAsia="Arial" w:hAnsi="Arial"/>
        <w:color w:val="3341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6D3B" w:sz="8" w:space="6"/>
      </w:pBdr>
      <w:tabs>
        <w:tab w:val="right" w:pos="10080"/>
      </w:tabs>
      <w:spacing w:after="80"/>
    </w:pPr>
    <w:r>
      <w:rPr>
        <w:rFonts w:ascii="Arial" w:cs="Arial" w:eastAsia="Arial" w:hAnsi="Arial"/>
        <w:color w:val="8A6D3B"/>
        <w:sz w:val="16"/>
        <w:szCs w:val="16"/>
      </w:rPr>
      <w:t xml:space="preserve">Development Archive  ·  First Independent Pass</w:t>
    </w:r>
    <w:r>
      <w:rPr>
        <w:rFonts w:ascii="Arial" w:cs="Arial" w:eastAsia="Arial" w:hAnsi="Arial"/>
        <w:b/>
        <w:bCs/>
        <w:color w:val="1B2A4A"/>
        <w:sz w:val="16"/>
        <w:szCs w:val="16"/>
      </w:rPr>
      <w:t xml:space="preserve">	CONFIDENTIAL — FICTIONAL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8A6D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2026-09-01T13:01:27.950Z</dcterms:created>
  <dcterms:modified xsi:type="dcterms:W3CDTF">2026-09-01T13:01:27.950Z</dcterms:modified>
</cp:coreProperties>
</file>

<file path=docProps/custom.xml><?xml version="1.0" encoding="utf-8"?>
<Properties xmlns="http://schemas.openxmlformats.org/officeDocument/2006/custom-properties" xmlns:vt="http://schemas.openxmlformats.org/officeDocument/2006/docPropsVTypes"/>
</file>