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divine-architecture-framework"/>
    <w:p>
      <w:pPr>
        <w:pStyle w:val="Heading1"/>
      </w:pPr>
      <w:r>
        <w:t xml:space="preserve">Divine Architecture Framework</w:t>
      </w:r>
    </w:p>
    <w:bookmarkStart w:id="20" w:name="X20dd0ad592b7cdb700fd2171b0effc4d1e6a215"/>
    <w:p>
      <w:pPr>
        <w:pStyle w:val="Heading3"/>
      </w:pPr>
      <w:r>
        <w:t xml:space="preserve">A working reference for Creator-level entity design (OAL)</w:t>
      </w:r>
    </w:p>
    <w:p>
      <w:r>
        <w:pict>
          <v:rect style="width:0;height:1.5pt" o:hralign="center" o:hrstd="t" o:hr="t"/>
        </w:pict>
      </w:r>
    </w:p>
    <w:bookmarkEnd w:id="20"/>
    <w:bookmarkStart w:id="21" w:name="typology-of-godhood"/>
    <w:p>
      <w:pPr>
        <w:pStyle w:val="Heading2"/>
      </w:pPr>
      <w:r>
        <w:t xml:space="preserve">1. Typology of Godhood</w:t>
      </w:r>
    </w:p>
    <w:p>
      <w:pPr>
        <w:pStyle w:val="FirstParagraph"/>
      </w:pPr>
      <w:r>
        <w:t xml:space="preserve">Not all</w:t>
      </w:r>
      <w:r>
        <w:t xml:space="preserve"> </w:t>
      </w:r>
      <w:r>
        <w:t xml:space="preserve">“</w:t>
      </w:r>
      <w:r>
        <w:t xml:space="preserve">gods</w:t>
      </w:r>
      <w:r>
        <w:t xml:space="preserve">”</w:t>
      </w:r>
      <w:r>
        <w:t xml:space="preserve"> </w:t>
      </w:r>
      <w:r>
        <w:t xml:space="preserve">are structurally the same thing. For design purposes, it helps to split godhood into</w:t>
      </w:r>
      <w:r>
        <w:t xml:space="preserve"> </w:t>
      </w:r>
      <w:r>
        <w:rPr>
          <w:bCs/>
          <w:b/>
        </w:rPr>
        <w:t xml:space="preserve">source-type</w:t>
      </w:r>
      <w:r>
        <w:t xml:space="preserve">, i.e. </w:t>
      </w:r>
      <w:r>
        <w:rPr>
          <w:iCs/>
          <w:i/>
        </w:rPr>
        <w:t xml:space="preserve">where the power comes from</w:t>
      </w:r>
      <w:r>
        <w:t xml:space="preserve">, because that determines everything downstream (physiology, vulnerability, how bestowment works, what killing/deposing them means).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Mythic/Media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Implication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Innate/Ontological 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is identity — the entity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domain (e.g. is Death, not</w:t>
            </w:r>
            <w:r>
              <w:t xml:space="preserve"> </w:t>
            </w:r>
            <w:r>
              <w:t xml:space="preserve">“</w:t>
            </w:r>
            <w:r>
              <w:t xml:space="preserve">has death powers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 (Sandman), primordials (Chaos, Gaia)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truly killed, only transformed or replaced; no</w:t>
            </w:r>
            <w:r>
              <w:t xml:space="preserve"> </w:t>
            </w:r>
            <w:r>
              <w:t xml:space="preserve">“</w:t>
            </w:r>
            <w:r>
              <w:t xml:space="preserve">bestowment,</w:t>
            </w:r>
            <w:r>
              <w:t xml:space="preserve">”</w:t>
            </w:r>
            <w:r>
              <w:t xml:space="preserve"> </w:t>
            </w:r>
            <w:r>
              <w:t xml:space="preserve">they simply</w:t>
            </w:r>
            <w:r>
              <w:t xml:space="preserve"> </w:t>
            </w:r>
            <w:r>
              <w:rPr>
                <w:iCs/>
                <w:i/>
              </w:rPr>
              <w:t xml:space="preserve">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Earned/Ascended 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 who crossed a threshold (deed, sacrifice, absorption)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Kratos-adjacent examples in</w:t>
            </w:r>
            <w:r>
              <w:t xml:space="preserve"> </w:t>
            </w:r>
            <w:r>
              <w:rPr>
                <w:iCs/>
                <w:i/>
              </w:rPr>
              <w:t xml:space="preserve">God of War</w:t>
            </w:r>
            <w:r>
              <w:t xml:space="preserve">, Hercules myth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Physiology is layered — mortal substrate + acquired divine layer; vulnerable at the seam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Belief-Sustained 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scales with worship/attention, decays without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American Gods</w:t>
            </w:r>
            <w:r>
              <w:t xml:space="preserve"> </w:t>
            </w:r>
            <w:r>
              <w:t xml:space="preserve">(Wednesday/Odin, New Gods)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Divinity is a resource economy, not a fixed state; a god can literally starve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Bestowed 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granted top-down by a higher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Norse einherjar elevation, sainthood/apotheosis 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is delegated, revocable, carries the granter’s</w:t>
            </w:r>
            <w:r>
              <w:t xml:space="preserve"> </w:t>
            </w:r>
            <w:r>
              <w:t xml:space="preserve">“</w:t>
            </w:r>
            <w:r>
              <w:t xml:space="preserve">signature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Creator-Class 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 the ruleset the other types operate inside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true Creator entity in your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bound by in-universe divine law by default — the design question is</w:t>
            </w:r>
            <w:r>
              <w:t xml:space="preserve"> </w:t>
            </w:r>
            <w:r>
              <w:rPr>
                <w:iCs/>
                <w:i/>
              </w:rPr>
              <w:t xml:space="preserve">how much</w:t>
            </w:r>
            <w:r>
              <w:t xml:space="preserve"> </w:t>
            </w:r>
            <w:r>
              <w:t xml:space="preserve">they choose to bind themselves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for your Creator-level design:</w:t>
      </w:r>
      <w:r>
        <w:t xml:space="preserve"> </w:t>
      </w:r>
      <w:r>
        <w:t xml:space="preserve">a Creator-class entity is not merely</w:t>
      </w:r>
      <w:r>
        <w:t xml:space="preserve"> </w:t>
      </w:r>
      <w:r>
        <w:t xml:space="preserve">“</w:t>
      </w:r>
      <w:r>
        <w:t xml:space="preserve">the strongest innate god.</w:t>
      </w:r>
      <w:r>
        <w:t xml:space="preserve">”</w:t>
      </w:r>
      <w:r>
        <w:t xml:space="preserve"> </w:t>
      </w:r>
      <w:r>
        <w:t xml:space="preserve">It sits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the typology as the thing that authors the typology. This is the category error most fictional pantheons make (treating the top god as just a bigger Olympian). Your design should explicitly mark where Creator-class entities opt into physics/rules vs. stand outside them.</w:t>
      </w:r>
    </w:p>
    <w:p>
      <w:r>
        <w:pict>
          <v:rect style="width:0;height:1.5pt" o:hralign="center" o:hrstd="t" o:hr="t"/>
        </w:pict>
      </w:r>
    </w:p>
    <w:bookmarkEnd w:id="21"/>
    <w:bookmarkStart w:id="22" w:name="X43d29961804dc8df96042d9fec446e95abff7f1"/>
    <w:p>
      <w:pPr>
        <w:pStyle w:val="Heading2"/>
      </w:pPr>
      <w:r>
        <w:t xml:space="preserve">2. Comparative Case Study: Olympian vs. Norse Divinity Models</w:t>
      </w:r>
    </w:p>
    <w:p>
      <w:pPr>
        <w:pStyle w:val="FirstParagraph"/>
      </w:pPr>
      <w:r>
        <w:t xml:space="preserve">This contrast is useful because it gives you two working templates for divine</w:t>
      </w:r>
      <w:r>
        <w:t xml:space="preserve"> </w:t>
      </w:r>
      <w:r>
        <w:rPr>
          <w:iCs/>
          <w:i/>
        </w:rPr>
        <w:t xml:space="preserve">ontology</w:t>
      </w:r>
      <w:r>
        <w:t xml:space="preserve">, not just divine</w:t>
      </w:r>
      <w:r>
        <w:t xml:space="preserve"> </w:t>
      </w:r>
      <w:r>
        <w:rPr>
          <w:iCs/>
          <w:i/>
        </w:rPr>
        <w:t xml:space="preserve">culture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Olympian model — divinity as static perfection.</w:t>
      </w:r>
      <w:r>
        <w:t xml:space="preserve"> </w:t>
      </w:r>
      <w:r>
        <w:t xml:space="preserve">Greek gods are generally immortal by nature, unchanging in essential character, and their power is a fixed birthright tied to domain (Poseidon doesn’t</w:t>
      </w:r>
      <w:r>
        <w:t xml:space="preserve"> </w:t>
      </w:r>
      <w:r>
        <w:t xml:space="preserve">“</w:t>
      </w:r>
      <w:r>
        <w:t xml:space="preserve">level up</w:t>
      </w:r>
      <w:r>
        <w:t xml:space="preserve">”</w:t>
      </w:r>
      <w:r>
        <w:t xml:space="preserve"> </w:t>
      </w:r>
      <w:r>
        <w:t xml:space="preserve">the sea). Conflict in Greek myth is mostly about domain disputes and mortal interference, not entropy of the gods themselves. Structurally:</w:t>
      </w:r>
      <w:r>
        <w:t xml:space="preserve"> </w:t>
      </w:r>
      <w:r>
        <w:rPr>
          <w:bCs/>
          <w:b/>
        </w:rPr>
        <w:t xml:space="preserve">closed-loop, low-decay divinity.</w:t>
      </w:r>
    </w:p>
    <w:p>
      <w:pPr>
        <w:pStyle w:val="BodyText"/>
      </w:pPr>
      <w:r>
        <w:rPr>
          <w:bCs/>
          <w:b/>
        </w:rPr>
        <w:t xml:space="preserve">Norse model — divinity as a dying system.</w:t>
      </w:r>
      <w:r>
        <w:t xml:space="preserve"> </w:t>
      </w:r>
      <w:r>
        <w:t xml:space="preserve">Norse gods are explicitly mortal-adjacent: they age, they require external maintenance (Idunn’s apples) to stay young, and the entire cosmology is built around Ragnarök — a scheduled, mutual destruction of gods and giants alike. Structurally:</w:t>
      </w:r>
      <w:r>
        <w:t xml:space="preserve"> </w:t>
      </w:r>
      <w:r>
        <w:rPr>
          <w:bCs/>
          <w:b/>
        </w:rPr>
        <w:t xml:space="preserve">entropic, terminal divinity</w:t>
      </w:r>
      <w:r>
        <w:t xml:space="preserve">, where power has an expiration built into the mythology itself.</w:t>
      </w:r>
    </w:p>
    <w:p>
      <w:pPr>
        <w:pStyle w:val="BodyText"/>
      </w:pPr>
      <w:r>
        <w:rPr>
          <w:bCs/>
          <w:b/>
        </w:rPr>
        <w:t xml:space="preserve">God of War’s synthesis is the most useful reference for you.</w:t>
      </w:r>
      <w:r>
        <w:t xml:space="preserve"> </w:t>
      </w:r>
      <w:r>
        <w:t xml:space="preserve">The series deliberately stages these two models against each other across its arcs: the Greek pantheon plays as static, hierarchical, and largely indifferent to mortal suffering, while the Norse pantheon (especially post-2018) is reframed as a</w:t>
      </w:r>
      <w:r>
        <w:t xml:space="preserve"> </w:t>
      </w:r>
      <w:r>
        <w:rPr>
          <w:iCs/>
          <w:i/>
        </w:rPr>
        <w:t xml:space="preserve">fatalistic system</w:t>
      </w:r>
      <w:r>
        <w:t xml:space="preserve"> </w:t>
      </w:r>
      <w:r>
        <w:t xml:space="preserve">— gods who know their own end is written and are maneuvering within a closed timeline rather than an open one. Odin functions less like Zeus and more like a Belief-Sustained/information-hoarding god, actively managing prophecy and knowledge as his power base rather than resting on domain-ownership. That’s a genuinely useful structural idea for you:</w:t>
      </w:r>
      <w:r>
        <w:t xml:space="preserve"> </w:t>
      </w:r>
      <w:r>
        <w:rPr>
          <w:bCs/>
          <w:b/>
        </w:rPr>
        <w:t xml:space="preserve">a pantheon whose power model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control of information about the future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control of a physical domain.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American Gods gives you the third leg.</w:t>
      </w:r>
      <w:r>
        <w:t xml:space="preserve"> </w:t>
      </w:r>
      <w:r>
        <w:t xml:space="preserve">Its core mechanic — gods as literally dependent on belief, attention, and ritual, with</w:t>
      </w:r>
      <w:r>
        <w:t xml:space="preserve"> </w:t>
      </w:r>
      <w:r>
        <w:t xml:space="preserve">“</w:t>
      </w:r>
      <w:r>
        <w:t xml:space="preserve">New Gods</w:t>
      </w:r>
      <w:r>
        <w:t xml:space="preserve">”</w:t>
      </w:r>
      <w:r>
        <w:t xml:space="preserve"> </w:t>
      </w:r>
      <w:r>
        <w:t xml:space="preserve">(Media, Technology) arising from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belief-objects — is a clean model for a</w:t>
      </w:r>
      <w:r>
        <w:t xml:space="preserve"> </w:t>
      </w:r>
      <w:r>
        <w:rPr>
          <w:bCs/>
          <w:b/>
        </w:rPr>
        <w:t xml:space="preserve">Belief-Sustained</w:t>
      </w:r>
      <w:r>
        <w:t xml:space="preserve"> </w:t>
      </w:r>
      <w:r>
        <w:t xml:space="preserve">divine economy. This is directly usable for any OAL pantheon tier where you want divine power to be contestable, decaying, or politically maneuverable rather than static.</w:t>
      </w:r>
    </w:p>
    <w:p>
      <w:pPr>
        <w:pStyle w:val="BodyText"/>
      </w:pPr>
      <w:r>
        <w:rPr>
          <w:bCs/>
          <w:b/>
        </w:rPr>
        <w:t xml:space="preserve">Design takeaway for OAL:</w:t>
      </w:r>
      <w:r>
        <w:t xml:space="preserve"> </w:t>
      </w:r>
      <w:r>
        <w:t xml:space="preserve">you likely want at least two divine</w:t>
      </w:r>
      <w:r>
        <w:t xml:space="preserve"> </w:t>
      </w:r>
      <w:r>
        <w:t xml:space="preserve">“</w:t>
      </w:r>
      <w:r>
        <w:t xml:space="preserve">physics modes</w:t>
      </w:r>
      <w:r>
        <w:t xml:space="preserve">”</w:t>
      </w:r>
      <w:r>
        <w:t xml:space="preserve"> </w:t>
      </w:r>
      <w:r>
        <w:t xml:space="preserve">available — a</w:t>
      </w:r>
      <w:r>
        <w:t xml:space="preserve"> </w:t>
      </w:r>
      <w:r>
        <w:rPr>
          <w:bCs/>
          <w:b/>
        </w:rPr>
        <w:t xml:space="preserve">static/ontological mode</w:t>
      </w:r>
      <w:r>
        <w:t xml:space="preserve"> </w:t>
      </w:r>
      <w:r>
        <w:t xml:space="preserve">(Olympian-style, for Creator-adjacent high tiers) and an</w:t>
      </w:r>
      <w:r>
        <w:t xml:space="preserve"> </w:t>
      </w:r>
      <w:r>
        <w:rPr>
          <w:bCs/>
          <w:b/>
        </w:rPr>
        <w:t xml:space="preserve">entropic/economic mode</w:t>
      </w:r>
      <w:r>
        <w:t xml:space="preserve"> </w:t>
      </w:r>
      <w:r>
        <w:t xml:space="preserve">(Norse/American Gods-style, for mid-tier or contested divine actors) — and the interesting narrative friction happens at entities who straddle both.</w:t>
      </w:r>
    </w:p>
    <w:p>
      <w:r>
        <w:pict>
          <v:rect style="width:0;height:1.5pt" o:hralign="center" o:hrstd="t" o:hr="t"/>
        </w:pict>
      </w:r>
    </w:p>
    <w:bookmarkEnd w:id="22"/>
    <w:bookmarkStart w:id="24" w:name="divine-physiology"/>
    <w:p>
      <w:pPr>
        <w:pStyle w:val="Heading2"/>
      </w:pPr>
      <w:r>
        <w:t xml:space="preserve">3. Divine Physiology</w:t>
      </w:r>
    </w:p>
    <w:p>
      <w:pPr>
        <w:pStyle w:val="FirstParagraph"/>
      </w:pPr>
      <w:r>
        <w:t xml:space="preserve">Physiology = what a divine body/form</w:t>
      </w:r>
      <w:r>
        <w:t xml:space="preserve"> </w:t>
      </w:r>
      <w:r>
        <w:rPr>
          <w:iCs/>
          <w:i/>
        </w:rPr>
        <w:t xml:space="preserve">is made of</w:t>
      </w:r>
      <w:r>
        <w:t xml:space="preserve"> </w:t>
      </w:r>
      <w:r>
        <w:t xml:space="preserve">and how it processes power internally. Three baseline models, which can be mixed: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Substrate Model</w:t>
      </w:r>
      <w:r>
        <w:t xml:space="preserve"> </w:t>
      </w:r>
      <w:r>
        <w:t xml:space="preserve">— a divine being has a mortal-compatible substrate (body) with a divine layer overlaid or fused on top. Vulnerability exists at the fusion seam. (Ascended-god pattern.)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Domain-Body Model</w:t>
      </w:r>
      <w:r>
        <w:t xml:space="preserve"> </w:t>
      </w:r>
      <w:r>
        <w:t xml:space="preserve">— the being’s body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an expression of their domain (a sea god’s blood is seawater-adjacent; a war god’s physiology runs on conflict-proximity as a resource). Damage/health is tied to domain health, not conventional biology.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Non-Corporeal/Projected Model</w:t>
      </w:r>
      <w:r>
        <w:t xml:space="preserve"> </w:t>
      </w:r>
      <w:r>
        <w:t xml:space="preserve">— no</w:t>
      </w:r>
      <w:r>
        <w:t xml:space="preserve"> </w:t>
      </w:r>
      <w:r>
        <w:t xml:space="preserve">“</w:t>
      </w:r>
      <w:r>
        <w:t xml:space="preserve">true body</w:t>
      </w:r>
      <w:r>
        <w:t xml:space="preserve">”</w:t>
      </w:r>
      <w:r>
        <w:t xml:space="preserve"> </w:t>
      </w:r>
      <w:r>
        <w:t xml:space="preserve">exists in the accessible layer; what’s perceived is a projection, mask, or avatar. True form exists at a higher ontological layer and isn’t damageable through the projection. (This is the model you’ll likely want for Creator-class entities interacting with lower simulation layers.)</w:t>
      </w:r>
    </w:p>
    <w:p>
      <w:pPr>
        <w:pStyle w:val="FirstParagraph"/>
      </w:pPr>
      <w:r>
        <w:t xml:space="preserve">For your Creator-level entities specifically, I’d flag:</w:t>
      </w:r>
      <w:r>
        <w:t xml:space="preserve"> </w:t>
      </w:r>
      <w:r>
        <w:rPr>
          <w:bCs/>
          <w:b/>
        </w:rPr>
        <w:t xml:space="preserve">decide explicitly whether they use Substrate, Domain-Body, or Non-Corporeal physiology when appearing within a simulation layer</w:t>
      </w:r>
      <w:r>
        <w:t xml:space="preserve">, because that single choice determines whether they’re narratively</w:t>
      </w:r>
      <w:r>
        <w:t xml:space="preserve"> </w:t>
      </w:r>
      <w:r>
        <w:t xml:space="preserve">“</w:t>
      </w:r>
      <w:r>
        <w:t xml:space="preserve">killable</w:t>
      </w:r>
      <w:r>
        <w:t xml:space="preserve">”</w:t>
      </w:r>
      <w:r>
        <w:t xml:space="preserve"> </w:t>
      </w:r>
      <w:r>
        <w:t xml:space="preserve">within that layer at all — and your framework already treats Invocation as an ontological act, so this should stay consistent with that precedent.</w:t>
      </w:r>
    </w:p>
    <w:bookmarkStart w:id="23" w:name="dependency-depth-scale"/>
    <w:p>
      <w:pPr>
        <w:pStyle w:val="Heading3"/>
      </w:pPr>
      <w:r>
        <w:t xml:space="preserve">3.1 Dependency-Depth Scale</w:t>
      </w:r>
    </w:p>
    <w:p>
      <w:pPr>
        <w:pStyle w:val="FirstParagraph"/>
      </w:pPr>
      <w:r>
        <w:t xml:space="preserve">Orthogonal to physiology</w:t>
      </w:r>
      <w:r>
        <w:t xml:space="preserve"> </w:t>
      </w:r>
      <w:r>
        <w:rPr>
          <w:iCs/>
          <w:i/>
        </w:rPr>
        <w:t xml:space="preserve">type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what a divine being’s continued existence depends on</w:t>
      </w:r>
      <w:r>
        <w:t xml:space="preserve"> </w:t>
      </w:r>
      <w:r>
        <w:t xml:space="preserve">— useful as a field in any entity registry, alongside physiology and aura grade: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D0 — Necessary/independent:</w:t>
      </w:r>
      <w:r>
        <w:t xml:space="preserve"> </w:t>
      </w:r>
      <w:r>
        <w:t xml:space="preserve">exists with no external support (aseity)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D1 — Self-sustaining after creation:</w:t>
      </w:r>
      <w:r>
        <w:t xml:space="preserve"> </w:t>
      </w:r>
      <w:r>
        <w:t xml:space="preserve">made once, then autonomous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D2 — Source-dependent:</w:t>
      </w:r>
      <w:r>
        <w:t xml:space="preserve"> </w:t>
      </w:r>
      <w:r>
        <w:t xml:space="preserve">requires ongoing connection to an originating power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D3 — Domain-dependent:</w:t>
      </w:r>
      <w:r>
        <w:t xml:space="preserve"> </w:t>
      </w:r>
      <w:r>
        <w:t xml:space="preserve">tied to the health/existence of a jurisdiction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D4 — Worship-dependent:</w:t>
      </w:r>
      <w:r>
        <w:t xml:space="preserve"> </w:t>
      </w:r>
      <w:r>
        <w:t xml:space="preserve">requires belief/attention (the</w:t>
      </w:r>
      <w:r>
        <w:t xml:space="preserve"> </w:t>
      </w:r>
      <w:r>
        <w:rPr>
          <w:iCs/>
          <w:i/>
        </w:rPr>
        <w:t xml:space="preserve">American Gods</w:t>
      </w:r>
      <w:r>
        <w:t xml:space="preserve"> </w:t>
      </w:r>
      <w:r>
        <w:t xml:space="preserve">model)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D5 — Artifact-dependent:</w:t>
      </w:r>
      <w:r>
        <w:t xml:space="preserve"> </w:t>
      </w:r>
      <w:r>
        <w:t xml:space="preserve">requires a substance or object (golden apples, ambrosia)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D6 — Host-dependent:</w:t>
      </w:r>
      <w:r>
        <w:t xml:space="preserve"> </w:t>
      </w:r>
      <w:r>
        <w:t xml:space="preserve">requires a vessel or bound carrier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D7 — Temporarily sustained:</w:t>
      </w:r>
      <w:r>
        <w:t xml:space="preserve"> </w:t>
      </w:r>
      <w:r>
        <w:t xml:space="preserve">finite-duration divinity by design</w:t>
      </w:r>
    </w:p>
    <w:p>
      <w:pPr>
        <w:pStyle w:val="FirstParagraph"/>
      </w:pPr>
      <w:r>
        <w:t xml:space="preserve">This is a separate axis from physiology (Section 3) and godhood type (Section 1) — a Substrate-model, Ascended-type god could be D0 or D4 depending on your design choice, and that choice changes the story more than the physiology label does.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ivine-auras"/>
    <w:p>
      <w:pPr>
        <w:pStyle w:val="Heading2"/>
      </w:pPr>
      <w:r>
        <w:t xml:space="preserve">4. Divine Auras</w:t>
      </w:r>
    </w:p>
    <w:p>
      <w:pPr>
        <w:pStyle w:val="FirstParagraph"/>
      </w:pPr>
      <w:r>
        <w:t xml:space="preserve">An aura, structurally, is</w:t>
      </w:r>
      <w:r>
        <w:t xml:space="preserve"> </w:t>
      </w:r>
      <w:r>
        <w:rPr>
          <w:bCs/>
          <w:b/>
        </w:rPr>
        <w:t xml:space="preserve">externalized identity-pressure</w:t>
      </w:r>
      <w:r>
        <w:t xml:space="preserve"> </w:t>
      </w:r>
      <w:r>
        <w:t xml:space="preserve">— the ambient effect a divine presence has on its surroundings and on lesser beings, independent of any direct action. Useful sub-components to design separately rather than as one blob: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Presence Radius</w:t>
      </w:r>
      <w:r>
        <w:t xml:space="preserve"> </w:t>
      </w:r>
      <w:r>
        <w:t xml:space="preserve">— how far the aura projects before attenuating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Recognition Effect</w:t>
      </w:r>
      <w:r>
        <w:t xml:space="preserve"> </w:t>
      </w:r>
      <w:r>
        <w:t xml:space="preserve">— what happens to a mortal/lesser entity that perceives it directly (awe, fear, compulsion, madness, worship-instinct)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Environmental Bleed</w:t>
      </w:r>
      <w:r>
        <w:t xml:space="preserve"> </w:t>
      </w:r>
      <w:r>
        <w:t xml:space="preserve">— physical/ambient changes to the surroundings (temperature, light, gravity, probability)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Domain Signature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flavor</w:t>
      </w:r>
      <w:r>
        <w:t xml:space="preserve">”</w:t>
      </w:r>
      <w:r>
        <w:t xml:space="preserve"> </w:t>
      </w:r>
      <w:r>
        <w:t xml:space="preserve">that marks</w:t>
      </w:r>
      <w:r>
        <w:t xml:space="preserve"> </w:t>
      </w:r>
      <w:r>
        <w:rPr>
          <w:iCs/>
          <w:i/>
        </w:rPr>
        <w:t xml:space="preserve">whose</w:t>
      </w:r>
      <w:r>
        <w:t xml:space="preserve"> </w:t>
      </w:r>
      <w:r>
        <w:t xml:space="preserve">aura it is (a war god’s aura reads differently from a death god’s even at equal intensity)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Suppressibility</w:t>
      </w:r>
      <w:r>
        <w:t xml:space="preserve"> </w:t>
      </w:r>
      <w:r>
        <w:t xml:space="preserve">— can it be masked, throttled, or hidden, or is it involuntary broadcast?</w:t>
      </w:r>
    </w:p>
    <w:p>
      <w:pPr>
        <w:pStyle w:val="FirstParagraph"/>
      </w:pPr>
      <w:r>
        <w:t xml:space="preserve">This last point is a good design lever: gods who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suppress their aura (involuntary broadcast) create very different stories than gods who can walk among mortals unnoticed. Odin-as-wanderer in both Norse myth and</w:t>
      </w:r>
      <w:r>
        <w:t xml:space="preserve"> </w:t>
      </w:r>
      <w:r>
        <w:rPr>
          <w:iCs/>
          <w:i/>
        </w:rPr>
        <w:t xml:space="preserve">American Gods</w:t>
      </w:r>
      <w:r>
        <w:t xml:space="preserve"> </w:t>
      </w:r>
      <w:r>
        <w:t xml:space="preserve">is built entirely on aura-suppression being possible — that’s a deliberate mythic choice, not a default.</w:t>
      </w:r>
    </w:p>
    <w:p>
      <w:r>
        <w:pict>
          <v:rect style="width:0;height:1.5pt" o:hralign="center" o:hrstd="t" o:hr="t"/>
        </w:pict>
      </w:r>
    </w:p>
    <w:bookmarkEnd w:id="25"/>
    <w:bookmarkStart w:id="26" w:name="X23884a0f0313a45a415fd511a8291941d200379"/>
    <w:p>
      <w:pPr>
        <w:pStyle w:val="Heading2"/>
      </w:pPr>
      <w:r>
        <w:t xml:space="preserve">5. Bestowment vs. Endowment — Two Distinct Transfer Processes</w:t>
      </w:r>
    </w:p>
    <w:p>
      <w:pPr>
        <w:pStyle w:val="FirstParagraph"/>
      </w:pPr>
      <w:r>
        <w:t xml:space="preserve">These get used interchangeably in casual writing, but for a design document they should be sharply separated: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Bestowment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Endowment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iCs/>
                <w:i/>
              </w:rPr>
              <w:t xml:space="preserve">act</w:t>
            </w:r>
            <w:r>
              <w:t xml:space="preserve"> </w:t>
            </w:r>
            <w:r>
              <w:t xml:space="preserve">— a granting event, performed by an authority, at a moment in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iCs/>
                <w:i/>
              </w:rPr>
              <w:t xml:space="preserve">state</w:t>
            </w:r>
            <w:r>
              <w:t xml:space="preserve"> </w:t>
            </w:r>
            <w:r>
              <w:t xml:space="preserve">— an inherent capacity built into the entity from origin/creation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Revocability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revocable by the granter (or a higher authority)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non-revocable without unmaking the entity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a trace of the granter — can potentially be traced, audited, or contested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external signature; it’s constitutive, not attributed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title, office, or blessing conferred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birthright or foundational 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Mythic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Sainthood, knighting-into-divinity, Odin granting einherjar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primordial’s domain-identity, an Olympian’s birthright portfolio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the distinction matters for Creator-level design work:</w:t>
      </w:r>
      <w:r>
        <w:t xml:space="preserve"> </w:t>
      </w:r>
      <w:r>
        <w:t xml:space="preserve">a Creator entity</w:t>
      </w:r>
      <w:r>
        <w:t xml:space="preserve"> </w:t>
      </w:r>
      <w:r>
        <w:rPr>
          <w:iCs/>
          <w:i/>
        </w:rPr>
        <w:t xml:space="preserve">bestowing</w:t>
      </w:r>
      <w:r>
        <w:t xml:space="preserve"> </w:t>
      </w:r>
      <w:r>
        <w:t xml:space="preserve">power on a lesser being creates an auditable, revocable, hierarchical relationship — useful if you want political/governance stakes (contestable, can be stripped, ties into your Authority Principle language). A Creator entity</w:t>
      </w:r>
      <w:r>
        <w:t xml:space="preserve"> </w:t>
      </w:r>
      <w:r>
        <w:rPr>
          <w:iCs/>
          <w:i/>
        </w:rPr>
        <w:t xml:space="preserve">endowing</w:t>
      </w:r>
      <w:r>
        <w:t xml:space="preserve"> </w:t>
      </w:r>
      <w:r>
        <w:t xml:space="preserve">a being at creation is a one-way, foundational act with no ongoing leash — useful for entities meant to be structurally independent once made.</w:t>
      </w:r>
    </w:p>
    <w:p>
      <w:pPr>
        <w:pStyle w:val="BodyText"/>
      </w:pPr>
      <w:r>
        <w:t xml:space="preserve">Given that your Invocation Framework already treats</w:t>
      </w:r>
      <w:r>
        <w:t xml:space="preserve"> </w:t>
      </w:r>
      <w:r>
        <w:t xml:space="preserve">“</w:t>
      </w:r>
      <w:r>
        <w:t xml:space="preserve">authority as recognized, not granted,</w:t>
      </w:r>
      <w:r>
        <w:t xml:space="preserve">”</w:t>
      </w:r>
      <w:r>
        <w:t xml:space="preserve"> </w:t>
      </w:r>
      <w:r>
        <w:t xml:space="preserve">I’d flag a design question worth resolving explicitly:</w:t>
      </w:r>
      <w:r>
        <w:t xml:space="preserve"> </w:t>
      </w:r>
      <w:r>
        <w:rPr>
          <w:bCs/>
          <w:b/>
        </w:rPr>
        <w:t xml:space="preserve">does bestowment in your system grant new authority, or does it only reveal/activate authority the recipient already latently held?</w:t>
      </w:r>
      <w:r>
        <w:t xml:space="preserve"> </w:t>
      </w:r>
      <w:r>
        <w:t xml:space="preserve">Those are two different metaphysics and will change how bestowment interacts with your Authority Principle.</w:t>
      </w:r>
    </w:p>
    <w:p>
      <w:r>
        <w:pict>
          <v:rect style="width:0;height:1.5pt" o:hralign="center" o:hrstd="t" o:hr="t"/>
        </w:pict>
      </w:r>
    </w:p>
    <w:bookmarkEnd w:id="26"/>
    <w:bookmarkStart w:id="27" w:name="Xb3b63f20f938de97b8dfd07c47d655f852922e2"/>
    <w:p>
      <w:pPr>
        <w:pStyle w:val="Heading2"/>
      </w:pPr>
      <w:r>
        <w:t xml:space="preserve">6. THE ONE UNIVERSE vs. THE MINUS ONE UNIVERSE — Structural Contrast</w:t>
      </w:r>
    </w:p>
    <w:p>
      <w:pPr>
        <w:pStyle w:val="FirstParagraph"/>
      </w:pPr>
      <w:r>
        <w:t xml:space="preserve">This is the part I’d flag as</w:t>
      </w:r>
      <w:r>
        <w:t xml:space="preserve"> </w:t>
      </w:r>
      <w:r>
        <w:rPr>
          <w:bCs/>
          <w:b/>
        </w:rPr>
        <w:t xml:space="preserve">REPORTED, not resolved</w:t>
      </w:r>
      <w:r>
        <w:t xml:space="preserve"> </w:t>
      </w:r>
      <w:r>
        <w:t xml:space="preserve">— I don’t have prior session data specifying the mechanical differences between how bestowment/endowment function in ONE vs. MINUS ONE, so I’m laying out the</w:t>
      </w:r>
      <w:r>
        <w:t xml:space="preserve"> </w:t>
      </w:r>
      <w:r>
        <w:rPr>
          <w:iCs/>
          <w:i/>
        </w:rPr>
        <w:t xml:space="preserve">dimensions</w:t>
      </w:r>
      <w:r>
        <w:t xml:space="preserve"> </w:t>
      </w:r>
      <w:r>
        <w:t xml:space="preserve">you’ll want to decide on, rather than asserting an answer: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Directionality</w:t>
      </w:r>
      <w:r>
        <w:t xml:space="preserve"> </w:t>
      </w:r>
      <w:r>
        <w:t xml:space="preserve">— does ONE bestow/endow additively (power granted</w:t>
      </w:r>
      <w:r>
        <w:t xml:space="preserve"> </w:t>
      </w:r>
      <w:r>
        <w:rPr>
          <w:iCs/>
          <w:i/>
        </w:rPr>
        <w:t xml:space="preserve">into</w:t>
      </w:r>
      <w:r>
        <w:t xml:space="preserve"> </w:t>
      </w:r>
      <w:r>
        <w:t xml:space="preserve">existence) while MINUS ONE operates subtractively (power granted</w:t>
      </w:r>
      <w:r>
        <w:t xml:space="preserve"> </w:t>
      </w:r>
      <w:r>
        <w:rPr>
          <w:iCs/>
          <w:i/>
        </w:rPr>
        <w:t xml:space="preserve">by removal/negation</w:t>
      </w:r>
      <w:r>
        <w:t xml:space="preserve"> </w:t>
      </w:r>
      <w:r>
        <w:t xml:space="preserve">of something)? This would mirror your existing ONE/MINUS ONE naming logic.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Signature polarity</w:t>
      </w:r>
      <w:r>
        <w:t xml:space="preserve"> </w:t>
      </w:r>
      <w:r>
        <w:t xml:space="preserve">— if bestowment carries a granter’s signature (Section 5), does a MINUS ONE bestowment carry an</w:t>
      </w:r>
      <w:r>
        <w:t xml:space="preserve"> </w:t>
      </w:r>
      <w:r>
        <w:rPr>
          <w:iCs/>
          <w:i/>
        </w:rPr>
        <w:t xml:space="preserve">inverted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absent</w:t>
      </w:r>
      <w:r>
        <w:t xml:space="preserve"> </w:t>
      </w:r>
      <w:r>
        <w:t xml:space="preserve">signature?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Auditability</w:t>
      </w:r>
      <w:r>
        <w:t xml:space="preserve"> </w:t>
      </w:r>
      <w:r>
        <w:t xml:space="preserve">— THE ONE UNIVERSE’s Invocation is framed around admissible channels and an audit layer; does MINUS ONE have an equivalent audit structure, or is it deliberately unauditable by design (consistent with a</w:t>
      </w:r>
      <w:r>
        <w:t xml:space="preserve"> </w:t>
      </w:r>
      <w:r>
        <w:t xml:space="preserve">“</w:t>
      </w:r>
      <w:r>
        <w:t xml:space="preserve">minus</w:t>
      </w:r>
      <w:r>
        <w:t xml:space="preserve">”</w:t>
      </w:r>
      <w:r>
        <w:t xml:space="preserve"> </w:t>
      </w:r>
      <w:r>
        <w:t xml:space="preserve">framing)?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Physiology default</w:t>
      </w:r>
      <w:r>
        <w:t xml:space="preserve"> </w:t>
      </w:r>
      <w:r>
        <w:t xml:space="preserve">— does one universe default to Substrate-model divine physiology and the other to Non-Corporeal, as a structural signature of the universe itself rather than an individual choice?</w:t>
      </w:r>
    </w:p>
    <w:p>
      <w:pPr>
        <w:pStyle w:val="FirstParagraph"/>
      </w:pPr>
      <w:r>
        <w:t xml:space="preserve">I’d recommend resolving these four as a short standalone decision, formally logged (consistent with how you’ve been ratifying other OAL documents), before building specific Creator-level entities against them — otherwise entities built under an ambiguous ONE/MINUS ONE bestowment model will need retroactive fixes later.</w:t>
      </w:r>
    </w:p>
    <w:p>
      <w:r>
        <w:pict>
          <v:rect style="width:0;height:1.5pt" o:hralign="center" o:hrstd="t" o:hr="t"/>
        </w:pict>
      </w:r>
    </w:p>
    <w:bookmarkEnd w:id="27"/>
    <w:bookmarkStart w:id="28" w:name="creator-level-entity-design-checklist"/>
    <w:p>
      <w:pPr>
        <w:pStyle w:val="Heading2"/>
      </w:pPr>
      <w:r>
        <w:t xml:space="preserve">7. Creator-Level Entity Design Checklist</w:t>
      </w:r>
    </w:p>
    <w:p>
      <w:pPr>
        <w:pStyle w:val="FirstParagraph"/>
      </w:pPr>
      <w:r>
        <w:t xml:space="preserve">For each Creator-class entity you build, this framework suggests fixing these in order: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Godhood type</w:t>
      </w:r>
      <w:r>
        <w:t xml:space="preserve"> </w:t>
      </w:r>
      <w:r>
        <w:t xml:space="preserve">(Section 1) — including whether they sit</w:t>
      </w:r>
      <w:r>
        <w:t xml:space="preserve"> </w:t>
      </w:r>
      <w:r>
        <w:rPr>
          <w:iCs/>
          <w:i/>
        </w:rPr>
        <w:t xml:space="preserve">outside</w:t>
      </w:r>
      <w:r>
        <w:t xml:space="preserve"> </w:t>
      </w:r>
      <w:r>
        <w:t xml:space="preserve">the typology entirely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Physiology model when manifesting in a given layer</w:t>
      </w:r>
      <w:r>
        <w:t xml:space="preserve"> </w:t>
      </w:r>
      <w:r>
        <w:t xml:space="preserve">(Section 3)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Aura profile</w:t>
      </w:r>
      <w:r>
        <w:t xml:space="preserve"> </w:t>
      </w:r>
      <w:r>
        <w:t xml:space="preserve">— presence radius, recognition effect, suppressibility (Section 4)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Power provenance</w:t>
      </w:r>
      <w:r>
        <w:t xml:space="preserve"> </w:t>
      </w:r>
      <w:r>
        <w:t xml:space="preserve">— Innate/Endowed vs. Bestowed, and if bestowed, by whom and how revocable (Section 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vs. MINUS ONE alignment</w:t>
      </w:r>
      <w:r>
        <w:t xml:space="preserve"> </w:t>
      </w:r>
      <w:r>
        <w:t xml:space="preserve">— which of the four dimensions in Section 6 apply, and how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Attack-vector/defensive section</w:t>
      </w:r>
      <w:r>
        <w:t xml:space="preserve"> </w:t>
      </w:r>
      <w:r>
        <w:t xml:space="preserve">— per your existing template note, a dedicated section on offensive/defensive engagement patterns for the entity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Status: working reference document. Sections 1–5 are structural framework drawn from comparative mythology/media analysis. Section 6 is flagged REPORTED pending your formal resolution of ONE/MINUS ONE bestowment mechanics.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2026-08-28T15:27:52Z</dcterms:created>
  <dcterms:modified xsi:type="dcterms:W3CDTF">2026-08-28T15:27:52Z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