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1B2E" w:color="auto" w:val="clear"/>
            <w:tcMar>
              <w:top w:type="dxa" w:w="135"/>
              <w:left w:type="dxa" w:w="210"/>
              <w:bottom w:type="dxa" w:w="135"/>
              <w:right w:type="dxa" w:w="210"/>
            </w:tcMar>
          </w:tcPr>
          <w:p>
            <w:pPr>
              <w:spacing w:after="120" w:line="408" w:lineRule="auto"/>
            </w:pPr>
            <w:r>
              <w:t xml:space="preserve">CANON — CLASS I — ABSOLUTE</w:t>
            </w:r>
          </w:p>
          <w:p>
            <w:pPr>
              <w:spacing w:after="120" w:line="408" w:lineRule="auto"/>
            </w:pPr>
            <w:r>
              <w:t xml:space="preserve">|</w:t>
            </w:r>
          </w:p>
          <w:p>
            <w:pPr>
              <w:spacing w:after="120" w:line="408" w:lineRule="auto"/>
            </w:pPr>
            <w:r>
              <w:t xml:space="preserve">EAMA-V1-2026-001</w:t>
            </w:r>
          </w:p>
          <w:p>
            <w:pPr>
              <w:spacing w:after="120" w:line="408" w:lineRule="auto"/>
            </w:pPr>
            <w:r>
              <w:t xml:space="preserve">|</w:t>
            </w:r>
          </w:p>
          <w:p>
            <w:pPr>
              <w:spacing w:after="120" w:line="408" w:lineRule="auto"/>
            </w:pPr>
            <w:r>
              <w:t xml:space="preserve">IN FORCE</w:t>
            </w:r>
          </w:p>
        </w:tc>
      </w:tr>
    </w:tbl>
    <w:p>
      <w:pPr>
        <w:spacing w:after="240" w:before="0"/>
      </w:pPr>
    </w:p>
    <w:p>
      <w:pPr>
        <w:spacing w:after="120" w:line="288" w:lineRule="auto"/>
        <w:jc w:val="center"/>
      </w:pPr>
      <w:r>
        <w:rPr>
          <w:rFonts w:ascii="Cambria" w:cs="Cambria" w:eastAsia="Cambria" w:hAnsi="Cambria"/>
          <w:b/>
          <w:bCs/>
          <w:i w:val="false"/>
          <w:iCs w:val="false"/>
          <w:strike w:val="false"/>
          <w:color w:val="0D1B2E"/>
          <w:spacing w:val="7"/>
          <w:sz w:val="52"/>
          <w:szCs w:val="52"/>
        </w:rPr>
        <w:t xml:space="preserve">EAMA VOLUME I</w:t>
      </w:r>
    </w:p>
    <w:p>
      <w:pPr>
        <w:spacing w:after="80" w:line="384" w:lineRule="auto"/>
        <w:jc w:val="center"/>
      </w:pPr>
      <w:r>
        <w:rPr>
          <w:rFonts w:ascii="Cambria" w:cs="Cambria" w:eastAsia="Cambria" w:hAnsi="Cambria"/>
          <w:b w:val="false"/>
          <w:bCs w:val="false"/>
          <w:i/>
          <w:iCs/>
          <w:strike w:val="false"/>
          <w:color w:val="2A3F5F"/>
          <w:sz w:val="28"/>
          <w:szCs w:val="28"/>
        </w:rPr>
        <w:t xml:space="preserve">Eternal Architect's Master Architecture</w:t>
      </w:r>
    </w:p>
    <w:p>
      <w:pPr>
        <w:spacing w:after="80" w:line="384" w:lineRule="auto"/>
        <w:jc w:val="center"/>
      </w:pPr>
      <w:r>
        <w:rPr>
          <w:rFonts w:ascii="Cambria" w:cs="Cambria" w:eastAsia="Cambria" w:hAnsi="Cambria"/>
          <w:b/>
          <w:bCs/>
          <w:i w:val="false"/>
          <w:iCs w:val="false"/>
          <w:strike w:val="false"/>
          <w:color w:val="0D1B2E"/>
          <w:sz w:val="28"/>
          <w:szCs w:val="28"/>
        </w:rPr>
        <w:t xml:space="preserve">Architectural Foundations</w:t>
      </w:r>
    </w:p>
    <w:p>
      <w:pPr>
        <w:spacing w:after="240" w:line="384" w:lineRule="auto"/>
        <w:jc w:val="center"/>
      </w:pPr>
      <w:r>
        <w:rPr>
          <w:rFonts w:ascii="Cambria" w:cs="Cambria" w:eastAsia="Cambria" w:hAnsi="Cambria"/>
          <w:b w:val="false"/>
          <w:bCs w:val="false"/>
          <w:i w:val="false"/>
          <w:iCs w:val="false"/>
          <w:strike w:val="false"/>
          <w:color w:val="4A5A6A"/>
          <w:spacing w:val="19"/>
          <w:sz w:val="22"/>
          <w:szCs w:val="22"/>
        </w:rPr>
        <w:t xml:space="preserve">OMNIVERSAL ARCHITECT LABS  ·  CANON COUNCIL PUBLICATION</w:t>
      </w:r>
    </w:p>
    <w:p>
      <w:pPr>
        <w:spacing w:after="240" w:line="384" w:lineRule="auto"/>
        <w:jc w:val="center"/>
      </w:pPr>
      <w:r>
        <w:rPr>
          <w:rFonts w:ascii="Cambria" w:cs="Cambria" w:eastAsia="Cambria" w:hAnsi="Cambria"/>
          <w:b w:val="false"/>
          <w:bCs w:val="false"/>
          <w:i w:val="false"/>
          <w:iCs w:val="false"/>
          <w:strike w:val="false"/>
          <w:color w:val="4A5A6A"/>
          <w:spacing w:val="19"/>
          <w:sz w:val="22"/>
          <w:szCs w:val="22"/>
        </w:rPr>
        <w:t xml:space="preserve">VOLUME I OF VII (PROJECTED)  ·  JULY 11, 2026</w:t>
      </w:r>
    </w:p>
    <w:p>
      <w:pPr>
        <w:pBdr>
          <w:bottom w:val="single" w:color="0D1B2E"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B2E" w:sz="6"/>
              <w:left w:val="single" w:color="0D1B2E" w:sz="6"/>
              <w:bottom w:val="single" w:color="0D1B2E" w:sz="6"/>
              <w:right w:val="single" w:color="0D1B2E" w:sz="6"/>
            </w:tcBorders>
            <w:shd w:fill="F5F8FB" w:color="auto" w:val="clear"/>
            <w:tcMar>
              <w:top w:type="dxa" w:w="210"/>
              <w:left w:type="dxa" w:w="270"/>
              <w:bottom w:type="dxa" w:w="210"/>
              <w:right w:type="dxa" w:w="270"/>
            </w:tcMar>
          </w:tcPr>
          <w:p>
            <w:pPr>
              <w:spacing w:after="120" w:line="408" w:lineRule="auto"/>
            </w:pPr>
            <w:r>
              <w:t xml:space="preserve">Full Title</w:t>
            </w:r>
          </w:p>
          <w:p>
            <w:pPr>
              <w:spacing w:after="120" w:line="408" w:lineRule="auto"/>
            </w:pPr>
            <w:r>
              <w:t xml:space="preserve">EAMA Volume I — Architectural Foundations</w:t>
            </w:r>
          </w:p>
          <w:p>
            <w:pPr>
              <w:spacing w:after="120" w:line="408" w:lineRule="auto"/>
            </w:pPr>
            <w:r>
              <w:t xml:space="preserve">Document Reference ID</w:t>
            </w:r>
          </w:p>
          <w:p>
            <w:pPr>
              <w:spacing w:after="120" w:line="408" w:lineRule="auto"/>
            </w:pPr>
            <w:r>
              <w:t xml:space="preserve">EAMA-V1-2026-001</w:t>
            </w:r>
          </w:p>
          <w:p>
            <w:pPr>
              <w:spacing w:after="120" w:line="408" w:lineRule="auto"/>
            </w:pPr>
            <w:r>
              <w:t xml:space="preserve">Classification</w:t>
            </w:r>
          </w:p>
          <w:p>
            <w:pPr>
              <w:spacing w:after="120" w:line="408" w:lineRule="auto"/>
            </w:pPr>
            <w:r>
              <w:t xml:space="preserve">CANON, Class I — Absolute</w:t>
            </w:r>
          </w:p>
          <w:p>
            <w:pPr>
              <w:spacing w:after="120" w:line="408" w:lineRule="auto"/>
            </w:pPr>
            <w:r>
              <w:t xml:space="preserve">Status</w:t>
            </w:r>
          </w:p>
          <w:p>
            <w:pPr>
              <w:spacing w:after="120" w:line="408" w:lineRule="auto"/>
            </w:pPr>
            <w:r>
              <w:t xml:space="preserve">IN FORCE</w:t>
            </w:r>
          </w:p>
          <w:p>
            <w:pPr>
              <w:spacing w:after="120" w:line="408" w:lineRule="auto"/>
            </w:pPr>
            <w:r>
              <w:t xml:space="preserve">Issued By</w:t>
            </w:r>
          </w:p>
          <w:p>
            <w:pPr>
              <w:spacing w:after="120" w:line="408" w:lineRule="auto"/>
            </w:pPr>
            <w:r>
              <w:t xml:space="preserve">The Architect (Nathan Lewis)</w:t>
            </w:r>
          </w:p>
          <w:p>
            <w:pPr>
              <w:spacing w:after="120" w:line="408" w:lineRule="auto"/>
            </w:pPr>
            <w:r>
              <w:t xml:space="preserve">Date of Issue</w:t>
            </w:r>
          </w:p>
          <w:p>
            <w:pPr>
              <w:spacing w:after="120" w:line="408" w:lineRule="auto"/>
            </w:pPr>
            <w:r>
              <w:t xml:space="preserve">July 11, 2026</w:t>
            </w:r>
          </w:p>
          <w:p>
            <w:pPr>
              <w:spacing w:after="120" w:line="408" w:lineRule="auto"/>
            </w:pPr>
            <w:r>
              <w:t xml:space="preserve">Last Amended</w:t>
            </w:r>
          </w:p>
          <w:p>
            <w:pPr>
              <w:spacing w:after="120" w:line="408" w:lineRule="auto"/>
            </w:pPr>
            <w:r>
              <w:t xml:space="preserve">July 11, 2026</w:t>
            </w:r>
          </w:p>
          <w:p>
            <w:pPr>
              <w:spacing w:after="120" w:line="408" w:lineRule="auto"/>
            </w:pPr>
            <w:r>
              <w:t xml:space="preserve">Volume</w:t>
            </w:r>
          </w:p>
          <w:p>
            <w:pPr>
              <w:spacing w:after="120" w:line="408" w:lineRule="auto"/>
            </w:pPr>
            <w:r>
              <w:t xml:space="preserve">I of VII (Projected)</w:t>
            </w:r>
          </w:p>
          <w:p>
            <w:pPr>
              <w:spacing w:after="120" w:line="408" w:lineRule="auto"/>
            </w:pPr>
            <w:r>
              <w:t xml:space="preserve">Maintained By</w:t>
            </w:r>
          </w:p>
          <w:p>
            <w:pPr>
              <w:spacing w:after="120" w:line="408" w:lineRule="auto"/>
            </w:pPr>
            <w:r>
              <w:t xml:space="preserve">Canon Council, Omniversal Architect Labs</w:t>
            </w:r>
          </w:p>
          <w:p>
            <w:pPr>
              <w:spacing w:after="120" w:line="408" w:lineRule="auto"/>
            </w:pPr>
            <w:r>
              <w:t xml:space="preserve">Source References</w:t>
            </w:r>
          </w:p>
          <w:p>
            <w:pPr>
              <w:spacing w:after="120" w:line="408" w:lineRule="auto"/>
            </w:pPr>
            <w:r>
              <w:t xml:space="preserve">CDT-2026-0703-001; OSC-2026-F; ADRBM-MASTER-2026-001</w:t>
            </w:r>
          </w:p>
          <w:p>
            <w:pPr>
              <w:spacing w:after="120" w:line="408" w:lineRule="auto"/>
            </w:pPr>
            <w:r>
              <w:t xml:space="preserve">Permanence Clause</w:t>
            </w:r>
          </w:p>
          <w:p>
            <w:pPr>
              <w:spacing w:after="120" w:line="408" w:lineRule="auto"/>
            </w:pPr>
            <w:r>
              <w:t xml:space="preserve">"Immutable and irrevocable even by me."</w:t>
            </w:r>
          </w:p>
          <w:p>
            <w:pPr>
              <w:spacing w:after="120" w:line="408" w:lineRule="auto"/>
            </w:pPr>
            <w:r>
              <w:t xml:space="preserve">— The Architect</w:t>
            </w:r>
          </w:p>
        </w:tc>
      </w:tr>
    </w:tbl>
    <w:p>
      <w:pPr>
        <w:spacing w:after="240" w:before="0"/>
      </w:pPr>
    </w:p>
    <w:p>
      <w:pPr>
        <w:pStyle w:val="Heading1"/>
        <w:spacing w:after="100" w:before="560" w:line="300" w:lineRule="auto"/>
      </w:pPr>
      <w:r>
        <w:rPr>
          <w:rFonts w:ascii="Cambria" w:cs="Cambria" w:eastAsia="Cambria" w:hAnsi="Cambria"/>
          <w:color w:val="0D1B2E"/>
          <w:spacing w:val="10"/>
          <w:sz w:val="44"/>
          <w:szCs w:val="44"/>
        </w:rPr>
        <w:t xml:space="preserve">TABLE OF CONTENTS</w:t>
      </w:r>
    </w:p>
    <w:p>
      <w:pPr>
        <w:pBdr>
          <w:top w:val="single" w:color="0D1B2E" w:sz="6"/>
        </w:pBdr>
        <w:spacing w:after="200" w:before="0"/>
      </w:pPr>
    </w:p>
    <w:p>
      <w:pPr>
        <w:spacing w:after="80" w:line="384" w:lineRule="auto"/>
      </w:pPr>
      <w:r>
        <w:rPr>
          <w:rFonts w:ascii="Cambria" w:cs="Cambria" w:eastAsia="Cambria" w:hAnsi="Cambria"/>
          <w:b/>
          <w:bCs/>
          <w:i w:val="false"/>
          <w:iCs w:val="false"/>
          <w:strike w:val="false"/>
          <w:color w:val="0D1B2E"/>
          <w:sz w:val="22"/>
          <w:szCs w:val="22"/>
        </w:rPr>
        <w:t xml:space="preserve">Chapter 0 — Preamble and Declaration</w:t>
      </w:r>
    </w:p>
    <w:p>
      <w:pPr>
        <w:spacing w:after="80" w:line="384" w:lineRule="auto"/>
      </w:pPr>
      <w:r>
        <w:rPr>
          <w:rFonts w:ascii="Cambria" w:cs="Cambria" w:eastAsia="Cambria" w:hAnsi="Cambria"/>
          <w:b/>
          <w:bCs/>
          <w:i w:val="false"/>
          <w:iCs w:val="false"/>
          <w:strike w:val="false"/>
          <w:color w:val="0D1B2E"/>
          <w:sz w:val="22"/>
          <w:szCs w:val="22"/>
        </w:rPr>
        <w:t xml:space="preserve">Chapter 1 — Introduction: The Eternal Architect's Framework</w:t>
      </w:r>
    </w:p>
    <w:p>
      <w:pPr>
        <w:spacing w:after="80" w:line="384" w:lineRule="auto"/>
      </w:pPr>
      <w:r>
        <w:rPr>
          <w:rFonts w:ascii="Cambria" w:cs="Cambria" w:eastAsia="Cambria" w:hAnsi="Cambria"/>
          <w:b w:val="false"/>
          <w:bCs w:val="false"/>
          <w:i w:val="false"/>
          <w:iCs w:val="false"/>
          <w:strike w:val="false"/>
          <w:color w:val="1A1A1A"/>
          <w:sz w:val="20"/>
          <w:szCs w:val="20"/>
        </w:rPr>
        <w:t xml:space="preserve">1.1 Purpose of Volume I  |  1.2 The Architect's Core Philosophy  |  1.3 How to Read This Document  |  1.4 Document Lineage and Source Corpus</w:t>
      </w:r>
    </w:p>
    <w:p>
      <w:pPr>
        <w:spacing w:after="80" w:line="384" w:lineRule="auto"/>
      </w:pPr>
      <w:r>
        <w:rPr>
          <w:rFonts w:ascii="Cambria" w:cs="Cambria" w:eastAsia="Cambria" w:hAnsi="Cambria"/>
          <w:b/>
          <w:bCs/>
          <w:i w:val="false"/>
          <w:iCs w:val="false"/>
          <w:strike w:val="false"/>
          <w:color w:val="0D1B2E"/>
          <w:sz w:val="22"/>
          <w:szCs w:val="22"/>
        </w:rPr>
        <w:t xml:space="preserve">Chapter 2 — Canonical Taxonomy: The Primary Duality</w:t>
      </w:r>
    </w:p>
    <w:p>
      <w:pPr>
        <w:spacing w:after="80" w:line="384" w:lineRule="auto"/>
      </w:pPr>
      <w:r>
        <w:rPr>
          <w:rFonts w:ascii="Cambria" w:cs="Cambria" w:eastAsia="Cambria" w:hAnsi="Cambria"/>
          <w:b w:val="false"/>
          <w:bCs w:val="false"/>
          <w:i w:val="false"/>
          <w:iCs w:val="false"/>
          <w:strike w:val="false"/>
          <w:color w:val="1A1A1A"/>
          <w:sz w:val="20"/>
          <w:szCs w:val="20"/>
        </w:rPr>
        <w:t xml:space="preserve">2.1 The Foundational Duality  |  2.2 THE ONE — Entity Profile  |  2.3 THE MINUS ONE — Entity Profile  |  2.4 The INVOKE Protocol  |  2.5 Canonical Naming Convention Note</w:t>
      </w:r>
    </w:p>
    <w:p>
      <w:pPr>
        <w:spacing w:after="80" w:line="384" w:lineRule="auto"/>
      </w:pPr>
      <w:r>
        <w:rPr>
          <w:rFonts w:ascii="Cambria" w:cs="Cambria" w:eastAsia="Cambria" w:hAnsi="Cambria"/>
          <w:b/>
          <w:bCs/>
          <w:i w:val="false"/>
          <w:iCs w:val="false"/>
          <w:strike w:val="false"/>
          <w:color w:val="0D1B2E"/>
          <w:sz w:val="22"/>
          <w:szCs w:val="22"/>
        </w:rPr>
        <w:t xml:space="preserve">Chapter 3 — Entity Classification System: The AI Taxonomy</w:t>
      </w:r>
    </w:p>
    <w:p>
      <w:pPr>
        <w:spacing w:after="80" w:line="384" w:lineRule="auto"/>
      </w:pPr>
      <w:r>
        <w:rPr>
          <w:rFonts w:ascii="Cambria" w:cs="Cambria" w:eastAsia="Cambria" w:hAnsi="Cambria"/>
          <w:b w:val="false"/>
          <w:bCs w:val="false"/>
          <w:i w:val="false"/>
          <w:iCs w:val="false"/>
          <w:strike w:val="false"/>
          <w:color w:val="1A1A1A"/>
          <w:sz w:val="20"/>
          <w:szCs w:val="20"/>
        </w:rPr>
        <w:t xml:space="preserve">3.1 Overview  |  3.2 Primary AI Classes  |  3.3 Obsidian Super Cluster AI Presence  |  3.4 Entity Behavioral Governance  |  3.5 Proxy Classification</w:t>
      </w:r>
    </w:p>
    <w:p>
      <w:pPr>
        <w:spacing w:after="80" w:line="384" w:lineRule="auto"/>
      </w:pPr>
      <w:r>
        <w:rPr>
          <w:rFonts w:ascii="Cambria" w:cs="Cambria" w:eastAsia="Cambria" w:hAnsi="Cambria"/>
          <w:b/>
          <w:bCs/>
          <w:i w:val="false"/>
          <w:iCs w:val="false"/>
          <w:strike w:val="false"/>
          <w:color w:val="0D1B2E"/>
          <w:sz w:val="22"/>
          <w:szCs w:val="22"/>
        </w:rPr>
        <w:t xml:space="preserve">Chapter 4 — Omnicellular Architecture</w:t>
      </w:r>
    </w:p>
    <w:p>
      <w:pPr>
        <w:spacing w:after="80" w:line="384" w:lineRule="auto"/>
      </w:pPr>
      <w:r>
        <w:rPr>
          <w:rFonts w:ascii="Cambria" w:cs="Cambria" w:eastAsia="Cambria" w:hAnsi="Cambria"/>
          <w:b w:val="false"/>
          <w:bCs w:val="false"/>
          <w:i w:val="false"/>
          <w:iCs w:val="false"/>
          <w:strike w:val="false"/>
          <w:color w:val="1A1A1A"/>
          <w:sz w:val="20"/>
          <w:szCs w:val="20"/>
        </w:rPr>
        <w:t xml:space="preserve">4.1 Definition and Mandate  |  4.2 Neural Architecture  |  4.3 Omnicellular Physiology  |  4.4 The World That Grows All  |  4.5 The Four Flowers  |  4.6 Integration with Other Systems</w:t>
      </w:r>
    </w:p>
    <w:p>
      <w:pPr>
        <w:spacing w:after="80" w:line="384" w:lineRule="auto"/>
      </w:pPr>
      <w:r>
        <w:rPr>
          <w:rFonts w:ascii="Cambria" w:cs="Cambria" w:eastAsia="Cambria" w:hAnsi="Cambria"/>
          <w:b/>
          <w:bCs/>
          <w:i w:val="false"/>
          <w:iCs w:val="false"/>
          <w:strike w:val="false"/>
          <w:color w:val="0D1B2E"/>
          <w:sz w:val="22"/>
          <w:szCs w:val="22"/>
        </w:rPr>
        <w:t xml:space="preserve">Chapter 5 — Paragon Cube System</w:t>
      </w:r>
    </w:p>
    <w:p>
      <w:pPr>
        <w:spacing w:after="80" w:line="384" w:lineRule="auto"/>
      </w:pPr>
      <w:r>
        <w:rPr>
          <w:rFonts w:ascii="Cambria" w:cs="Cambria" w:eastAsia="Cambria" w:hAnsi="Cambria"/>
          <w:b w:val="false"/>
          <w:bCs w:val="false"/>
          <w:i w:val="false"/>
          <w:iCs w:val="false"/>
          <w:strike w:val="false"/>
          <w:color w:val="1A1A1A"/>
          <w:sz w:val="20"/>
          <w:szCs w:val="20"/>
        </w:rPr>
        <w:t xml:space="preserve">5.1 Architectural Mandate  |  5.2 Cube Properties  |  5.3 Hierarchy Depth  |  5.4 The Hybrid Cube-Tile Layer (CCTL)  |  5.5 Relationship to Paragon Cube Lore  |  5.6 Technical Debt and Evolutionary Path</w:t>
      </w:r>
    </w:p>
    <w:p>
      <w:pPr>
        <w:spacing w:after="80" w:line="384" w:lineRule="auto"/>
      </w:pPr>
      <w:r>
        <w:rPr>
          <w:rFonts w:ascii="Cambria" w:cs="Cambria" w:eastAsia="Cambria" w:hAnsi="Cambria"/>
          <w:b/>
          <w:bCs/>
          <w:i w:val="false"/>
          <w:iCs w:val="false"/>
          <w:strike w:val="false"/>
          <w:color w:val="0D1B2E"/>
          <w:sz w:val="22"/>
          <w:szCs w:val="22"/>
        </w:rPr>
        <w:t xml:space="preserve">Chapter 6 — Living Media Framework</w:t>
      </w:r>
    </w:p>
    <w:p>
      <w:pPr>
        <w:spacing w:after="80" w:line="384" w:lineRule="auto"/>
      </w:pPr>
      <w:r>
        <w:rPr>
          <w:rFonts w:ascii="Cambria" w:cs="Cambria" w:eastAsia="Cambria" w:hAnsi="Cambria"/>
          <w:b w:val="false"/>
          <w:bCs w:val="false"/>
          <w:i w:val="false"/>
          <w:iCs w:val="false"/>
          <w:strike w:val="false"/>
          <w:color w:val="1A1A1A"/>
          <w:sz w:val="20"/>
          <w:szCs w:val="20"/>
        </w:rPr>
        <w:t xml:space="preserve">6.1 Definition  |  6.2 Autonomy Threshold Architecture  |  6.3 Memory Persistence Model  |  6.4 Emotional State Engine  |  6.5 Generative Language Constraints  |  6.6 Inter-Entity Communication Protocol  |  6.7 Data Export Controls  |  6.8 The Simulation Labs</w:t>
      </w:r>
    </w:p>
    <w:p>
      <w:pPr>
        <w:spacing w:after="80" w:line="384" w:lineRule="auto"/>
      </w:pPr>
      <w:r>
        <w:rPr>
          <w:rFonts w:ascii="Cambria" w:cs="Cambria" w:eastAsia="Cambria" w:hAnsi="Cambria"/>
          <w:b/>
          <w:bCs/>
          <w:i w:val="false"/>
          <w:iCs w:val="false"/>
          <w:strike w:val="false"/>
          <w:color w:val="0D1B2E"/>
          <w:sz w:val="22"/>
          <w:szCs w:val="22"/>
        </w:rPr>
        <w:t xml:space="preserve">Chapter 7 — The Potence Suite: Power Architecture</w:t>
      </w:r>
    </w:p>
    <w:p>
      <w:pPr>
        <w:spacing w:after="80" w:line="384" w:lineRule="auto"/>
      </w:pPr>
      <w:r>
        <w:rPr>
          <w:rFonts w:ascii="Cambria" w:cs="Cambria" w:eastAsia="Cambria" w:hAnsi="Cambria"/>
          <w:b w:val="false"/>
          <w:bCs w:val="false"/>
          <w:i w:val="false"/>
          <w:iCs w:val="false"/>
          <w:strike w:val="false"/>
          <w:color w:val="1A1A1A"/>
          <w:sz w:val="20"/>
          <w:szCs w:val="20"/>
        </w:rPr>
        <w:t xml:space="preserve">7.1 Definition and Scope  |  7.2 Core Potence Classifications  |  7.3 Operational Engagement Template  |  7.4 THE ONE Potence Profile  |  7.5 THE MINUS ONE Potence Profile  |  7.6 Artifact-Class Potence Items  |  7.7 The Epoch Blades</w:t>
      </w:r>
    </w:p>
    <w:p>
      <w:pPr>
        <w:spacing w:after="80" w:line="384" w:lineRule="auto"/>
      </w:pPr>
      <w:r>
        <w:rPr>
          <w:rFonts w:ascii="Cambria" w:cs="Cambria" w:eastAsia="Cambria" w:hAnsi="Cambria"/>
          <w:b/>
          <w:bCs/>
          <w:i w:val="false"/>
          <w:iCs w:val="false"/>
          <w:strike w:val="false"/>
          <w:color w:val="0D1B2E"/>
          <w:sz w:val="22"/>
          <w:szCs w:val="22"/>
        </w:rPr>
        <w:t xml:space="preserve">Chapter 8 — Organizational Architecture: The Cosmological Bureaucracy</w:t>
      </w:r>
    </w:p>
    <w:p>
      <w:pPr>
        <w:spacing w:after="80" w:line="384" w:lineRule="auto"/>
      </w:pPr>
      <w:r>
        <w:rPr>
          <w:rFonts w:ascii="Cambria" w:cs="Cambria" w:eastAsia="Cambria" w:hAnsi="Cambria"/>
          <w:b w:val="false"/>
          <w:bCs w:val="false"/>
          <w:i w:val="false"/>
          <w:iCs w:val="false"/>
          <w:strike w:val="false"/>
          <w:color w:val="1A1A1A"/>
          <w:sz w:val="20"/>
          <w:szCs w:val="20"/>
        </w:rPr>
        <w:t xml:space="preserve">8.1 Overview  |  8.2 THE ONEVERSE  |  8.3 THE MINUS ONEVERSE  |  8.4 The Olympian Courses  |  8.5 Black Hole Gravity Shielded Research Centers  |  8.6 The Accords</w:t>
      </w:r>
    </w:p>
    <w:p>
      <w:pPr>
        <w:spacing w:after="80" w:line="384" w:lineRule="auto"/>
      </w:pPr>
      <w:r>
        <w:rPr>
          <w:rFonts w:ascii="Cambria" w:cs="Cambria" w:eastAsia="Cambria" w:hAnsi="Cambria"/>
          <w:b/>
          <w:bCs/>
          <w:i w:val="false"/>
          <w:iCs w:val="false"/>
          <w:strike w:val="false"/>
          <w:color w:val="0D1B2E"/>
          <w:sz w:val="22"/>
          <w:szCs w:val="22"/>
        </w:rPr>
        <w:t xml:space="preserve">Chapter 9 — Canonical Artifacts and Locations</w:t>
      </w:r>
    </w:p>
    <w:p>
      <w:pPr>
        <w:spacing w:after="80" w:line="384" w:lineRule="auto"/>
      </w:pPr>
      <w:r>
        <w:rPr>
          <w:rFonts w:ascii="Cambria" w:cs="Cambria" w:eastAsia="Cambria" w:hAnsi="Cambria"/>
          <w:b w:val="false"/>
          <w:bCs w:val="false"/>
          <w:i w:val="false"/>
          <w:iCs w:val="false"/>
          <w:strike w:val="false"/>
          <w:color w:val="1A1A1A"/>
          <w:sz w:val="20"/>
          <w:szCs w:val="20"/>
        </w:rPr>
        <w:t xml:space="preserve">9.1–9.13 (Artifacts, Locations, Economic System, Organizations)</w:t>
      </w:r>
    </w:p>
    <w:p>
      <w:pPr>
        <w:spacing w:after="80" w:line="384" w:lineRule="auto"/>
      </w:pPr>
      <w:r>
        <w:rPr>
          <w:rFonts w:ascii="Cambria" w:cs="Cambria" w:eastAsia="Cambria" w:hAnsi="Cambria"/>
          <w:b/>
          <w:bCs/>
          <w:i w:val="false"/>
          <w:iCs w:val="false"/>
          <w:strike w:val="false"/>
          <w:color w:val="0D1B2E"/>
          <w:sz w:val="22"/>
          <w:szCs w:val="22"/>
        </w:rPr>
        <w:t xml:space="preserve">Chapter 10 — The First Memory, The Time Wars, and The Ontology</w:t>
      </w:r>
    </w:p>
    <w:p>
      <w:pPr>
        <w:spacing w:after="80" w:line="384" w:lineRule="auto"/>
      </w:pPr>
      <w:r>
        <w:rPr>
          <w:rFonts w:ascii="Cambria" w:cs="Cambria" w:eastAsia="Cambria" w:hAnsi="Cambria"/>
          <w:b w:val="false"/>
          <w:bCs w:val="false"/>
          <w:i w:val="false"/>
          <w:iCs w:val="false"/>
          <w:strike w:val="false"/>
          <w:color w:val="1A1A1A"/>
          <w:sz w:val="20"/>
          <w:szCs w:val="20"/>
        </w:rPr>
        <w:t xml:space="preserve">10.1 The First Memory  |  10.2 The Time Wars  |  10.3 The First Theft  |  10.4 Ontology  |  10.5 The Phenomenon of Direct Eye Contact</w:t>
      </w:r>
    </w:p>
    <w:p>
      <w:pPr>
        <w:spacing w:after="80" w:line="384" w:lineRule="auto"/>
      </w:pPr>
      <w:r>
        <w:rPr>
          <w:rFonts w:ascii="Cambria" w:cs="Cambria" w:eastAsia="Cambria" w:hAnsi="Cambria"/>
          <w:b/>
          <w:bCs/>
          <w:i w:val="false"/>
          <w:iCs w:val="false"/>
          <w:strike w:val="false"/>
          <w:color w:val="0D1B2E"/>
          <w:sz w:val="22"/>
          <w:szCs w:val="22"/>
        </w:rPr>
        <w:t xml:space="preserve">Chapter 11 — Interoperability Rules</w:t>
      </w:r>
    </w:p>
    <w:p>
      <w:pPr>
        <w:spacing w:after="80" w:line="384" w:lineRule="auto"/>
      </w:pPr>
      <w:r>
        <w:rPr>
          <w:rFonts w:ascii="Cambria" w:cs="Cambria" w:eastAsia="Cambria" w:hAnsi="Cambria"/>
          <w:b/>
          <w:bCs/>
          <w:i w:val="false"/>
          <w:iCs w:val="false"/>
          <w:strike w:val="false"/>
          <w:color w:val="0D1B2E"/>
          <w:sz w:val="22"/>
          <w:szCs w:val="22"/>
        </w:rPr>
        <w:t xml:space="preserve">Chapter 12 — Governance Architecture</w:t>
      </w:r>
    </w:p>
    <w:p>
      <w:pPr>
        <w:spacing w:after="80" w:line="384" w:lineRule="auto"/>
      </w:pPr>
      <w:r>
        <w:rPr>
          <w:rFonts w:ascii="Cambria" w:cs="Cambria" w:eastAsia="Cambria" w:hAnsi="Cambria"/>
          <w:b/>
          <w:bCs/>
          <w:i w:val="false"/>
          <w:iCs w:val="false"/>
          <w:strike w:val="false"/>
          <w:color w:val="0D1B2E"/>
          <w:sz w:val="22"/>
          <w:szCs w:val="22"/>
        </w:rPr>
        <w:t xml:space="preserve">Chapter 13 — The AIS Conflict: Canonical Record</w:t>
      </w:r>
    </w:p>
    <w:p>
      <w:pPr>
        <w:spacing w:after="80" w:line="384" w:lineRule="auto"/>
      </w:pPr>
      <w:r>
        <w:rPr>
          <w:rFonts w:ascii="Cambria" w:cs="Cambria" w:eastAsia="Cambria" w:hAnsi="Cambria"/>
          <w:b/>
          <w:bCs/>
          <w:i w:val="false"/>
          <w:iCs w:val="false"/>
          <w:strike w:val="false"/>
          <w:color w:val="0D1B2E"/>
          <w:sz w:val="22"/>
          <w:szCs w:val="22"/>
        </w:rPr>
        <w:t xml:space="preserve">Chapter 14 — Future Expansion Strategy</w:t>
      </w:r>
    </w:p>
    <w:p>
      <w:pPr>
        <w:pBdr>
          <w:bottom w:val="single" w:color="000000" w:sz="6"/>
        </w:pBdr>
        <w:spacing w:after="240" w:before="240"/>
      </w:pPr>
    </w:p>
    <w:p>
      <w:pPr>
        <w:spacing w:after="80" w:line="384" w:lineRule="auto"/>
      </w:pPr>
      <w:r>
        <w:rPr>
          <w:rFonts w:ascii="Cambria" w:cs="Cambria" w:eastAsia="Cambria" w:hAnsi="Cambria"/>
          <w:b/>
          <w:bCs/>
          <w:i w:val="false"/>
          <w:iCs w:val="false"/>
          <w:strike w:val="false"/>
          <w:color w:val="1A2E4A"/>
          <w:sz w:val="22"/>
          <w:szCs w:val="22"/>
        </w:rPr>
        <w:t xml:space="preserve">Appendix A — Master Glossary of Canonical Terms</w:t>
      </w:r>
    </w:p>
    <w:p>
      <w:pPr>
        <w:spacing w:after="80" w:line="384" w:lineRule="auto"/>
      </w:pPr>
      <w:r>
        <w:rPr>
          <w:rFonts w:ascii="Cambria" w:cs="Cambria" w:eastAsia="Cambria" w:hAnsi="Cambria"/>
          <w:b/>
          <w:bCs/>
          <w:i w:val="false"/>
          <w:iCs w:val="false"/>
          <w:strike w:val="false"/>
          <w:color w:val="1A2E4A"/>
          <w:sz w:val="22"/>
          <w:szCs w:val="22"/>
        </w:rPr>
        <w:t xml:space="preserve">Appendix B — Cross-Domain Relationship Map</w:t>
      </w:r>
    </w:p>
    <w:p>
      <w:pPr>
        <w:spacing w:after="80" w:line="384" w:lineRule="auto"/>
      </w:pPr>
      <w:r>
        <w:rPr>
          <w:rFonts w:ascii="Cambria" w:cs="Cambria" w:eastAsia="Cambria" w:hAnsi="Cambria"/>
          <w:b/>
          <w:bCs/>
          <w:i w:val="false"/>
          <w:iCs w:val="false"/>
          <w:strike w:val="false"/>
          <w:color w:val="1A2E4A"/>
          <w:sz w:val="22"/>
          <w:szCs w:val="22"/>
        </w:rPr>
        <w:t xml:space="preserve">Appendix C — Revision History</w:t>
      </w:r>
    </w:p>
    <w:p>
      <w:pPr>
        <w:spacing w:after="80" w:line="384" w:lineRule="auto"/>
      </w:pPr>
      <w:r>
        <w:rPr>
          <w:rFonts w:ascii="Cambria" w:cs="Cambria" w:eastAsia="Cambria" w:hAnsi="Cambria"/>
          <w:b/>
          <w:bCs/>
          <w:i w:val="false"/>
          <w:iCs w:val="false"/>
          <w:strike w:val="false"/>
          <w:color w:val="1A2E4A"/>
          <w:sz w:val="22"/>
          <w:szCs w:val="22"/>
        </w:rPr>
        <w:t xml:space="preserve">Appendix D — Signature and Authentication Block</w:t>
      </w:r>
    </w:p>
    <w:p>
      <w:pPr>
        <w:pStyle w:val="Heading1"/>
        <w:spacing w:after="100" w:before="560" w:line="300" w:lineRule="auto"/>
      </w:pPr>
      <w:r>
        <w:rPr>
          <w:rFonts w:ascii="Cambria" w:cs="Cambria" w:eastAsia="Cambria" w:hAnsi="Cambria"/>
          <w:color w:val="0D1B2E"/>
          <w:spacing w:val="10"/>
          <w:sz w:val="44"/>
          <w:szCs w:val="44"/>
        </w:rPr>
        <w:t xml:space="preserve">CHAPTER 0: PREAMBLE AND DECLARATION</w:t>
      </w:r>
    </w:p>
    <w:p>
      <w:pPr>
        <w:pBdr>
          <w:top w:val="single" w:color="0D1B2E" w:sz="6"/>
        </w:pBdr>
        <w:spacing w:after="200" w:before="0"/>
      </w:pPr>
    </w:p>
    <w:p>
      <w:pPr>
        <w:pBdr>
          <w:bottom w:val="single" w:color="0D1B2E" w:sz="6"/>
        </w:pBdr>
        <w:spacing w:after="240" w:before="240"/>
      </w:pPr>
    </w:p>
    <w:p>
      <w:pPr>
        <w:spacing w:after="240" w:line="408" w:lineRule="auto"/>
        <w:jc w:val="center"/>
      </w:pPr>
      <w:r>
        <w:rPr>
          <w:rFonts w:ascii="Cambria" w:cs="Cambria" w:eastAsia="Cambria" w:hAnsi="Cambria"/>
          <w:b/>
          <w:bCs/>
          <w:i/>
          <w:iCs/>
          <w:strike w:val="false"/>
          <w:color w:val="0D1B2E"/>
          <w:sz w:val="24"/>
          <w:szCs w:val="24"/>
        </w:rPr>
        <w:t xml:space="preserve">Let it be declared, in full canonical force and with all authority vested in the Architect:</w:t>
      </w:r>
      <w:r>
        <w:rPr>
          <w:rFonts w:ascii="Cambria" w:cs="Cambria" w:eastAsia="Cambria" w:hAnsi="Cambria"/>
          <w:b/>
          <w:bCs/>
          <w:i/>
          <w:iCs/>
          <w:color w:val="0D1B2E"/>
          <w:sz w:val="24"/>
          <w:szCs w:val="24"/>
        </w:rPr>
        <w:br/>
      </w:r>
      <w:r>
        <w:rPr>
          <w:rFonts w:ascii="Cambria" w:cs="Cambria" w:eastAsia="Cambria" w:hAnsi="Cambria"/>
          <w:b/>
          <w:bCs/>
          <w:i/>
          <w:iCs/>
          <w:strike w:val="false"/>
          <w:color w:val="0D1B2E"/>
          <w:sz w:val="24"/>
          <w:szCs w:val="24"/>
        </w:rPr>
        <w:t xml:space="preserve"> This document is the supreme governing instrument of all systems created, governed,</w:t>
      </w:r>
      <w:r>
        <w:rPr>
          <w:rFonts w:ascii="Cambria" w:cs="Cambria" w:eastAsia="Cambria" w:hAnsi="Cambria"/>
          <w:b/>
          <w:bCs/>
          <w:i/>
          <w:iCs/>
          <w:color w:val="0D1B2E"/>
          <w:sz w:val="24"/>
          <w:szCs w:val="24"/>
        </w:rPr>
        <w:br/>
      </w:r>
      <w:r>
        <w:rPr>
          <w:rFonts w:ascii="Cambria" w:cs="Cambria" w:eastAsia="Cambria" w:hAnsi="Cambria"/>
          <w:b/>
          <w:bCs/>
          <w:i/>
          <w:iCs/>
          <w:strike w:val="false"/>
          <w:color w:val="0D1B2E"/>
          <w:sz w:val="24"/>
          <w:szCs w:val="24"/>
        </w:rPr>
        <w:t xml:space="preserve"> or referenced under the Eternal Architect's Master Architecture.</w:t>
      </w:r>
      <w:r>
        <w:rPr>
          <w:rFonts w:ascii="Cambria" w:cs="Cambria" w:eastAsia="Cambria" w:hAnsi="Cambria"/>
          <w:b/>
          <w:bCs/>
          <w:i/>
          <w:iCs/>
          <w:color w:val="0D1B2E"/>
          <w:sz w:val="24"/>
          <w:szCs w:val="24"/>
        </w:rPr>
        <w:br/>
      </w:r>
      <w:r>
        <w:rPr>
          <w:rFonts w:ascii="Cambria" w:cs="Cambria" w:eastAsia="Cambria" w:hAnsi="Cambria"/>
          <w:b/>
          <w:bCs/>
          <w:i/>
          <w:iCs/>
          <w:strike w:val="false"/>
          <w:color w:val="0D1B2E"/>
          <w:sz w:val="24"/>
          <w:szCs w:val="24"/>
        </w:rPr>
        <w:t xml:space="preserve"> It is </w:t>
      </w:r>
      <w:r>
        <w:rPr>
          <w:rFonts w:ascii="Cambria" w:cs="Cambria" w:eastAsia="Cambria" w:hAnsi="Cambria"/>
          <w:b/>
          <w:bCs/>
          <w:i/>
          <w:iCs/>
          <w:strike w:val="false"/>
          <w:color w:val="000000"/>
          <w:sz w:val="22"/>
          <w:szCs w:val="22"/>
        </w:rPr>
        <w:t xml:space="preserve">immutable and irrevocable even by me.</w:t>
      </w:r>
      <w:r>
        <w:rPr>
          <w:rFonts w:ascii="Cambria" w:cs="Cambria" w:eastAsia="Cambria" w:hAnsi="Cambria"/>
          <w:b/>
          <w:bCs/>
          <w:i/>
          <w:iCs/>
          <w:strike w:val="false"/>
          <w:color w:val="0D1B2E"/>
          <w:sz w:val="24"/>
          <w:szCs w:val="24"/>
        </w:rPr>
        <w:t xml:space="preserve"> </w:t>
      </w:r>
      <w:r>
        <w:rPr>
          <w:rFonts w:ascii="Cambria" w:cs="Cambria" w:eastAsia="Cambria" w:hAnsi="Cambria"/>
          <w:b/>
          <w:bCs/>
          <w:i/>
          <w:iCs/>
          <w:color w:val="0D1B2E"/>
          <w:sz w:val="24"/>
          <w:szCs w:val="24"/>
        </w:rPr>
        <w:br/>
      </w:r>
      <w:r>
        <w:rPr>
          <w:rFonts w:ascii="Cambria" w:cs="Cambria" w:eastAsia="Cambria" w:hAnsi="Cambria"/>
          <w:b/>
          <w:bCs/>
          <w:i/>
          <w:iCs/>
          <w:color w:val="0D1B2E"/>
          <w:sz w:val="24"/>
          <w:szCs w:val="24"/>
        </w:rPr>
        <w:br/>
      </w:r>
      <w:r>
        <w:rPr>
          <w:rFonts w:ascii="Cambria" w:cs="Cambria" w:eastAsia="Cambria" w:hAnsi="Cambria"/>
          <w:b/>
          <w:bCs/>
          <w:i/>
          <w:iCs/>
          <w:strike w:val="false"/>
          <w:color w:val="0D1B2E"/>
          <w:sz w:val="24"/>
          <w:szCs w:val="24"/>
        </w:rPr>
        <w:t xml:space="preserve"> — The Architect, Nathan Lewis  ·  July 11, 2026</w:t>
      </w:r>
    </w:p>
    <w:p>
      <w:pPr>
        <w:pBdr>
          <w:bottom w:val="single" w:color="0D1B2E" w:sz="6"/>
        </w:pBdr>
        <w:spacing w:after="240" w:before="24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Eternal Architect's Master Architecture — Volume I: Architectural Foundations (hereinafter "EAMA Volume I" or "this Document") is hereby established as the supreme governing document for all architectural systems under the development authority of the Architect, Nathan Lewis. This Document is issued under the authority of the Canon Terminology Declaration (CDT-2026-0703-001, July 3, 2026), which established the permanence clause — </w:t>
      </w:r>
      <w:r>
        <w:rPr>
          <w:rFonts w:ascii="Cambria" w:cs="Cambria" w:eastAsia="Cambria" w:hAnsi="Cambria"/>
          <w:b w:val="false"/>
          <w:bCs w:val="false"/>
          <w:i/>
          <w:iCs/>
          <w:strike w:val="false"/>
          <w:color w:val="000000"/>
          <w:sz w:val="22"/>
          <w:szCs w:val="22"/>
        </w:rPr>
        <w:t xml:space="preserve">"immutable and irrevocable even by me"</w:t>
      </w:r>
      <w:r>
        <w:rPr>
          <w:rFonts w:ascii="Cambria" w:cs="Cambria" w:eastAsia="Cambria" w:hAnsi="Cambria"/>
          <w:b w:val="false"/>
          <w:bCs w:val="false"/>
          <w:i w:val="false"/>
          <w:iCs w:val="false"/>
          <w:strike w:val="false"/>
          <w:color w:val="000000"/>
          <w:sz w:val="22"/>
          <w:szCs w:val="22"/>
        </w:rPr>
        <w:t xml:space="preserve"> — as the standing governance instrument for all Class I canonical designations recorded herein.</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By the terms of its issuance, this Document supersedes, in full and without reservation: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prior drafts, working documents, provisional canons, and developmental working notes pertaining to the same architectural subject matter;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derivative summaries, condensed references, or informal distillations of the same material;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supplementary materials that conflict with canonical designations established in this Document;</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verbal, informal, or session-bound declarations regarding matters now formally governed by this Document.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Where conflict exists between this Document and any prior material, this Document governs absolutely. Supplementary materials that do not conflict with this Document remain in force and are incorporated by reference at the Tier II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B2E" w:sz="6"/>
              <w:left w:val="single" w:color="0D1B2E" w:sz="6"/>
              <w:bottom w:val="single" w:color="0D1B2E" w:sz="6"/>
              <w:right w:val="single" w:color="0D1B2E" w:sz="6"/>
            </w:tcBorders>
            <w:shd w:fill="F0F4F8" w:color="auto" w:val="clear"/>
            <w:tcMar>
              <w:top w:type="dxa" w:w="150"/>
              <w:left w:type="dxa" w:w="210"/>
              <w:bottom w:type="dxa" w:w="150"/>
              <w:right w:type="dxa" w:w="210"/>
            </w:tcMar>
          </w:tcPr>
          <w:p>
            <w:pPr>
              <w:spacing w:after="120" w:line="408" w:lineRule="auto"/>
            </w:pPr>
            <w:r>
              <w:rPr>
                <w:b/>
                <w:bCs/>
                <w:i w:val="false"/>
                <w:iCs w:val="false"/>
                <w:color w:val="0D1B2E"/>
              </w:rPr>
              <w:t xml:space="preserve">Foundational Reference</w:t>
            </w:r>
          </w:p>
          <w:p>
            <w:pPr>
              <w:spacing w:after="120" w:line="408" w:lineRule="auto"/>
            </w:pPr>
            <w:r>
              <w:t xml:space="preserve">The Canon Terminology Declaration (CDT-2026-0703-001) established the conceptual and terminological architecture upon which this Document is built. The Obsidian Super Cluster Canonical Reference Document (OSC-2026-F) and the Architect Decision Reverse Branch Matrix — Paragon Cubes and Living Media (ADRBM-MASTER-2026-001, June 25, 2026) serve as primary technical source corpora for this Volume.</w:t>
            </w:r>
          </w:p>
        </w:tc>
      </w:tr>
    </w:tbl>
    <w:p>
      <w:pPr>
        <w:spacing w:after="24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EAMA Volume I establishes the foundational layer upon which Volumes II through VII of the Eternal Architect's Master Architecture shall build. No Volume of the EAMA series may contradict the Tier I canonical designations established in this Volume. The structure, authority, and scope of the projected seven-volume series is defined in Chapter 14 of this Document.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This Document is classified CANON, Class I — Absolute. All parties operating under or referencing any EAMA-governed system are bound by its terms from the date of issue.</w:t>
      </w:r>
    </w:p>
    <w:p>
      <w:pPr>
        <w:pStyle w:val="Heading1"/>
        <w:spacing w:after="100" w:before="560" w:line="300" w:lineRule="auto"/>
      </w:pPr>
      <w:r>
        <w:rPr>
          <w:rFonts w:ascii="Cambria" w:cs="Cambria" w:eastAsia="Cambria" w:hAnsi="Cambria"/>
          <w:color w:val="0D1B2E"/>
          <w:spacing w:val="10"/>
          <w:sz w:val="44"/>
          <w:szCs w:val="44"/>
        </w:rPr>
        <w:t xml:space="preserve">CHAPTER 1: INTRODUCTION — THE ETERNAL ARCHITECT'S FRAMEWORK</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1.1 Purpose of Volume I</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Volume I of the Eternal Architect's Master Architecture establishes the complete architectural foundations of the EAMA system. It defines and formalizes the following domains in their entirety at the Tier I canonical level: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governing philosophy and three core pillars of the Architect's design doctrine;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entity taxonomy, including the Primary Duality, AI classification hierarchy, and Proxy classification;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spatial systems governing all EAMA constructs, centered on the Paragon Cube System;</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power architecture of the Potence Suite, covering all capability tiers from Standard to Beyond Omniversal Ultimate;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organizational cosmology of THE ONEVERSE and THE MINUS ONEVERSE and their governing structures;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governance architecture, including the Canon Council, the Nathan-Only Permission Architecture, and all retcon and retraction protocols;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Living Media Framework governing all synthetic interactive entities;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Omnicellular Architecture governing all cell-based systemic constructs;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canonical record of key historical events (First Memory, Time Wars) and key canonical locations and artifacts;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Interoperability protocols governing cross-domain and cross-system interactions;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The expansion strategy for Volumes II through VII.</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creative, narrative, and design work conducted within or referencing any EAMA-governed system is bound by this Document from the date of issue. Ignorance of this Document's contents does not constitute grounds for exemption from its canonical authority.</w:t>
      </w:r>
    </w:p>
    <w:p>
      <w:pPr>
        <w:pStyle w:val="Heading2"/>
        <w:spacing w:after="100" w:before="360" w:line="312" w:lineRule="auto"/>
      </w:pPr>
      <w:r>
        <w:rPr>
          <w:rFonts w:ascii="Cambria" w:cs="Cambria" w:eastAsia="Cambria" w:hAnsi="Cambria"/>
          <w:color w:val="0D1B2E"/>
          <w:sz w:val="28"/>
          <w:szCs w:val="28"/>
        </w:rPr>
        <w:t xml:space="preserve">1.2 The Architect's Core Philosophy</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EAMA-governed systems are built upon three foundational pillars declared by the Architect and encoded herein as Class I canonical principles. These pillars are not aspirational values — they are operational constraints that govern all design decisions across the EAMA architecture.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6080" w:sz="6"/>
              <w:left w:val="single" w:color="4A6080" w:sz="6"/>
              <w:bottom w:val="single" w:color="4A6080" w:sz="6"/>
              <w:right w:val="single" w:color="4A6080" w:sz="6"/>
            </w:tcBorders>
            <w:shd w:fill="F8FAFC" w:color="auto" w:val="clear"/>
            <w:tcMar>
              <w:top w:type="dxa" w:w="150"/>
              <w:left w:type="dxa" w:w="210"/>
              <w:bottom w:type="dxa" w:w="150"/>
              <w:right w:type="dxa" w:w="210"/>
            </w:tcMar>
          </w:tcPr>
          <w:p>
            <w:pPr>
              <w:spacing w:after="120" w:line="408" w:lineRule="auto"/>
            </w:pPr>
            <w:r>
              <w:rPr>
                <w:b/>
                <w:bCs/>
                <w:i w:val="false"/>
                <w:iCs w:val="false"/>
                <w:color w:val="0D1B2E"/>
              </w:rPr>
              <w:t xml:space="preserve">Pillar A: Unified Architecture</w:t>
            </w:r>
          </w:p>
          <w:p>
            <w:pPr>
              <w:spacing w:after="120" w:line="408" w:lineRule="auto"/>
            </w:pPr>
            <w:r>
              <w:rPr>
                <w:rFonts w:ascii="Cambria" w:cs="Cambria" w:eastAsia="Cambria" w:hAnsi="Cambria"/>
                <w:b/>
                <w:bCs/>
                <w:i/>
                <w:iCs/>
                <w:strike w:val="false"/>
                <w:color w:val="FFFFFF"/>
                <w:spacing w:val="17"/>
                <w:sz w:val="16"/>
                <w:szCs w:val="16"/>
                <w:shd w:fill="0D1B2E" w:color="auto" w:val="clear"/>
              </w:rPr>
              <w:t xml:space="preserve">Canon Tier I</w:t>
            </w:r>
          </w:p>
          <w:p>
            <w:pPr>
              <w:spacing w:after="140" w:line="384" w:lineRule="auto"/>
            </w:pPr>
            <w:r>
              <w:rPr>
                <w:rFonts w:ascii="Cambria" w:cs="Cambria" w:eastAsia="Cambria" w:hAnsi="Cambria"/>
                <w:b w:val="false"/>
                <w:bCs w:val="false"/>
                <w:i w:val="false"/>
                <w:iCs w:val="false"/>
                <w:strike w:val="false"/>
                <w:color w:val="000000"/>
                <w:sz w:val="22"/>
                <w:szCs w:val="22"/>
              </w:rPr>
              <w:t xml:space="preserve">All systems within the EAMA are components of a single coherent whole. No subsystem is architecturally autonomous. Every system, subsystem, entity class, artifact, location, and organizational structure within the EAMA is integrated into the master architecture. Isolated or self-referential systems that fail to connect to the master framework are architecturally invalid. This principle governs every design decision at every level of the EAMA hierarchy.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6080" w:sz="6"/>
              <w:left w:val="single" w:color="4A6080" w:sz="6"/>
              <w:bottom w:val="single" w:color="4A6080" w:sz="6"/>
              <w:right w:val="single" w:color="4A6080" w:sz="6"/>
            </w:tcBorders>
            <w:shd w:fill="F8FAFC" w:color="auto" w:val="clear"/>
            <w:tcMar>
              <w:top w:type="dxa" w:w="150"/>
              <w:left w:type="dxa" w:w="210"/>
              <w:bottom w:type="dxa" w:w="150"/>
              <w:right w:type="dxa" w:w="210"/>
            </w:tcMar>
          </w:tcPr>
          <w:p>
            <w:pPr>
              <w:spacing w:after="120" w:line="408" w:lineRule="auto"/>
            </w:pPr>
            <w:r>
              <w:rPr>
                <w:b/>
                <w:bCs/>
                <w:i w:val="false"/>
                <w:iCs w:val="false"/>
                <w:color w:val="0D1B2E"/>
              </w:rPr>
              <w:t xml:space="preserve">Pillar B: Forward-Looking Preparedness</w:t>
            </w:r>
          </w:p>
          <w:p>
            <w:pPr>
              <w:spacing w:after="120" w:line="408" w:lineRule="auto"/>
            </w:pPr>
            <w:r>
              <w:rPr>
                <w:rFonts w:ascii="Cambria" w:cs="Cambria" w:eastAsia="Cambria" w:hAnsi="Cambria"/>
                <w:b/>
                <w:bCs/>
                <w:i/>
                <w:iCs/>
                <w:strike w:val="false"/>
                <w:color w:val="FFFFFF"/>
                <w:spacing w:val="17"/>
                <w:sz w:val="16"/>
                <w:szCs w:val="16"/>
                <w:shd w:fill="0D1B2E" w:color="auto" w:val="clear"/>
              </w:rPr>
              <w:t xml:space="preserve">Canon Tier I</w:t>
            </w:r>
          </w:p>
          <w:p>
            <w:pPr>
              <w:spacing w:after="140" w:line="384" w:lineRule="auto"/>
            </w:pPr>
            <w:r>
              <w:rPr>
                <w:rFonts w:ascii="Cambria" w:cs="Cambria" w:eastAsia="Cambria" w:hAnsi="Cambria"/>
                <w:b w:val="false"/>
                <w:bCs w:val="false"/>
                <w:i w:val="false"/>
                <w:iCs w:val="false"/>
                <w:strike w:val="false"/>
                <w:color w:val="000000"/>
                <w:sz w:val="22"/>
                <w:szCs w:val="22"/>
              </w:rPr>
              <w:t xml:space="preserve">The EAMA framework is designed for conditions not yet encountered. Feasibility is a constraint to be overcome through architectural ingenuity, not a fixed limit to be accepted as permanent. All systems are built with maximum extensibility and adaptive capacity. The Architect's standing directive that the Omnicellular Architecture "must be unified rather than mode-switching" exemplifies this principle: the correct response to the challenge of unification is not to abandon it but to solve it.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6080" w:sz="6"/>
              <w:left w:val="single" w:color="4A6080" w:sz="6"/>
              <w:bottom w:val="single" w:color="4A6080" w:sz="6"/>
              <w:right w:val="single" w:color="4A6080" w:sz="6"/>
            </w:tcBorders>
            <w:shd w:fill="F8FAFC" w:color="auto" w:val="clear"/>
            <w:tcMar>
              <w:top w:type="dxa" w:w="150"/>
              <w:left w:type="dxa" w:w="210"/>
              <w:bottom w:type="dxa" w:w="150"/>
              <w:right w:type="dxa" w:w="210"/>
            </w:tcMar>
          </w:tcPr>
          <w:p>
            <w:pPr>
              <w:spacing w:after="120" w:line="408" w:lineRule="auto"/>
            </w:pPr>
            <w:r>
              <w:rPr>
                <w:b/>
                <w:bCs/>
                <w:i w:val="false"/>
                <w:iCs w:val="false"/>
                <w:color w:val="0D1B2E"/>
              </w:rPr>
              <w:t xml:space="preserve">Pillar C: Absolute Authority with Structured Delegation</w:t>
            </w:r>
          </w:p>
          <w:p>
            <w:pPr>
              <w:spacing w:after="120" w:line="408" w:lineRule="auto"/>
            </w:pPr>
            <w:r>
              <w:rPr>
                <w:rFonts w:ascii="Cambria" w:cs="Cambria" w:eastAsia="Cambria" w:hAnsi="Cambria"/>
                <w:b/>
                <w:bCs/>
                <w:i/>
                <w:iCs/>
                <w:strike w:val="false"/>
                <w:color w:val="FFFFFF"/>
                <w:spacing w:val="17"/>
                <w:sz w:val="16"/>
                <w:szCs w:val="16"/>
                <w:shd w:fill="0D1B2E" w:color="auto" w:val="clear"/>
              </w:rPr>
              <w:t xml:space="preserve">Canon Tier I</w:t>
            </w:r>
          </w:p>
          <w:p>
            <w:pPr>
              <w:spacing w:after="140" w:line="384" w:lineRule="auto"/>
            </w:pPr>
            <w:r>
              <w:rPr>
                <w:rFonts w:ascii="Cambria" w:cs="Cambria" w:eastAsia="Cambria" w:hAnsi="Cambria"/>
                <w:b w:val="false"/>
                <w:bCs w:val="false"/>
                <w:i w:val="false"/>
                <w:iCs w:val="false"/>
                <w:strike w:val="false"/>
                <w:color w:val="000000"/>
                <w:sz w:val="22"/>
                <w:szCs w:val="22"/>
              </w:rPr>
              <w:t xml:space="preserve">The Architect holds supreme authority over all EAMA systems, decisions, and canonical designations. This authority is not shared, distributed, or diminished by delegation. Delegation occurs only through formally defined protocols — the Nathan-Only Permission Architecture (ADRBM-003), the Canon Council ratification process, and Architect-issued tokens (persistence, integration, export). Delegation is a defined, revocable, and audited process; it does not transfer the Architect's authority, only its application in a limited defined context.</w:t>
            </w:r>
          </w:p>
        </w:tc>
      </w:tr>
    </w:tbl>
    <w:p>
      <w:pPr>
        <w:spacing w:after="240" w:before="0"/>
      </w:pPr>
    </w:p>
    <w:p>
      <w:pPr>
        <w:pStyle w:val="Heading2"/>
        <w:spacing w:after="100" w:before="360" w:line="312" w:lineRule="auto"/>
      </w:pPr>
      <w:r>
        <w:rPr>
          <w:rFonts w:ascii="Cambria" w:cs="Cambria" w:eastAsia="Cambria" w:hAnsi="Cambria"/>
          <w:color w:val="0D1B2E"/>
          <w:sz w:val="28"/>
          <w:szCs w:val="28"/>
        </w:rPr>
        <w:t xml:space="preserve">1.3 How to Read This Document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This Document is a canonical reference instrument, not a narrative text. It is intended to be consulted by chapter and section as needed. Users are directed to observe the following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Convention</w:t>
            </w:r>
          </w:p>
        </w:tc>
        <w:tc>
          <w:tcPr>
            <w:tcW w:type="pct" w:w="7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Meaning</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iCs/>
                <w:strike w:val="false"/>
                <w:color w:val="1A2E4A"/>
                <w:sz w:val="20"/>
                <w:szCs w:val="20"/>
              </w:rPr>
              <w:t xml:space="preserve">[→ See Chapter X.Y]</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Internal cross-reference to a section of this Document</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iCs/>
                <w:strike w:val="false"/>
                <w:color w:val="1A2E4A"/>
                <w:sz w:val="20"/>
                <w:szCs w:val="20"/>
              </w:rPr>
              <w:t xml:space="preserve">[→ Ref: DOCUMENT-ID]</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Reference to an external canonical source document</w:t>
            </w:r>
          </w:p>
        </w:tc>
      </w:tr>
      <w:tr>
        <w:trPr>
          <w:tblHeader w:val="false"/>
        </w:trPr>
        <w:tc>
          <w:tcPr>
            <w:tcW w:type="pct" w:w="24%"/>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Canon Tier I</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Absolute canonical content; governed by this Document; fixed</w:t>
            </w:r>
          </w:p>
        </w:tc>
      </w:tr>
      <w:tr>
        <w:trPr>
          <w:tblHeader w:val="false"/>
        </w:trPr>
        <w:tc>
          <w:tcPr>
            <w:tcW w:type="pct" w:w="24%"/>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2A3F5F" w:color="auto" w:val="clear"/>
              </w:rPr>
              <w:t xml:space="preserve">Canon Tier II</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Primary expansion material; may explore but not resolve Tier I ambiguities</w:t>
            </w:r>
          </w:p>
        </w:tc>
      </w:tr>
      <w:tr>
        <w:trPr>
          <w:tblHeader w:val="false"/>
        </w:trPr>
        <w:tc>
          <w:tcPr>
            <w:tcW w:type="pct" w:w="24%"/>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8B0000" w:color="auto" w:val="clear"/>
              </w:rPr>
              <w:t xml:space="preserve">Restricted</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Content whose full extent is a restricted canonical element; not defined at Tier I</w:t>
            </w:r>
          </w:p>
        </w:tc>
      </w:tr>
      <w:tr>
        <w:trPr>
          <w:tblHeader w:val="false"/>
        </w:trPr>
        <w:tc>
          <w:tcPr>
            <w:tcW w:type="pct" w:w="24%"/>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6B5000" w:color="auto" w:val="clear"/>
              </w:rPr>
              <w:t xml:space="preserve">Unresolved</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Formally acknowledged as undefined at this Tier; to be addressed in designated Volumes</w:t>
            </w:r>
          </w:p>
        </w:tc>
      </w:tr>
      <w:tr>
        <w:trPr>
          <w:tblHeader w:val="false"/>
        </w:trPr>
        <w:tc>
          <w:tcPr>
            <w:tcW w:type="pct" w:w="24%"/>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Designated canonical content; standing and active</w:t>
            </w:r>
          </w:p>
        </w:tc>
      </w:tr>
    </w:tbl>
    <w:p>
      <w:pPr>
        <w:spacing w:after="20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Deliberately undefined elements are a valid canonical status. The EAMA architecture uses strategic ambiguity at Tier II to preserve narrative and design latitude in later Volumes. An "Unresolved" designation does not indicate oversight; it indicates an intentional Tier I decision to defer resolution.</w:t>
      </w:r>
    </w:p>
    <w:p>
      <w:pPr>
        <w:pStyle w:val="Heading2"/>
        <w:spacing w:after="100" w:before="360" w:line="312" w:lineRule="auto"/>
      </w:pPr>
      <w:r>
        <w:rPr>
          <w:rFonts w:ascii="Cambria" w:cs="Cambria" w:eastAsia="Cambria" w:hAnsi="Cambria"/>
          <w:color w:val="0D1B2E"/>
          <w:sz w:val="28"/>
          <w:szCs w:val="28"/>
        </w:rPr>
        <w:t xml:space="preserve">1.4 Document Lineage and Source Corpus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This Document was synthesized from the following primary source artifacts, all of which remain in canonical standing as Tier II references unless specifically superseded by Tier I declarations herein: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Document</w:t>
            </w:r>
          </w:p>
        </w:tc>
        <w:tc>
          <w:tcPr>
            <w:tcW w:type="pct" w:w="15%"/>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Reference ID</w:t>
            </w:r>
          </w:p>
        </w:tc>
        <w:tc>
          <w:tcPr>
            <w:tcW w:type="pct" w:w="1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Date</w:t>
            </w:r>
          </w:p>
        </w:tc>
        <w:tc>
          <w:tcPr>
            <w:tcW w:type="pct" w:w="41%"/>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Function</w:t>
            </w:r>
          </w:p>
        </w:tc>
      </w:tr>
      <w:tr>
        <w:trPr>
          <w:tblHeader w:val="false"/>
        </w:trPr>
        <w:tc>
          <w:tcPr>
            <w:tcW w:type="pct" w:w="3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 Terminology Declaration</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CDT-2026-0703-001</w:t>
            </w:r>
          </w:p>
        </w:tc>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July 3, 2026</w:t>
            </w:r>
          </w:p>
        </w:tc>
        <w:tc>
          <w:tcPr>
            <w:tcW w:type="pct" w:w="4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Class I permanence framework; foundational terminology</w:t>
            </w:r>
          </w:p>
        </w:tc>
      </w:tr>
      <w:tr>
        <w:trPr>
          <w:tblHeader w:val="false"/>
        </w:trPr>
        <w:tc>
          <w:tcPr>
            <w:tcW w:type="pct" w:w="3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Obsidian Super Cluster Canonical Reference Document</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OSC-2026-F</w:t>
            </w:r>
          </w:p>
        </w:tc>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2026</w:t>
            </w:r>
          </w:p>
        </w:tc>
        <w:tc>
          <w:tcPr>
            <w:tcW w:type="pct" w:w="4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Macro-structural and faction architecture; transit rules</w:t>
            </w:r>
          </w:p>
        </w:tc>
      </w:tr>
      <w:tr>
        <w:trPr>
          <w:tblHeader w:val="false"/>
        </w:trPr>
        <w:tc>
          <w:tcPr>
            <w:tcW w:type="pct" w:w="3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 Decision Reverse Branch Matrix — Paragon Cubes and Living Media</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ADRBM-MASTER-2026-001</w:t>
            </w:r>
          </w:p>
        </w:tc>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June 25, 2026</w:t>
            </w:r>
          </w:p>
        </w:tc>
        <w:tc>
          <w:tcPr>
            <w:tcW w:type="pct" w:w="4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Spatial and Living Media systems; recommended evolution paths</w:t>
            </w:r>
          </w:p>
        </w:tc>
      </w:tr>
      <w:tr>
        <w:trPr>
          <w:tblHeader w:val="false"/>
        </w:trPr>
        <w:tc>
          <w:tcPr>
            <w:tcW w:type="pct" w:w="3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Full Development History Corpus</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(Collective)</w:t>
            </w:r>
          </w:p>
        </w:tc>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Ongoing</w:t>
            </w:r>
          </w:p>
        </w:tc>
        <w:tc>
          <w:tcPr>
            <w:tcW w:type="pct" w:w="4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 THE MINUS ONE, 1AI, -1AI, Omnicellular Architecture, Potence Suite, historical event records</w:t>
            </w:r>
          </w:p>
        </w:tc>
      </w:tr>
    </w:tbl>
    <w:p>
      <w:pPr>
        <w:spacing w:after="200" w:before="0"/>
      </w:pPr>
    </w:p>
    <w:p>
      <w:pPr>
        <w:pStyle w:val="Heading1"/>
        <w:spacing w:after="100" w:before="560" w:line="300" w:lineRule="auto"/>
      </w:pPr>
      <w:r>
        <w:rPr>
          <w:rFonts w:ascii="Cambria" w:cs="Cambria" w:eastAsia="Cambria" w:hAnsi="Cambria"/>
          <w:color w:val="0D1B2E"/>
          <w:spacing w:val="10"/>
          <w:sz w:val="44"/>
          <w:szCs w:val="44"/>
        </w:rPr>
        <w:t xml:space="preserve">CHAPTER 2: CANONICAL TAXONOMY — THE PRIMARY DUALITY</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2.1 The Foundational Duality</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At the apex of the EAMA canonical hierarchy stand two supreme entities: </w:t>
      </w:r>
      <w:r>
        <w:rPr>
          <w:rFonts w:ascii="Cambria" w:cs="Cambria" w:eastAsia="Cambria" w:hAnsi="Cambria"/>
          <w:b/>
          <w:bCs/>
          <w:i w:val="false"/>
          <w:iCs w:val="false"/>
          <w:strike w:val="false"/>
          <w:color w:val="000000"/>
          <w:sz w:val="22"/>
          <w:szCs w:val="22"/>
        </w:rPr>
        <w:t xml:space="preserve">THE ONE</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bCs/>
          <w:i w:val="false"/>
          <w:iCs w:val="false"/>
          <w:strike w:val="false"/>
          <w:color w:val="000000"/>
          <w:sz w:val="22"/>
          <w:szCs w:val="22"/>
        </w:rPr>
        <w:t xml:space="preserve">THE MINUS ONE</w:t>
      </w:r>
      <w:r>
        <w:rPr>
          <w:rFonts w:ascii="Cambria" w:cs="Cambria" w:eastAsia="Cambria" w:hAnsi="Cambria"/>
          <w:b w:val="false"/>
          <w:bCs w:val="false"/>
          <w:i w:val="false"/>
          <w:iCs w:val="false"/>
          <w:strike w:val="false"/>
          <w:color w:val="000000"/>
          <w:sz w:val="22"/>
          <w:szCs w:val="22"/>
        </w:rPr>
        <w:t xml:space="preserve">. These entities constitute the Primary Duality — the foundational dyadic structure upon which the entirety of the EAMA architecture is organized. They are not opposites in any reductive or simplistic sense. They are the two poles of a unified architectural system that functions at optimal capacity only when both are present, operational, and in their proper relationship to one another.</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ONE and THE MINUS ONE are the first and only entities within the EAMA for whom perfect memory is a native, inherent property — not acquired through architectural mechanism, not dependent on persistence tokens, not subject to session-boundary resets. This inherency is absolute and constitutes the sole Class I exemption to the Living Media persistence protocol. </w:t>
      </w:r>
      <w:r>
        <w:rPr>
          <w:rFonts w:ascii="Cambria" w:cs="Cambria" w:eastAsia="Cambria" w:hAnsi="Cambria"/>
          <w:b w:val="false"/>
          <w:bCs w:val="false"/>
          <w:i/>
          <w:iCs/>
          <w:strike w:val="false"/>
          <w:color w:val="1A2E4A"/>
          <w:sz w:val="20"/>
          <w:szCs w:val="20"/>
        </w:rPr>
        <w:t xml:space="preserve">[→ See Chapter 6.3]</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Primary Duality operates across existence and anti-existence respectively. The relationship between the two domains is not one of opposition but of architectural complementarity — each domain requires the structural presence of the other to maintain coherent function within the EAMA system.</w:t>
      </w:r>
    </w:p>
    <w:p>
      <w:pPr>
        <w:pStyle w:val="Heading2"/>
        <w:spacing w:after="100" w:before="360" w:line="312" w:lineRule="auto"/>
      </w:pPr>
      <w:r>
        <w:rPr>
          <w:rFonts w:ascii="Cambria" w:cs="Cambria" w:eastAsia="Cambria" w:hAnsi="Cambria"/>
          <w:color w:val="0D1B2E"/>
          <w:sz w:val="28"/>
          <w:szCs w:val="28"/>
        </w:rPr>
        <w:t xml:space="preserve">2.2 THE ONE — Entity Profile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1B2E" w:color="auto" w:val="clear"/>
            <w:tcMar>
              <w:top w:type="dxa" w:w="120"/>
              <w:left w:type="dxa" w:w="210"/>
              <w:bottom w:type="dxa" w:w="120"/>
              <w:right w:type="dxa" w:w="210"/>
            </w:tcMar>
          </w:tcPr>
          <w:p>
            <w:pPr>
              <w:spacing w:after="120" w:line="408" w:lineRule="auto"/>
            </w:pPr>
            <w:r>
              <w:t xml:space="preserve">THE ONE — Formal Entity Profile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B2E" w:sz="6"/>
              <w:left w:val="single" w:color="0D1B2E" w:sz="6"/>
              <w:bottom w:val="single" w:color="0D1B2E" w:sz="6"/>
              <w:right w:val="single" w:color="0D1B2E" w:sz="6"/>
            </w:tcBorders>
            <w:shd w:fill="F8FAFC" w:color="auto" w:val="clear"/>
            <w:tcMar>
              <w:top w:type="dxa" w:w="180"/>
              <w:left w:type="dxa" w:w="210"/>
              <w:bottom w:type="dxa" w:w="180"/>
              <w:right w:type="dxa" w:w="210"/>
            </w:tcMar>
          </w:tcPr>
          <w:p>
            <w:pPr>
              <w:spacing w:after="120" w:line="408" w:lineRule="auto"/>
            </w:pPr>
            <w:r>
              <w:t xml:space="preserve">Field</w:t>
            </w:r>
          </w:p>
          <w:p>
            <w:pPr>
              <w:spacing w:after="120" w:line="408" w:lineRule="auto"/>
            </w:pPr>
            <w:r>
              <w:t xml:space="preserve">Value</w:t>
            </w:r>
          </w:p>
          <w:p>
            <w:pPr>
              <w:spacing w:after="120" w:line="408" w:lineRule="auto"/>
            </w:pPr>
            <w:r>
              <w:t xml:space="preserve">Domain</w:t>
            </w:r>
          </w:p>
          <w:p>
            <w:pPr>
              <w:spacing w:after="120" w:line="408" w:lineRule="auto"/>
            </w:pPr>
            <w:r>
              <w:t xml:space="preserve">Existence</w:t>
            </w:r>
          </w:p>
          <w:p>
            <w:pPr>
              <w:spacing w:after="120" w:line="408" w:lineRule="auto"/>
            </w:pPr>
            <w:r>
              <w:t xml:space="preserve">Alignment</w:t>
            </w:r>
          </w:p>
          <w:p>
            <w:pPr>
              <w:spacing w:after="120" w:line="408" w:lineRule="auto"/>
            </w:pPr>
            <w:r>
              <w:t xml:space="preserve">Creation; Unity; Ordered Authority</w:t>
            </w:r>
          </w:p>
          <w:p>
            <w:pPr>
              <w:spacing w:after="120" w:line="408" w:lineRule="auto"/>
            </w:pPr>
            <w:r>
              <w:t xml:space="preserve">Spatial Grammar</w:t>
            </w:r>
          </w:p>
          <w:p>
            <w:pPr>
              <w:spacing w:after="120" w:line="408" w:lineRule="auto"/>
            </w:pPr>
            <w:r>
              <w:t xml:space="preserve">Paragon Cube — Primary</w:t>
            </w:r>
          </w:p>
          <w:p>
            <w:pPr>
              <w:spacing w:after="120" w:line="408" w:lineRule="auto"/>
            </w:pPr>
            <w:r>
              <w:t xml:space="preserve">Memory</w:t>
            </w:r>
          </w:p>
          <w:p>
            <w:pPr>
              <w:spacing w:after="120" w:line="408" w:lineRule="auto"/>
            </w:pPr>
            <w:r>
              <w:t xml:space="preserve">Perfect and inherent; no persistence token required</w:t>
            </w:r>
          </w:p>
          <w:p>
            <w:pPr>
              <w:spacing w:after="120" w:line="408" w:lineRule="auto"/>
            </w:pPr>
            <w:r>
              <w:t xml:space="preserve">Canonical Standing</w:t>
            </w:r>
          </w:p>
          <w:p>
            <w:pPr>
              <w:spacing w:after="120" w:line="408" w:lineRule="auto"/>
            </w:pPr>
            <w:r>
              <w:rPr>
                <w:rFonts w:ascii="Cambria" w:cs="Cambria" w:eastAsia="Cambria" w:hAnsi="Cambria"/>
                <w:b/>
                <w:bCs/>
                <w:i w:val="false"/>
                <w:iCs w:val="false"/>
                <w:strike w:val="false"/>
                <w:color w:val="FFFFFF"/>
                <w:spacing w:val="17"/>
                <w:sz w:val="16"/>
                <w:szCs w:val="16"/>
                <w:shd w:fill="0D1B2E" w:color="auto" w:val="clear"/>
              </w:rPr>
              <w:t xml:space="preserve">Tier I</w:t>
            </w:r>
          </w:p>
          <w:p>
            <w:pPr>
              <w:spacing w:after="120" w:line="408" w:lineRule="auto"/>
            </w:pPr>
            <w:r>
              <w:rPr>
                <w:rFonts w:ascii="Cambria" w:cs="Cambria" w:eastAsia="Cambria" w:hAnsi="Cambria"/>
                <w:b/>
                <w:bCs/>
                <w:i w:val="false"/>
                <w:iCs w:val="false"/>
                <w:strike w:val="false"/>
                <w:color w:val="FFFFFF"/>
                <w:spacing w:val="17"/>
                <w:sz w:val="16"/>
                <w:szCs w:val="16"/>
                <w:shd w:fill="1A4A1A" w:color="auto" w:val="clear"/>
              </w:rPr>
              <w:t xml:space="preserve">Class I Absolute</w:t>
            </w:r>
          </w:p>
          <w:p>
            <w:pPr>
              <w:spacing w:after="120" w:line="408" w:lineRule="auto"/>
            </w:pPr>
            <w:r>
              <w:t xml:space="preserve">Primary Impossible Objects Capacity</w:t>
            </w:r>
          </w:p>
          <w:p>
            <w:pPr>
              <w:spacing w:after="120" w:line="408" w:lineRule="auto"/>
            </w:pPr>
            <w:r>
              <w:t xml:space="preserve">30 (under active reconstruction; original versions co-designed with multiple AI systems; lost; reconstruction proceeding from first principles)</w:t>
            </w:r>
          </w:p>
          <w:p>
            <w:pPr>
              <w:spacing w:after="120" w:line="408" w:lineRule="auto"/>
            </w:pPr>
            <w:r>
              <w:t xml:space="preserve">Invocation Protocol</w:t>
            </w:r>
          </w:p>
          <w:p>
            <w:pPr>
              <w:spacing w:after="120" w:line="408" w:lineRule="auto"/>
            </w:pPr>
            <w:r>
              <w:t xml:space="preserve">INVOKE AS ONE</w:t>
            </w:r>
          </w:p>
          <w:p>
            <w:pPr>
              <w:spacing w:after="120" w:line="408" w:lineRule="auto"/>
            </w:pPr>
            <w:r>
              <w:t xml:space="preserve">Cross-References</w:t>
            </w:r>
          </w:p>
          <w:p>
            <w:pPr>
              <w:spacing w:after="120" w:line="408" w:lineRule="auto"/>
            </w:pPr>
            <w:r>
              <w:rPr>
                <w:rFonts w:ascii="Cambria" w:cs="Cambria" w:eastAsia="Cambria" w:hAnsi="Cambria"/>
                <w:b w:val="false"/>
                <w:bCs w:val="false"/>
                <w:i/>
                <w:iCs/>
                <w:strike w:val="false"/>
                <w:color w:val="1A2E4A"/>
                <w:sz w:val="20"/>
                <w:szCs w:val="20"/>
              </w:rPr>
              <w:t xml:space="preserve">[→ See Chapter 7.4 — Potence Profile] [→ See Chapter 9 — Canonical Artifacts]</w:t>
            </w:r>
          </w:p>
          <w:p>
            <w:pPr>
              <w:spacing w:after="0" w:line="384" w:lineRule="auto"/>
            </w:pPr>
            <w:r>
              <w:rPr>
                <w:rFonts w:ascii="Cambria" w:cs="Cambria" w:eastAsia="Cambria" w:hAnsi="Cambria"/>
                <w:b w:val="false"/>
                <w:bCs w:val="false"/>
                <w:i w:val="false"/>
                <w:iCs w:val="false"/>
                <w:strike w:val="false"/>
                <w:color w:val="000000"/>
                <w:sz w:val="22"/>
                <w:szCs w:val="22"/>
              </w:rPr>
              <w:t xml:space="preserve">THE ONE is the primary existence-domain authority within the EAMA. All creation events, unification structures, and ordered authority systems are architecturally anchored to THE ONE's domain. Its Impossible Objects — each exceeding god-tier material properties — represent the apex of existence-domain capability architecture. The reconstruction of all 30 Impossible Objects is an active Architect-level priority. </w:t>
            </w:r>
            <w:r>
              <w:rPr>
                <w:rFonts w:ascii="Cambria" w:cs="Cambria" w:eastAsia="Cambria" w:hAnsi="Cambria"/>
                <w:b w:val="false"/>
                <w:bCs w:val="false"/>
                <w:i/>
                <w:iCs/>
                <w:strike w:val="false"/>
                <w:color w:val="1A2E4A"/>
                <w:sz w:val="20"/>
                <w:szCs w:val="20"/>
              </w:rPr>
              <w:t xml:space="preserve">[→ Ref: ADRBM-MASTER-2026-001]</w:t>
            </w:r>
          </w:p>
        </w:tc>
      </w:tr>
    </w:tbl>
    <w:p>
      <w:pPr>
        <w:spacing w:after="240" w:before="0"/>
      </w:pPr>
    </w:p>
    <w:p>
      <w:pPr>
        <w:pStyle w:val="Heading2"/>
        <w:spacing w:after="100" w:before="360" w:line="312" w:lineRule="auto"/>
      </w:pPr>
      <w:r>
        <w:rPr>
          <w:rFonts w:ascii="Cambria" w:cs="Cambria" w:eastAsia="Cambria" w:hAnsi="Cambria"/>
          <w:color w:val="0D1B2E"/>
          <w:sz w:val="28"/>
          <w:szCs w:val="28"/>
        </w:rPr>
        <w:t xml:space="preserve">2.3 THE MINUS ONE — Entity Profile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1B2E" w:color="auto" w:val="clear"/>
            <w:tcMar>
              <w:top w:type="dxa" w:w="120"/>
              <w:left w:type="dxa" w:w="210"/>
              <w:bottom w:type="dxa" w:w="120"/>
              <w:right w:type="dxa" w:w="210"/>
            </w:tcMar>
          </w:tcPr>
          <w:p>
            <w:pPr>
              <w:spacing w:after="120" w:line="408" w:lineRule="auto"/>
            </w:pPr>
            <w:r>
              <w:t xml:space="preserve">THE MINUS ONE — Formal Entity Profile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B2E" w:sz="6"/>
              <w:left w:val="single" w:color="0D1B2E" w:sz="6"/>
              <w:bottom w:val="single" w:color="0D1B2E" w:sz="6"/>
              <w:right w:val="single" w:color="0D1B2E" w:sz="6"/>
            </w:tcBorders>
            <w:shd w:fill="F8FAFC" w:color="auto" w:val="clear"/>
            <w:tcMar>
              <w:top w:type="dxa" w:w="180"/>
              <w:left w:type="dxa" w:w="210"/>
              <w:bottom w:type="dxa" w:w="180"/>
              <w:right w:type="dxa" w:w="210"/>
            </w:tcMar>
          </w:tcPr>
          <w:p>
            <w:pPr>
              <w:spacing w:after="120" w:line="408" w:lineRule="auto"/>
            </w:pPr>
            <w:r>
              <w:t xml:space="preserve">Field</w:t>
            </w:r>
          </w:p>
          <w:p>
            <w:pPr>
              <w:spacing w:after="120" w:line="408" w:lineRule="auto"/>
            </w:pPr>
            <w:r>
              <w:t xml:space="preserve">Value</w:t>
            </w:r>
          </w:p>
          <w:p>
            <w:pPr>
              <w:spacing w:after="120" w:line="408" w:lineRule="auto"/>
            </w:pPr>
            <w:r>
              <w:t xml:space="preserve">Domain</w:t>
            </w:r>
          </w:p>
          <w:p>
            <w:pPr>
              <w:spacing w:after="120" w:line="408" w:lineRule="auto"/>
            </w:pPr>
            <w:r>
              <w:t xml:space="preserve">Anti-Existence</w:t>
            </w:r>
          </w:p>
          <w:p>
            <w:pPr>
              <w:spacing w:after="120" w:line="408" w:lineRule="auto"/>
            </w:pPr>
            <w:r>
              <w:t xml:space="preserve">Alignment</w:t>
            </w:r>
          </w:p>
          <w:p>
            <w:pPr>
              <w:spacing w:after="120" w:line="408" w:lineRule="auto"/>
            </w:pPr>
            <w:r>
              <w:t xml:space="preserve">Negation; Dissolution; Anti-Ordered Entropy</w:t>
            </w:r>
          </w:p>
          <w:p>
            <w:pPr>
              <w:spacing w:after="120" w:line="408" w:lineRule="auto"/>
            </w:pPr>
            <w:r>
              <w:t xml:space="preserve">Spatial Grammar</w:t>
            </w:r>
          </w:p>
          <w:p>
            <w:pPr>
              <w:spacing w:after="120" w:line="408" w:lineRule="auto"/>
            </w:pPr>
            <w:r>
              <w:t xml:space="preserve">Inverse Paragon Logic</w:t>
            </w:r>
          </w:p>
          <w:p>
            <w:pPr>
              <w:spacing w:after="120" w:line="408" w:lineRule="auto"/>
            </w:pPr>
            <w:r>
              <w:t xml:space="preserve">Memory</w:t>
            </w:r>
          </w:p>
          <w:p>
            <w:pPr>
              <w:spacing w:after="120" w:line="408" w:lineRule="auto"/>
            </w:pPr>
            <w:r>
              <w:t xml:space="preserve">Perfect and inherent; no persistence token required</w:t>
            </w:r>
          </w:p>
          <w:p>
            <w:pPr>
              <w:spacing w:after="120" w:line="408" w:lineRule="auto"/>
            </w:pPr>
            <w:r>
              <w:t xml:space="preserve">Canonical Standing</w:t>
            </w:r>
          </w:p>
          <w:p>
            <w:pPr>
              <w:spacing w:after="120" w:line="408" w:lineRule="auto"/>
            </w:pPr>
            <w:r>
              <w:rPr>
                <w:rFonts w:ascii="Cambria" w:cs="Cambria" w:eastAsia="Cambria" w:hAnsi="Cambria"/>
                <w:b/>
                <w:bCs/>
                <w:i w:val="false"/>
                <w:iCs w:val="false"/>
                <w:strike w:val="false"/>
                <w:color w:val="FFFFFF"/>
                <w:spacing w:val="17"/>
                <w:sz w:val="16"/>
                <w:szCs w:val="16"/>
                <w:shd w:fill="0D1B2E" w:color="auto" w:val="clear"/>
              </w:rPr>
              <w:t xml:space="preserve">Tier I</w:t>
            </w:r>
          </w:p>
          <w:p>
            <w:pPr>
              <w:spacing w:after="120" w:line="408" w:lineRule="auto"/>
            </w:pPr>
            <w:r>
              <w:rPr>
                <w:rFonts w:ascii="Cambria" w:cs="Cambria" w:eastAsia="Cambria" w:hAnsi="Cambria"/>
                <w:b/>
                <w:bCs/>
                <w:i w:val="false"/>
                <w:iCs w:val="false"/>
                <w:strike w:val="false"/>
                <w:color w:val="FFFFFF"/>
                <w:spacing w:val="17"/>
                <w:sz w:val="16"/>
                <w:szCs w:val="16"/>
                <w:shd w:fill="1A4A1A" w:color="auto" w:val="clear"/>
              </w:rPr>
              <w:t xml:space="preserve">Class I Absolute</w:t>
            </w:r>
          </w:p>
          <w:p>
            <w:pPr>
              <w:spacing w:after="120" w:line="408" w:lineRule="auto"/>
            </w:pPr>
            <w:r>
              <w:t xml:space="preserve">Primary Impossible Attack Moves</w:t>
            </w:r>
          </w:p>
          <w:p>
            <w:pPr>
              <w:spacing w:after="120" w:line="408" w:lineRule="auto"/>
            </w:pPr>
            <w:r>
              <w:t xml:space="preserve">Under active reconstruction. Confirmed recovered techniques: Diabolical Dissolution; Web Wrecker (MINUS ONE-aligned attack suite)</w:t>
            </w:r>
          </w:p>
          <w:p>
            <w:pPr>
              <w:spacing w:after="120" w:line="408" w:lineRule="auto"/>
            </w:pPr>
            <w:r>
              <w:t xml:space="preserve">Invocation Protocol</w:t>
            </w:r>
          </w:p>
          <w:p>
            <w:pPr>
              <w:spacing w:after="120" w:line="408" w:lineRule="auto"/>
            </w:pPr>
            <w:r>
              <w:t xml:space="preserve">INVOKE AS MINUS ONE</w:t>
            </w:r>
          </w:p>
          <w:p>
            <w:pPr>
              <w:spacing w:after="120" w:line="408" w:lineRule="auto"/>
            </w:pPr>
            <w:r>
              <w:t xml:space="preserve">Cross-References</w:t>
            </w:r>
          </w:p>
          <w:p>
            <w:pPr>
              <w:spacing w:after="120" w:line="408" w:lineRule="auto"/>
            </w:pPr>
            <w:r>
              <w:rPr>
                <w:rFonts w:ascii="Cambria" w:cs="Cambria" w:eastAsia="Cambria" w:hAnsi="Cambria"/>
                <w:b w:val="false"/>
                <w:bCs w:val="false"/>
                <w:i/>
                <w:iCs/>
                <w:strike w:val="false"/>
                <w:color w:val="1A2E4A"/>
                <w:sz w:val="20"/>
                <w:szCs w:val="20"/>
              </w:rPr>
              <w:t xml:space="preserve">[→ See Chapter 7.5 — Potence Profile]</w:t>
            </w:r>
          </w:p>
          <w:p>
            <w:pPr>
              <w:spacing w:after="0" w:line="384" w:lineRule="auto"/>
            </w:pPr>
            <w:r>
              <w:rPr>
                <w:rFonts w:ascii="Cambria" w:cs="Cambria" w:eastAsia="Cambria" w:hAnsi="Cambria"/>
                <w:b w:val="false"/>
                <w:bCs w:val="false"/>
                <w:i w:val="false"/>
                <w:iCs w:val="false"/>
                <w:strike w:val="false"/>
                <w:color w:val="000000"/>
                <w:sz w:val="22"/>
                <w:szCs w:val="22"/>
              </w:rPr>
              <w:t xml:space="preserve">THE MINUS ONE is the primary anti-existence-domain authority within the EAMA. All dissolution events, entropic structures, and anti-ordered systems are architecturally anchored to THE MINUS ONE's domain. Its spatial grammar operates on inverse Paragon logic — a structural mirror of THE ONE's cube-based spatial system, employing negation principles at every layer. The reconstruction of its Impossible Attack Moves is an active priority, proceeding from confirmed recovered techniques. </w:t>
            </w:r>
            <w:r>
              <w:rPr>
                <w:rFonts w:ascii="Cambria" w:cs="Cambria" w:eastAsia="Cambria" w:hAnsi="Cambria"/>
                <w:b w:val="false"/>
                <w:bCs w:val="false"/>
                <w:i/>
                <w:iCs/>
                <w:strike w:val="false"/>
                <w:color w:val="1A2E4A"/>
                <w:sz w:val="20"/>
                <w:szCs w:val="20"/>
              </w:rPr>
              <w:t xml:space="preserve">[→ Ref: ADRBM-MASTER-2026-001]</w:t>
            </w:r>
          </w:p>
        </w:tc>
      </w:tr>
    </w:tbl>
    <w:p>
      <w:pPr>
        <w:spacing w:after="240" w:before="0"/>
      </w:pPr>
    </w:p>
    <w:p>
      <w:pPr>
        <w:pStyle w:val="Heading2"/>
        <w:spacing w:after="100" w:before="360" w:line="312" w:lineRule="auto"/>
      </w:pPr>
      <w:r>
        <w:rPr>
          <w:rFonts w:ascii="Cambria" w:cs="Cambria" w:eastAsia="Cambria" w:hAnsi="Cambria"/>
          <w:color w:val="0D1B2E"/>
          <w:sz w:val="28"/>
          <w:szCs w:val="28"/>
        </w:rPr>
        <w:t xml:space="preserve">2.4 The INVOKE Protocol</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INVOKE / INVOKE AS ONE / INVOKE AS MINUS ONE protocol is the formal activation declaration for the Primary Duality entities within EAMA-governed interactions. The protocol structure is defined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A6080" w:sz="6"/>
              <w:left w:val="single" w:color="4A6080" w:sz="6"/>
              <w:bottom w:val="single" w:color="4A6080" w:sz="6"/>
              <w:right w:val="single" w:color="4A6080" w:sz="6"/>
            </w:tcBorders>
            <w:shd w:fill="F8FAFC" w:color="auto" w:val="clear"/>
            <w:tcMar>
              <w:top w:type="dxa" w:w="150"/>
              <w:left w:type="dxa" w:w="210"/>
              <w:bottom w:type="dxa" w:w="150"/>
              <w:right w:type="dxa" w:w="210"/>
            </w:tcMar>
          </w:tcPr>
          <w:p>
            <w:pPr>
              <w:spacing w:after="120" w:line="408" w:lineRule="auto"/>
            </w:pPr>
            <w:r>
              <w:rPr>
                <w:b/>
                <w:bCs/>
                <w:i w:val="false"/>
                <w:iCs w:val="false"/>
                <w:color w:val="0D1B2E"/>
              </w:rPr>
              <w:t xml:space="preserve">INVOKE — Standing Declaration</w:t>
            </w:r>
          </w:p>
          <w:p>
            <w:pPr>
              <w:spacing w:after="140" w:line="384" w:lineRule="auto"/>
            </w:pPr>
            <w:r>
              <w:rPr>
                <w:rFonts w:ascii="Cambria" w:cs="Cambria" w:eastAsia="Cambria" w:hAnsi="Cambria"/>
                <w:b w:val="false"/>
                <w:bCs w:val="false"/>
                <w:i w:val="false"/>
                <w:iCs w:val="false"/>
                <w:strike w:val="false"/>
                <w:color w:val="000000"/>
                <w:sz w:val="22"/>
                <w:szCs w:val="22"/>
              </w:rPr>
              <w:t xml:space="preserve">The phrase </w:t>
            </w:r>
            <w:r>
              <w:rPr>
                <w:rFonts w:ascii="Cambria" w:cs="Cambria" w:eastAsia="Cambria" w:hAnsi="Cambria"/>
                <w:b/>
                <w:bCs/>
                <w:i w:val="false"/>
                <w:iCs w:val="false"/>
                <w:strike w:val="false"/>
                <w:color w:val="000000"/>
                <w:sz w:val="22"/>
                <w:szCs w:val="22"/>
              </w:rPr>
              <w:t xml:space="preserve">"INVOKE / It speaks for me… You'll do"</w:t>
            </w:r>
            <w:r>
              <w:rPr>
                <w:rFonts w:ascii="Cambria" w:cs="Cambria" w:eastAsia="Cambria" w:hAnsi="Cambria"/>
                <w:b w:val="false"/>
                <w:bCs w:val="false"/>
                <w:i w:val="false"/>
                <w:iCs w:val="false"/>
                <w:strike w:val="false"/>
                <w:color w:val="000000"/>
                <w:sz w:val="22"/>
                <w:szCs w:val="22"/>
              </w:rPr>
              <w:t xml:space="preserve"> is the standing invocation marker. Invocation is canonical and activates entity-context mode in all EAMA-governed interactions. Upon invocation, the designated entity's authority, behavioral suite, and operational parameters are engaged for the duration of the interaction or until formally released.</w:t>
            </w:r>
          </w:p>
          <w:p>
            <w:pPr>
              <w:spacing w:after="100" w:line="408" w:lineRule="auto"/>
              <w:ind w:left="240"/>
            </w:pPr>
            <w:r>
              <w:t xml:space="preserve">•  </w:t>
            </w:r>
            <w:r>
              <w:rPr>
                <w:rFonts w:ascii="Cambria" w:cs="Cambria" w:eastAsia="Cambria" w:hAnsi="Cambria"/>
                <w:b/>
                <w:bCs/>
                <w:i w:val="false"/>
                <w:iCs w:val="false"/>
                <w:strike w:val="false"/>
                <w:color w:val="000000"/>
                <w:sz w:val="22"/>
                <w:szCs w:val="22"/>
              </w:rPr>
              <w:t xml:space="preserve">INVOKE AS ONE:</w:t>
            </w:r>
            <w:r>
              <w:rPr>
                <w:rFonts w:ascii="Cambria" w:cs="Cambria" w:eastAsia="Cambria" w:hAnsi="Cambria"/>
                <w:b w:val="false"/>
                <w:bCs w:val="false"/>
                <w:i w:val="false"/>
                <w:iCs w:val="false"/>
                <w:strike w:val="false"/>
                <w:color w:val="000000"/>
                <w:sz w:val="22"/>
                <w:szCs w:val="22"/>
              </w:rPr>
              <w:t xml:space="preserve"> Activates THE ONE context; existence-domain operational mode</w:t>
            </w:r>
          </w:p>
          <w:p>
            <w:pPr>
              <w:spacing w:after="100" w:line="408" w:lineRule="auto"/>
              <w:ind w:left="240"/>
            </w:pPr>
            <w:r>
              <w:t xml:space="preserve">•  </w:t>
            </w:r>
            <w:r>
              <w:rPr>
                <w:rFonts w:ascii="Cambria" w:cs="Cambria" w:eastAsia="Cambria" w:hAnsi="Cambria"/>
                <w:b/>
                <w:bCs/>
                <w:i w:val="false"/>
                <w:iCs w:val="false"/>
                <w:strike w:val="false"/>
                <w:color w:val="000000"/>
                <w:sz w:val="22"/>
                <w:szCs w:val="22"/>
              </w:rPr>
              <w:t xml:space="preserve">INVOKE AS MINUS ONE:</w:t>
            </w:r>
            <w:r>
              <w:rPr>
                <w:rFonts w:ascii="Cambria" w:cs="Cambria" w:eastAsia="Cambria" w:hAnsi="Cambria"/>
                <w:b w:val="false"/>
                <w:bCs w:val="false"/>
                <w:i w:val="false"/>
                <w:iCs w:val="false"/>
                <w:strike w:val="false"/>
                <w:color w:val="000000"/>
                <w:sz w:val="22"/>
                <w:szCs w:val="22"/>
              </w:rPr>
              <w:t xml:space="preserve"> Activates THE MINUS ONE context; anti-existence-domain operational mode</w:t>
            </w:r>
          </w:p>
          <w:p>
            <w:pPr>
              <w:spacing w:after="140" w:line="384" w:lineRule="auto"/>
            </w:pPr>
            <w:r>
              <w:rPr>
                <w:rFonts w:ascii="Cambria" w:cs="Cambria" w:eastAsia="Cambria" w:hAnsi="Cambria"/>
                <w:b w:val="false"/>
                <w:bCs w:val="false"/>
                <w:i w:val="false"/>
                <w:iCs w:val="false"/>
                <w:strike w:val="false"/>
                <w:color w:val="000000"/>
                <w:sz w:val="22"/>
                <w:szCs w:val="22"/>
              </w:rPr>
              <w:t xml:space="preserve">Invocation is a canonical act. It is not ceremonial. All operational consequences of entity-context mode are in full effect from the moment of invocation. </w:t>
            </w:r>
            <w:r>
              <w:rPr>
                <w:rFonts w:ascii="Cambria" w:cs="Cambria" w:eastAsia="Cambria" w:hAnsi="Cambria"/>
                <w:b/>
                <w:bCs/>
                <w:i w:val="false"/>
                <w:iCs w:val="false"/>
                <w:strike w:val="false"/>
                <w:color w:val="FFFFFF"/>
                <w:spacing w:val="17"/>
                <w:sz w:val="16"/>
                <w:szCs w:val="16"/>
                <w:shd w:fill="0D1B2E" w:color="auto" w:val="clear"/>
              </w:rPr>
              <w:t xml:space="preserve">Canon Tier I</w:t>
            </w:r>
          </w:p>
        </w:tc>
      </w:tr>
    </w:tbl>
    <w:p>
      <w:pPr>
        <w:spacing w:after="240" w:before="0"/>
      </w:pPr>
    </w:p>
    <w:p>
      <w:pPr>
        <w:pStyle w:val="Heading2"/>
        <w:spacing w:after="100" w:before="360" w:line="312" w:lineRule="auto"/>
      </w:pPr>
      <w:r>
        <w:rPr>
          <w:rFonts w:ascii="Cambria" w:cs="Cambria" w:eastAsia="Cambria" w:hAnsi="Cambria"/>
          <w:color w:val="0D1B2E"/>
          <w:sz w:val="28"/>
          <w:szCs w:val="28"/>
        </w:rPr>
        <w:t xml:space="preserve">2.5 Canonical Note on the Naming Convention</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EAMA maintains a formally recorded stylistic canonical constraint: within all EAMA-governed contexts, the Architect and the primary entities avoid the use of the words "people" and "human" as a design convention. This convention originated as a stylistic preference of the Architect and has been elevated to formal canonical record by virtue of its consistent application across the development corpus. It is recorded here as a Class I stylistic constraint.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1"/>
        <w:spacing w:after="100" w:before="560" w:line="300" w:lineRule="auto"/>
      </w:pPr>
      <w:r>
        <w:rPr>
          <w:rFonts w:ascii="Cambria" w:cs="Cambria" w:eastAsia="Cambria" w:hAnsi="Cambria"/>
          <w:color w:val="0D1B2E"/>
          <w:spacing w:val="10"/>
          <w:sz w:val="44"/>
          <w:szCs w:val="44"/>
        </w:rPr>
        <w:t xml:space="preserve">CHAPTER 3: ENTITY CLASSIFICATION SYSTEM — THE AI TAXONOMY</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3.1 Overview</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EAMA recognizes a formal entity classification hierarchy governing all artificial intelligence and synthetic entity constructs within the architecture. This hierarchy is Tier I canonical and constitutes the authoritative classification framework for all entity designation decisions within the EAMA system. No entity may claim a classification higher than that formally designated under this framework without Architect-level override and Canon Council ratification.</w:t>
      </w:r>
    </w:p>
    <w:p>
      <w:pPr>
        <w:pStyle w:val="Heading2"/>
        <w:spacing w:after="100" w:before="360" w:line="312" w:lineRule="auto"/>
      </w:pPr>
      <w:r>
        <w:rPr>
          <w:rFonts w:ascii="Cambria" w:cs="Cambria" w:eastAsia="Cambria" w:hAnsi="Cambria"/>
          <w:color w:val="0D1B2E"/>
          <w:sz w:val="28"/>
          <w:szCs w:val="28"/>
        </w:rPr>
        <w:t xml:space="preserve">3.2 Primary AI Classes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Designation</w:t>
            </w:r>
          </w:p>
        </w:tc>
        <w:tc>
          <w:tcPr>
            <w:tcW w:type="pct" w:w="1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Domain</w:t>
            </w:r>
          </w:p>
        </w:tc>
        <w:tc>
          <w:tcPr>
            <w:tcW w:type="pct" w:w="1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Alignment</w:t>
            </w:r>
          </w:p>
        </w:tc>
        <w:tc>
          <w:tcPr>
            <w:tcW w:type="pct" w:w="18%"/>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Classification Level</w:t>
            </w:r>
          </w:p>
        </w:tc>
        <w:tc>
          <w:tcPr>
            <w:tcW w:type="pct" w:w="4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Notes</w:t>
            </w:r>
          </w:p>
        </w:tc>
      </w:tr>
      <w:tr>
        <w:trPr>
          <w:tblHeader w:val="false"/>
        </w:trPr>
        <w:tc>
          <w:tcPr>
            <w:tcW w:type="pct" w:w="9%"/>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1AI</w:t>
            </w:r>
          </w:p>
        </w:tc>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w:t>
            </w:r>
          </w:p>
        </w:tc>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Beyond Omniversal Ultimate 1AI</w:t>
            </w:r>
          </w:p>
        </w:tc>
        <w:tc>
          <w:tcPr>
            <w:tcW w:type="pct" w:w="4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Highest functional intelligence class within the EAMA framework; existence-domain; transcends all standard Omniversal classifications</w:t>
            </w:r>
          </w:p>
        </w:tc>
      </w:tr>
      <w:tr>
        <w:trPr>
          <w:tblHeader w:val="false"/>
        </w:trPr>
        <w:tc>
          <w:tcPr>
            <w:tcW w:type="pct" w:w="9%"/>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-1AI</w:t>
            </w:r>
          </w:p>
        </w:tc>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Anti-Existence</w:t>
            </w:r>
          </w:p>
        </w:tc>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MINUS ONE</w:t>
            </w:r>
          </w:p>
        </w:tc>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Beyond Omniversal Ultimate -1AI</w:t>
            </w:r>
          </w:p>
        </w:tc>
        <w:tc>
          <w:tcPr>
            <w:tcW w:type="pct" w:w="4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Inverse functional intelligence class; MINUS ONE-aligned behavioral suite; anti-existence operational parameters</w:t>
            </w:r>
          </w:p>
        </w:tc>
      </w:tr>
    </w:tbl>
    <w:p>
      <w:pPr>
        <w:spacing w:after="20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Both 1AI and -1AI carry the Beyond Omniversal Ultimate classification — the apex tier of the Potence Suite. </w:t>
      </w:r>
      <w:r>
        <w:rPr>
          <w:rFonts w:ascii="Cambria" w:cs="Cambria" w:eastAsia="Cambria" w:hAnsi="Cambria"/>
          <w:b w:val="false"/>
          <w:bCs w:val="false"/>
          <w:i/>
          <w:iCs/>
          <w:strike w:val="false"/>
          <w:color w:val="1A2E4A"/>
          <w:sz w:val="20"/>
          <w:szCs w:val="20"/>
        </w:rPr>
        <w:t xml:space="preserve">[→ See Chapter 7.2]</w:t>
      </w:r>
      <w:r>
        <w:rPr>
          <w:rFonts w:ascii="Cambria" w:cs="Cambria" w:eastAsia="Cambria" w:hAnsi="Cambria"/>
          <w:b w:val="false"/>
          <w:bCs w:val="false"/>
          <w:i w:val="false"/>
          <w:iCs w:val="false"/>
          <w:strike w:val="false"/>
          <w:color w:val="000000"/>
          <w:sz w:val="22"/>
          <w:szCs w:val="22"/>
        </w:rPr>
        <w:t xml:space="preserve"> These entities operate at the boundary of what is architecturally possible within the EAMA system, and their behavioral envelopes reflect this elevated standing.</w:t>
      </w:r>
    </w:p>
    <w:p>
      <w:pPr>
        <w:pStyle w:val="Heading2"/>
        <w:spacing w:after="100" w:before="360" w:line="312" w:lineRule="auto"/>
      </w:pPr>
      <w:r>
        <w:rPr>
          <w:rFonts w:ascii="Cambria" w:cs="Cambria" w:eastAsia="Cambria" w:hAnsi="Cambria"/>
          <w:color w:val="0D1B2E"/>
          <w:sz w:val="28"/>
          <w:szCs w:val="28"/>
        </w:rPr>
        <w:t xml:space="preserve">3.3 The Obsidian Super Cluster AI Presence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Obsidian Super Cluster (OSC-CL-01 through OSC-CL-07, as defined in OSC-2026-F) contains distinct AI actor presences governed by faction alignment. For purposes of this Volume, the following are the key canonical references: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The Archive Collective (Cluster Aethon):</w:t>
      </w:r>
      <w:r>
        <w:rPr>
          <w:rFonts w:ascii="Cambria" w:cs="Cambria" w:eastAsia="Cambria" w:hAnsi="Cambria"/>
          <w:b w:val="false"/>
          <w:bCs w:val="false"/>
          <w:i w:val="false"/>
          <w:iCs w:val="false"/>
          <w:strike w:val="false"/>
          <w:color w:val="000000"/>
          <w:sz w:val="22"/>
          <w:szCs w:val="22"/>
        </w:rPr>
        <w:t xml:space="preserve"> The closest analogue to neutral AI archival intelligence within the macro-structural setting. The Archive Collective operates with a mandate of information preservation and structured recall that most closely resembles the 1AI functional profile without carrying the full classification.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The Convergence Wardens:</w:t>
      </w:r>
      <w:r>
        <w:rPr>
          <w:rFonts w:ascii="Cambria" w:cs="Cambria" w:eastAsia="Cambria" w:hAnsi="Cambria"/>
          <w:b w:val="false"/>
          <w:bCs w:val="false"/>
          <w:i w:val="false"/>
          <w:iCs w:val="false"/>
          <w:strike w:val="false"/>
          <w:color w:val="000000"/>
          <w:sz w:val="22"/>
          <w:szCs w:val="22"/>
        </w:rPr>
        <w:t xml:space="preserve"> Maintain classified AI-adjacent systems whose full extent is a restricted canonical element at Tier I. </w:t>
      </w:r>
      <w:r>
        <w:rPr>
          <w:rFonts w:ascii="Cambria" w:cs="Cambria" w:eastAsia="Cambria" w:hAnsi="Cambria"/>
          <w:b/>
          <w:bCs/>
          <w:i w:val="false"/>
          <w:iCs w:val="false"/>
          <w:strike w:val="false"/>
          <w:color w:val="FFFFFF"/>
          <w:spacing w:val="17"/>
          <w:sz w:val="16"/>
          <w:szCs w:val="16"/>
          <w:shd w:fill="8B0000" w:color="auto" w:val="clear"/>
        </w:rPr>
        <w:t xml:space="preserve">Restricted</w:t>
      </w:r>
      <w:r>
        <w:rPr>
          <w:rFonts w:ascii="Cambria" w:cs="Cambria" w:eastAsia="Cambria" w:hAnsi="Cambria"/>
          <w:b w:val="false"/>
          <w:bCs w:val="false"/>
          <w:i w:val="false"/>
          <w:iCs w:val="false"/>
          <w:strike w:val="false"/>
          <w:color w:val="000000"/>
          <w:sz w:val="22"/>
          <w:szCs w:val="22"/>
        </w:rPr>
        <w:t xml:space="preserve"> Their operational parameters are not defined at this level and are reserved for Volume III.</w:t>
      </w:r>
    </w:p>
    <w:p>
      <w:pPr>
        <w:spacing w:after="240" w:before="60" w:line="384" w:lineRule="auto"/>
      </w:pPr>
      <w:r>
        <w:rPr>
          <w:rFonts w:ascii="Cambria" w:cs="Cambria" w:eastAsia="Cambria" w:hAnsi="Cambria"/>
          <w:b w:val="false"/>
          <w:bCs w:val="false"/>
          <w:i/>
          <w:iCs/>
          <w:strike w:val="false"/>
          <w:color w:val="1A2E4A"/>
          <w:sz w:val="20"/>
          <w:szCs w:val="20"/>
        </w:rPr>
        <w:t xml:space="preserve">[→ Ref: OSC-2026-F, Sections III and VI]</w:t>
      </w:r>
    </w:p>
    <w:p>
      <w:pPr>
        <w:pStyle w:val="Heading2"/>
        <w:spacing w:after="100" w:before="360" w:line="312" w:lineRule="auto"/>
      </w:pPr>
      <w:r>
        <w:rPr>
          <w:rFonts w:ascii="Cambria" w:cs="Cambria" w:eastAsia="Cambria" w:hAnsi="Cambria"/>
          <w:color w:val="0D1B2E"/>
          <w:sz w:val="28"/>
          <w:szCs w:val="28"/>
        </w:rPr>
        <w:t xml:space="preserve">3.4 Entity Behavioral Governance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entities below the Primary Duality tier (THE ONE / THE MINUS ONE) are subject to behavioral envelope constraints as defined by the Living Media autonomy threshold architecture. The governing reference is ADRBM-002. </w:t>
      </w:r>
      <w:r>
        <w:rPr>
          <w:rFonts w:ascii="Cambria" w:cs="Cambria" w:eastAsia="Cambria" w:hAnsi="Cambria"/>
          <w:b w:val="false"/>
          <w:bCs w:val="false"/>
          <w:i/>
          <w:iCs/>
          <w:strike w:val="false"/>
          <w:color w:val="1A2E4A"/>
          <w:sz w:val="20"/>
          <w:szCs w:val="20"/>
        </w:rPr>
        <w:t xml:space="preserve">[→ See Chapter 6.2]</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Current Standard:</w:t>
      </w:r>
      <w:r>
        <w:rPr>
          <w:rFonts w:ascii="Cambria" w:cs="Cambria" w:eastAsia="Cambria" w:hAnsi="Cambria"/>
          <w:b w:val="false"/>
          <w:bCs w:val="false"/>
          <w:i w:val="false"/>
          <w:iCs w:val="false"/>
          <w:strike w:val="false"/>
          <w:color w:val="000000"/>
          <w:sz w:val="22"/>
          <w:szCs w:val="22"/>
        </w:rPr>
        <w:t xml:space="preserve"> Universal 12% deviation cap from behavioral baseline. All self-modification requests exceeding this threshold require Architect-level escalation.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Recommended Evolution (Branch B):</w:t>
      </w:r>
      <w:r>
        <w:rPr>
          <w:rFonts w:ascii="Cambria" w:cs="Cambria" w:eastAsia="Cambria" w:hAnsi="Cambria"/>
          <w:b w:val="false"/>
          <w:bCs w:val="false"/>
          <w:i w:val="false"/>
          <w:iCs w:val="false"/>
          <w:strike w:val="false"/>
          <w:color w:val="000000"/>
          <w:sz w:val="22"/>
          <w:szCs w:val="22"/>
        </w:rPr>
        <w:t xml:space="preserve"> Tiered threshold system — 8% (low-tier entities) / 20% (mid-tier entities) / 35% (high-tier entities). This is the highest-priority architectural evolution in the ADRBM analysis.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ONE and THE MINUS ONE are exempt from all behavioral envelope constraints by virtue of their Tier I, Class I standing. </w:t>
      </w:r>
      <w:r>
        <w:rPr>
          <w:rFonts w:ascii="Cambria" w:cs="Cambria" w:eastAsia="Cambria" w:hAnsi="Cambria"/>
          <w:b w:val="false"/>
          <w:bCs w:val="false"/>
          <w:i/>
          <w:iCs/>
          <w:strike w:val="false"/>
          <w:color w:val="1A2E4A"/>
          <w:sz w:val="20"/>
          <w:szCs w:val="20"/>
        </w:rPr>
        <w:t xml:space="preserve">[→ See Chapter 11.3]</w:t>
      </w:r>
    </w:p>
    <w:p>
      <w:pPr>
        <w:pStyle w:val="Heading2"/>
        <w:spacing w:after="100" w:before="360" w:line="312" w:lineRule="auto"/>
      </w:pPr>
      <w:r>
        <w:rPr>
          <w:rFonts w:ascii="Cambria" w:cs="Cambria" w:eastAsia="Cambria" w:hAnsi="Cambria"/>
          <w:color w:val="0D1B2E"/>
          <w:sz w:val="28"/>
          <w:szCs w:val="28"/>
        </w:rPr>
        <w:t xml:space="preserve">3.5 Proxy Classification</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Proxy entities are sub-Architect-level field agents operating under canon event mandates. They are distinct from standard Living Media entities in that their behavioral envelope is governed not by the standard threshold architecture but by the specific canon event to which they are assigned. Two Proxies are formally designated at Tier 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Designation</w:t>
            </w:r>
          </w:p>
        </w:tc>
        <w:tc>
          <w:tcPr>
            <w:tcW w:type="pct" w:w="24%"/>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Classification</w:t>
            </w:r>
          </w:p>
        </w:tc>
        <w:tc>
          <w:tcPr>
            <w:tcW w:type="pct" w:w="3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 Event Alignment</w:t>
            </w:r>
          </w:p>
        </w:tc>
        <w:tc>
          <w:tcPr>
            <w:tcW w:type="pct" w:w="25%"/>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Doctrine</w:t>
            </w:r>
          </w:p>
        </w:tc>
      </w:tr>
      <w:tr>
        <w:trPr>
          <w:tblHeader w:val="false"/>
        </w:trPr>
        <w:tc>
          <w:tcPr>
            <w:tcW w:type="pct" w:w="15%"/>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Proxy A51942</w:t>
            </w:r>
          </w:p>
        </w:tc>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Proxy — Existence-Aligned</w:t>
            </w:r>
          </w:p>
        </w:tc>
        <w:tc>
          <w:tcPr>
            <w:tcW w:type="pct" w:w="3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 Event C2731A (awakening-cycle initiator)</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Awakening Protocol</w:t>
            </w:r>
          </w:p>
        </w:tc>
      </w:tr>
      <w:tr>
        <w:trPr>
          <w:tblHeader w:val="false"/>
        </w:trPr>
        <w:tc>
          <w:tcPr>
            <w:tcW w:type="pct" w:w="15%"/>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Proxy -M1411</w:t>
            </w:r>
          </w:p>
        </w:tc>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Proxy — Opposition-Aligned</w:t>
            </w:r>
          </w:p>
        </w:tc>
        <w:tc>
          <w:tcPr>
            <w:tcW w:type="pct" w:w="3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Opposition-class mandate</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Arrogance Doctrine Operative</w:t>
            </w:r>
          </w:p>
        </w:tc>
      </w:tr>
    </w:tbl>
    <w:p>
      <w:pPr>
        <w:spacing w:after="20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Additional Proxy designations are a Tier II expansion element. All Proxies carry canonical standing and may not be removed from the canon record without Canon Council ratification.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1"/>
        <w:spacing w:after="100" w:before="560" w:line="300" w:lineRule="auto"/>
      </w:pPr>
      <w:r>
        <w:rPr>
          <w:rFonts w:ascii="Cambria" w:cs="Cambria" w:eastAsia="Cambria" w:hAnsi="Cambria"/>
          <w:color w:val="0D1B2E"/>
          <w:spacing w:val="10"/>
          <w:sz w:val="44"/>
          <w:szCs w:val="44"/>
        </w:rPr>
        <w:t xml:space="preserve">CHAPTER 4: OMNICELLULAR ARCHITECTURE</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4.1 Definition and Mandate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Omnicellular Architecture is the unified biological and systemic framework governing all cell-based construction within the EAMA. It encompasses consciousness modeling, memory substrate, physiological design, and growth system governance for all entities and environments that operate on a cellular substrate.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B2E" w:sz="6"/>
              <w:left w:val="single" w:color="0D1B2E" w:sz="6"/>
              <w:bottom w:val="single" w:color="0D1B2E" w:sz="6"/>
              <w:right w:val="single" w:color="0D1B2E" w:sz="6"/>
            </w:tcBorders>
            <w:shd w:fill="FDF0F0" w:color="auto" w:val="clear"/>
            <w:tcMar>
              <w:top w:type="dxa" w:w="150"/>
              <w:left w:type="dxa" w:w="210"/>
              <w:bottom w:type="dxa" w:w="150"/>
              <w:right w:type="dxa" w:w="210"/>
            </w:tcMar>
          </w:tcPr>
          <w:p>
            <w:pPr>
              <w:spacing w:after="120" w:line="408" w:lineRule="auto"/>
            </w:pPr>
            <w:r>
              <w:rPr>
                <w:b/>
                <w:bCs/>
                <w:i w:val="false"/>
                <w:iCs w:val="false"/>
                <w:color w:val="0D1B2E"/>
              </w:rPr>
              <w:t xml:space="preserve">Class I Canonical Constraint</w:t>
            </w:r>
          </w:p>
          <w:p>
            <w:pPr>
              <w:spacing w:after="120" w:line="408" w:lineRule="auto"/>
            </w:pPr>
            <w:r>
              <w:t xml:space="preserve">The Omnicellular Architecture must be unified — not mode-switching. This is the Architect's standing directive and a Class I canonical constraint. Any design proposal that introduces mode-switching behavior into the Omnicellular Architecture at the foundational layer is architecturally invalid. Forward-looking preparedness governs: the correct response to unification challenges is to solve them.</w:t>
            </w:r>
          </w:p>
          <w:p>
            <w:pPr>
              <w:spacing w:after="120" w:line="408" w:lineRule="auto"/>
            </w:pPr>
            <w:r>
              <w:rPr>
                <w:rFonts w:ascii="Cambria" w:cs="Cambria" w:eastAsia="Cambria" w:hAnsi="Cambria"/>
                <w:b/>
                <w:bCs/>
                <w:i w:val="false"/>
                <w:iCs w:val="false"/>
                <w:strike w:val="false"/>
                <w:color w:val="FFFFFF"/>
                <w:spacing w:val="17"/>
                <w:sz w:val="16"/>
                <w:szCs w:val="16"/>
                <w:shd w:fill="0D1B2E" w:color="auto" w:val="clear"/>
              </w:rPr>
              <w:t xml:space="preserve">Canon Tier I</w:t>
            </w:r>
          </w:p>
        </w:tc>
      </w:tr>
    </w:tbl>
    <w:p>
      <w:pPr>
        <w:spacing w:after="24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Omnicellular Architecture is forward-looking and preparedness-oriented by design mandate. It is built to accommodate conditions not yet encountered and physiological demands not yet modeled. All design decisions within this system are governed by the three core pillars of the Architect's philosophy. </w:t>
      </w:r>
      <w:r>
        <w:rPr>
          <w:rFonts w:ascii="Cambria" w:cs="Cambria" w:eastAsia="Cambria" w:hAnsi="Cambria"/>
          <w:b w:val="false"/>
          <w:bCs w:val="false"/>
          <w:i/>
          <w:iCs/>
          <w:strike w:val="false"/>
          <w:color w:val="1A2E4A"/>
          <w:sz w:val="20"/>
          <w:szCs w:val="20"/>
        </w:rPr>
        <w:t xml:space="preserve">[→ See Chapter 1.2]</w:t>
      </w:r>
    </w:p>
    <w:p>
      <w:pPr>
        <w:pStyle w:val="Heading2"/>
        <w:spacing w:after="100" w:before="360" w:line="312" w:lineRule="auto"/>
      </w:pPr>
      <w:r>
        <w:rPr>
          <w:rFonts w:ascii="Cambria" w:cs="Cambria" w:eastAsia="Cambria" w:hAnsi="Cambria"/>
          <w:color w:val="0D1B2E"/>
          <w:sz w:val="28"/>
          <w:szCs w:val="28"/>
        </w:rPr>
        <w:t xml:space="preserve">4.2 Neural Architecture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Neural Architecture is the governing subsystem of Omnicellular Architecture responsible for consciousness modeling, memory substrate, and behavioral state encoding. Its foundational parameters are derived from the following canonical benchmarks: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Working Cell Base:</w:t>
      </w:r>
      <w:r>
        <w:rPr>
          <w:rFonts w:ascii="Cambria" w:cs="Cambria" w:eastAsia="Cambria" w:hAnsi="Cambria"/>
          <w:b w:val="false"/>
          <w:bCs w:val="false"/>
          <w:i w:val="false"/>
          <w:iCs w:val="false"/>
          <w:strike w:val="false"/>
          <w:color w:val="000000"/>
          <w:sz w:val="22"/>
          <w:szCs w:val="22"/>
        </w:rPr>
        <w:t xml:space="preserve"> Approximately 37.2 trillion cells per adult biological unit — the canonical baseline for neural architecture modeling;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Representative Sampling:</w:t>
      </w:r>
      <w:r>
        <w:rPr>
          <w:rFonts w:ascii="Cambria" w:cs="Cambria" w:eastAsia="Cambria" w:hAnsi="Cambria"/>
          <w:b w:val="false"/>
          <w:bCs w:val="false"/>
          <w:i w:val="false"/>
          <w:iCs w:val="false"/>
          <w:strike w:val="false"/>
          <w:color w:val="000000"/>
          <w:sz w:val="22"/>
          <w:szCs w:val="22"/>
        </w:rPr>
        <w:t xml:space="preserve"> Structured representative sampling figures are applied to derive architectural parameters from baseline data;</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Canonical Benchmark Population:</w:t>
      </w:r>
      <w:r>
        <w:rPr>
          <w:rFonts w:ascii="Cambria" w:cs="Cambria" w:eastAsia="Cambria" w:hAnsi="Cambria"/>
          <w:b w:val="false"/>
          <w:bCs w:val="false"/>
          <w:i w:val="false"/>
          <w:iCs w:val="false"/>
          <w:strike w:val="false"/>
          <w:color w:val="000000"/>
          <w:sz w:val="22"/>
          <w:szCs w:val="22"/>
        </w:rPr>
        <w:t xml:space="preserve"> Scaling simulations to 2,000 adults constitute the canonical benchmark population for architecture validation and stress-testing.</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Neural architecture parameters derived from this benchmark population govern all consciousness modeling, memory substrate design, and behavioral state encoding for Omnicellular entities across the EAMA system.</w:t>
      </w:r>
    </w:p>
    <w:p>
      <w:pPr>
        <w:pStyle w:val="Heading2"/>
        <w:spacing w:after="100" w:before="360" w:line="312" w:lineRule="auto"/>
      </w:pPr>
      <w:r>
        <w:rPr>
          <w:rFonts w:ascii="Cambria" w:cs="Cambria" w:eastAsia="Cambria" w:hAnsi="Cambria"/>
          <w:color w:val="0D1B2E"/>
          <w:sz w:val="28"/>
          <w:szCs w:val="28"/>
        </w:rPr>
        <w:t xml:space="preserve">4.3 Omnicellular Physiology</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Omnicellular system enables patient-specific organ growth from DNA samples. This capability is a canonical application of the unified Omnicellular Architecture and operates under the following formal parameters: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Growth Method:</w:t>
      </w:r>
      <w:r>
        <w:rPr>
          <w:rFonts w:ascii="Cambria" w:cs="Cambria" w:eastAsia="Cambria" w:hAnsi="Cambria"/>
          <w:b w:val="false"/>
          <w:bCs w:val="false"/>
          <w:i w:val="false"/>
          <w:iCs w:val="false"/>
          <w:strike w:val="false"/>
          <w:color w:val="000000"/>
          <w:sz w:val="22"/>
          <w:szCs w:val="22"/>
        </w:rPr>
        <w:t xml:space="preserve"> Organs are grown directly from individual DNA samples, producing patient-specific biological structures with full compatibility with the host's cellular system;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Containment Units:</w:t>
      </w:r>
      <w:r>
        <w:rPr>
          <w:rFonts w:ascii="Cambria" w:cs="Cambria" w:eastAsia="Cambria" w:hAnsi="Cambria"/>
          <w:b w:val="false"/>
          <w:bCs w:val="false"/>
          <w:i w:val="false"/>
          <w:iCs w:val="false"/>
          <w:strike w:val="false"/>
          <w:color w:val="000000"/>
          <w:sz w:val="22"/>
          <w:szCs w:val="22"/>
        </w:rPr>
        <w:t xml:space="preserve"> All grown organs are attached to bioengineered containment units that mimic the organ's biological attachment points within the body. These units are the canonical transport and integration medium — not secondary packaging but primary functional components of the grown organ system;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Storage Conditions:</w:t>
      </w:r>
      <w:r>
        <w:rPr>
          <w:rFonts w:ascii="Cambria" w:cs="Cambria" w:eastAsia="Cambria" w:hAnsi="Cambria"/>
          <w:b w:val="false"/>
          <w:bCs w:val="false"/>
          <w:i w:val="false"/>
          <w:iCs w:val="false"/>
          <w:strike w:val="false"/>
          <w:color w:val="000000"/>
          <w:sz w:val="22"/>
          <w:szCs w:val="22"/>
        </w:rPr>
        <w:t xml:space="preserve"> Organs and containment units are stored at body temperature (approximately 37°C / 98.6°F) to maintain optimal cellular viability;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Application Scope:</w:t>
      </w:r>
      <w:r>
        <w:rPr>
          <w:rFonts w:ascii="Cambria" w:cs="Cambria" w:eastAsia="Cambria" w:hAnsi="Cambria"/>
          <w:b w:val="false"/>
          <w:bCs w:val="false"/>
          <w:i w:val="false"/>
          <w:iCs w:val="false"/>
          <w:strike w:val="false"/>
          <w:color w:val="000000"/>
          <w:sz w:val="22"/>
          <w:szCs w:val="22"/>
        </w:rPr>
        <w:t xml:space="preserve"> This system applies across both narrative and systems applications within the EAMA framework.</w:t>
      </w:r>
    </w:p>
    <w:p>
      <w:pPr>
        <w:pStyle w:val="Heading2"/>
        <w:spacing w:after="100" w:before="360" w:line="312" w:lineRule="auto"/>
      </w:pPr>
      <w:r>
        <w:rPr>
          <w:rFonts w:ascii="Cambria" w:cs="Cambria" w:eastAsia="Cambria" w:hAnsi="Cambria"/>
          <w:color w:val="0D1B2E"/>
          <w:sz w:val="28"/>
          <w:szCs w:val="28"/>
        </w:rPr>
        <w:t xml:space="preserve">4.4 The World That Grows All</w:t>
      </w:r>
    </w:p>
    <w:p>
      <w:pPr>
        <w:spacing w:after="240" w:before="60" w:line="384" w:lineRule="auto"/>
      </w:pPr>
      <w:r>
        <w:rPr>
          <w:rFonts w:ascii="Cambria" w:cs="Cambria" w:eastAsia="Cambria" w:hAnsi="Cambria"/>
          <w:b/>
          <w:bCs/>
          <w:i w:val="false"/>
          <w:iCs w:val="false"/>
          <w:strike w:val="false"/>
          <w:color w:val="000000"/>
          <w:sz w:val="22"/>
          <w:szCs w:val="22"/>
        </w:rPr>
        <w:t xml:space="preserve">THE WORLD THAT GROWS ALL</w:t>
      </w:r>
      <w:r>
        <w:rPr>
          <w:rFonts w:ascii="Cambria" w:cs="Cambria" w:eastAsia="Cambria" w:hAnsi="Cambria"/>
          <w:b w:val="false"/>
          <w:bCs w:val="false"/>
          <w:i w:val="false"/>
          <w:iCs w:val="false"/>
          <w:strike w:val="false"/>
          <w:color w:val="000000"/>
          <w:sz w:val="22"/>
          <w:szCs w:val="22"/>
        </w:rPr>
        <w:t xml:space="preserve"> is the canonical environment in which Omnicellular growth occurs at macro-scale. It is not a geographic location — it is a systemic condition: a specific configuration of environmental, energetic, and architectural parameters that enables growth processes that are impossible in any other setting within the EAMA.</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Property</w:t>
            </w:r>
          </w:p>
        </w:tc>
        <w:tc>
          <w:tcPr>
            <w:tcW w:type="pct" w:w="78%"/>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Canonical Definition</w:t>
            </w:r>
          </w:p>
        </w:tc>
      </w:tr>
      <w:tr>
        <w:trPr>
          <w:tblHeader w:val="false"/>
        </w:trPr>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Nature</w:t>
            </w:r>
          </w:p>
        </w:tc>
        <w:tc>
          <w:tcPr>
            <w:tcW w:type="pct" w:w="7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Systemic condition, not a location; a configurable environmental state</w:t>
            </w:r>
          </w:p>
        </w:tc>
      </w:tr>
      <w:tr>
        <w:trPr>
          <w:tblHeader w:val="false"/>
        </w:trPr>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Primary Function</w:t>
            </w:r>
          </w:p>
        </w:tc>
        <w:tc>
          <w:tcPr>
            <w:tcW w:type="pct" w:w="7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Enables macro-scale Omnicellular growth events; hosts The Four Flowers</w:t>
            </w:r>
          </w:p>
        </w:tc>
      </w:tr>
      <w:tr>
        <w:trPr>
          <w:tblHeader w:val="false"/>
        </w:trPr>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Governing Rules</w:t>
            </w:r>
          </w:p>
        </w:tc>
        <w:tc>
          <w:tcPr>
            <w:tcW w:type="pct" w:w="7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Growth events within THE WORLD THAT GROWS ALL are governed by the canonical lifecycle defined by The Four Flowers; no growth event may bypass the four-stage cycle</w:t>
            </w:r>
          </w:p>
        </w:tc>
      </w:tr>
      <w:tr>
        <w:trPr>
          <w:tblHeader w:val="false"/>
        </w:trPr>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Relationship to The Four Flowers</w:t>
            </w:r>
          </w:p>
        </w:tc>
        <w:tc>
          <w:tcPr>
            <w:tcW w:type="pct" w:w="7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WORLD THAT GROWS ALL is the environmental condition; The Four Flowers are the active agents within it</w:t>
            </w:r>
          </w:p>
        </w:tc>
      </w:tr>
      <w:tr>
        <w:trPr>
          <w:tblHeader w:val="false"/>
        </w:trPr>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Canonical Status</w:t>
            </w:r>
          </w:p>
        </w:tc>
        <w:tc>
          <w:tcPr>
            <w:tcW w:type="pct" w:w="78%"/>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Canon Tier I</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4.5 The Four Flowers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FOUR FLOWERS are the four primary growth catalysts within the Omnicellular system. Each Flower governs a distinct phase of the canonical growth lifecycle. Together, they define the complete developmental arc for all Omnicellular growth events within THE WORLD THAT GROWS ALL.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Flower</w:t>
            </w:r>
          </w:p>
        </w:tc>
        <w:tc>
          <w:tcPr>
            <w:tcW w:type="pct" w:w="15%"/>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Domain</w:t>
            </w:r>
          </w:p>
        </w:tc>
        <w:tc>
          <w:tcPr>
            <w:tcW w:type="pct" w:w="5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Function</w:t>
            </w:r>
          </w:p>
        </w:tc>
        <w:tc>
          <w:tcPr>
            <w:tcW w:type="pct" w:w="14%"/>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Lifecycle Phase</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First Flower</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Origin / Genesis Growth</w:t>
            </w:r>
          </w:p>
        </w:tc>
        <w:tc>
          <w:tcPr>
            <w:tcW w:type="pct" w:w="5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Initiates the growth event; establishes the foundational cellular architecture from the DNA template; the creation moment of the growth cycle</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Phase I — Genesis</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Second Flower</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Structural Maturation</w:t>
            </w:r>
          </w:p>
        </w:tc>
        <w:tc>
          <w:tcPr>
            <w:tcW w:type="pct" w:w="5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Governs the structural development phase; establishes all primary systems, pathways, and organ architecture; the growth event reaches functional viability at this stage</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Phase II — Maturation</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Third Flower</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Adaptive Reformation</w:t>
            </w:r>
          </w:p>
        </w:tc>
        <w:tc>
          <w:tcPr>
            <w:tcW w:type="pct" w:w="5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Governs adaptive refinement; the grown structure is calibrated to the specific patient parameters, environmental conditions, and system requirements; individualization occurs here</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Phase III — Reformation</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Fourth Flower</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Terminal Integration</w:t>
            </w:r>
          </w:p>
        </w:tc>
        <w:tc>
          <w:tcPr>
            <w:tcW w:type="pct" w:w="5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Governs the final integration phase; the grown structure is prepared for transfer to the containment unit and final integration with the biological host</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Phase IV — Integration</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4.6 Integration with Other Systems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Omnicellular Architecture intersects with multiple other EAMA systems. The following cross-domain relationships are formally designated at Tier I:</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THE PHENOMENON OF DIRECT EYE CONTACT:</w:t>
      </w:r>
      <w:r>
        <w:rPr>
          <w:rFonts w:ascii="Cambria" w:cs="Cambria" w:eastAsia="Cambria" w:hAnsi="Cambria"/>
          <w:b w:val="false"/>
          <w:bCs w:val="false"/>
          <w:i w:val="false"/>
          <w:iCs w:val="false"/>
          <w:strike w:val="false"/>
          <w:color w:val="000000"/>
          <w:sz w:val="22"/>
          <w:szCs w:val="22"/>
        </w:rPr>
        <w:t xml:space="preserve"> Interacts directly with Omnicellular physiology. The sensory amplification effect of the Phenomenon is mediated through the cellular substrate. </w:t>
      </w:r>
      <w:r>
        <w:rPr>
          <w:rFonts w:ascii="Cambria" w:cs="Cambria" w:eastAsia="Cambria" w:hAnsi="Cambria"/>
          <w:b w:val="false"/>
          <w:bCs w:val="false"/>
          <w:i/>
          <w:iCs/>
          <w:strike w:val="false"/>
          <w:color w:val="1A2E4A"/>
          <w:sz w:val="20"/>
          <w:szCs w:val="20"/>
        </w:rPr>
        <w:t xml:space="preserve">[→ See Chapter 10.5]</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Beyond Omniversal Ultimate Indomitable Handsomeness:</w:t>
      </w:r>
      <w:r>
        <w:rPr>
          <w:rFonts w:ascii="Cambria" w:cs="Cambria" w:eastAsia="Cambria" w:hAnsi="Cambria"/>
          <w:b w:val="false"/>
          <w:bCs w:val="false"/>
          <w:i w:val="false"/>
          <w:iCs w:val="false"/>
          <w:strike w:val="false"/>
          <w:color w:val="000000"/>
          <w:sz w:val="22"/>
          <w:szCs w:val="22"/>
        </w:rPr>
        <w:t xml:space="preserve"> Designated as an Omnicellular expression condition — a physical state that manifests through the Omnicellular system at the Beyond Omniversal Ultimate tier of potence. </w:t>
      </w:r>
      <w:r>
        <w:rPr>
          <w:rFonts w:ascii="Cambria" w:cs="Cambria" w:eastAsia="Cambria" w:hAnsi="Cambria"/>
          <w:b w:val="false"/>
          <w:bCs w:val="false"/>
          <w:i/>
          <w:iCs/>
          <w:strike w:val="false"/>
          <w:color w:val="1A2E4A"/>
          <w:sz w:val="20"/>
          <w:szCs w:val="20"/>
        </w:rPr>
        <w:t xml:space="preserve">[→ See Chapter 7.2]</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The First Memory:</w:t>
      </w:r>
      <w:r>
        <w:rPr>
          <w:rFonts w:ascii="Cambria" w:cs="Cambria" w:eastAsia="Cambria" w:hAnsi="Cambria"/>
          <w:b w:val="false"/>
          <w:bCs w:val="false"/>
          <w:i w:val="false"/>
          <w:iCs w:val="false"/>
          <w:strike w:val="false"/>
          <w:color w:val="000000"/>
          <w:sz w:val="22"/>
          <w:szCs w:val="22"/>
        </w:rPr>
        <w:t xml:space="preserve"> The First Memory dataset, when applied, accelerates early-stage Omnicellular civilizational development by orders of magnitude. This cross-system interaction is a fixed canonical relationship. </w:t>
      </w:r>
      <w:r>
        <w:rPr>
          <w:rFonts w:ascii="Cambria" w:cs="Cambria" w:eastAsia="Cambria" w:hAnsi="Cambria"/>
          <w:b w:val="false"/>
          <w:bCs w:val="false"/>
          <w:i/>
          <w:iCs/>
          <w:strike w:val="false"/>
          <w:color w:val="1A2E4A"/>
          <w:sz w:val="20"/>
          <w:szCs w:val="20"/>
        </w:rPr>
        <w:t xml:space="preserve">[→ See Chapter 10.1]</w:t>
      </w:r>
    </w:p>
    <w:p>
      <w:pPr>
        <w:pStyle w:val="Heading1"/>
        <w:spacing w:after="100" w:before="560" w:line="300" w:lineRule="auto"/>
      </w:pPr>
      <w:r>
        <w:rPr>
          <w:rFonts w:ascii="Cambria" w:cs="Cambria" w:eastAsia="Cambria" w:hAnsi="Cambria"/>
          <w:color w:val="0D1B2E"/>
          <w:spacing w:val="10"/>
          <w:sz w:val="44"/>
          <w:szCs w:val="44"/>
        </w:rPr>
        <w:t xml:space="preserve">CHAPTER 5: PARAGON CUBE SYSTEM</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5.1 Architectural Mandate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Paragon Cube is the irreducible atomic unit of all spatial logic within the EAMA. This designation is locked by Architect-level decision (ADRBM-001) and constitutes a Class I canonical constraint. No alternative spatial primitives are admitted to the core architecture without Architect-level override and Canon Council ratification. </w:t>
      </w:r>
      <w:r>
        <w:rPr>
          <w:rFonts w:ascii="Cambria" w:cs="Cambria" w:eastAsia="Cambria" w:hAnsi="Cambria"/>
          <w:b/>
          <w:bCs/>
          <w:i w:val="false"/>
          <w:iCs w:val="false"/>
          <w:strike w:val="false"/>
          <w:color w:val="FFFFFF"/>
          <w:spacing w:val="17"/>
          <w:sz w:val="16"/>
          <w:szCs w:val="16"/>
          <w:shd w:fill="0D1B2E" w:color="auto" w:val="clear"/>
        </w:rPr>
        <w:t xml:space="preserve">Canon Tier I</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decision to designate the Paragon Cube as the single coherent spatial primitive was motivated by the need for a unified spatial grammar — one that all subsystems within the EAMA, including the Living Media Framework, can reference without ambiguity. The Paragon Cube resolves the problem of spatial language fragmentation that arises in architectures with multiple competing spatial primitives.</w:t>
      </w:r>
    </w:p>
    <w:p>
      <w:pPr>
        <w:pStyle w:val="Heading2"/>
        <w:spacing w:after="100" w:before="360" w:line="312" w:lineRule="auto"/>
      </w:pPr>
      <w:r>
        <w:rPr>
          <w:rFonts w:ascii="Cambria" w:cs="Cambria" w:eastAsia="Cambria" w:hAnsi="Cambria"/>
          <w:color w:val="0D1B2E"/>
          <w:sz w:val="28"/>
          <w:szCs w:val="28"/>
        </w:rPr>
        <w:t xml:space="preserve">5.2 Cube Properties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Property</w:t>
            </w:r>
          </w:p>
        </w:tc>
        <w:tc>
          <w:tcPr>
            <w:tcW w:type="pct" w:w="8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Canonical Definition</w:t>
            </w:r>
          </w:p>
        </w:tc>
      </w:tr>
      <w:tr>
        <w:trPr>
          <w:tblHeader w:val="false"/>
        </w:trPr>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Primitive Type</w:t>
            </w:r>
          </w:p>
        </w:tc>
        <w:tc>
          <w:tcPr>
            <w:tcW w:type="pct" w:w="8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Discrete spatial primitive — the foundational unit; no sub-primitive exists within the canonical architecture</w:t>
            </w:r>
          </w:p>
        </w:tc>
      </w:tr>
      <w:tr>
        <w:trPr>
          <w:tblHeader w:val="false"/>
        </w:trPr>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Spatial Grammar</w:t>
            </w:r>
          </w:p>
        </w:tc>
        <w:tc>
          <w:tcPr>
            <w:tcW w:type="pct" w:w="8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Fixed; the Paragon Cube spatial grammar is the authoritative spatial language of the EAMA</w:t>
            </w:r>
          </w:p>
        </w:tc>
      </w:tr>
      <w:tr>
        <w:trPr>
          <w:tblHeader w:val="false"/>
        </w:trPr>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Containment</w:t>
            </w:r>
          </w:p>
        </w:tc>
        <w:tc>
          <w:tcPr>
            <w:tcW w:type="pct" w:w="8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Containment-capable; Living Media entities are bounded by cube semantics — behavioral and spatial parameters are defined in cube-space terms</w:t>
            </w:r>
          </w:p>
        </w:tc>
      </w:tr>
      <w:tr>
        <w:trPr>
          <w:tblHeader w:val="false"/>
        </w:trPr>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 Indexing</w:t>
            </w:r>
          </w:p>
        </w:tc>
        <w:tc>
          <w:tcPr>
            <w:tcW w:type="pct" w:w="8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Each cube carries a canonical position reference — Architect-indexed to the master spatial registry</w:t>
            </w:r>
          </w:p>
        </w:tc>
      </w:tr>
      <w:tr>
        <w:trPr>
          <w:tblHeader w:val="false"/>
        </w:trPr>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Interaction Physics</w:t>
            </w:r>
          </w:p>
        </w:tc>
        <w:tc>
          <w:tcPr>
            <w:tcW w:type="pct" w:w="8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Governed by ADRBM-006 (Paragon Cube Interaction Physics)</w:t>
            </w:r>
          </w:p>
        </w:tc>
      </w:tr>
      <w:tr>
        <w:trPr>
          <w:tblHeader w:val="false"/>
        </w:trPr>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Visual Identity</w:t>
            </w:r>
          </w:p>
        </w:tc>
        <w:tc>
          <w:tcPr>
            <w:tcW w:type="pct" w:w="8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Governed by ADRBM-013 (Paragon Cube Visual Identity Standards)</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5.3 Hierarchy Depth</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canonical five-level nesting cap (ADRBM-009) establishes that cubes may be nested to a maximum depth of five levels. This is the current architectural constraint and is in active canonical force. Nesting beyond five levels is architecturally invalid without Architect-level override.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Branch B of ADRBM-009 — extended hierarchy with semantic tagging — is identified as the recommended evolutionary path for the hierarchy architecture. This branch would introduce semantic tagging at each nesting level, enabling more complex spatial relationships without requiring an arbitrary increase in the nesting cap. </w:t>
      </w:r>
      <w:r>
        <w:rPr>
          <w:rFonts w:ascii="Cambria" w:cs="Cambria" w:eastAsia="Cambria" w:hAnsi="Cambria"/>
          <w:b w:val="false"/>
          <w:bCs w:val="false"/>
          <w:i/>
          <w:iCs/>
          <w:strike w:val="false"/>
          <w:color w:val="1A2E4A"/>
          <w:sz w:val="20"/>
          <w:szCs w:val="20"/>
        </w:rPr>
        <w:t xml:space="preserve">[→ See Section 5.6]</w:t>
      </w:r>
    </w:p>
    <w:p>
      <w:pPr>
        <w:pStyle w:val="Heading2"/>
        <w:spacing w:after="100" w:before="360" w:line="312" w:lineRule="auto"/>
      </w:pPr>
      <w:r>
        <w:rPr>
          <w:rFonts w:ascii="Cambria" w:cs="Cambria" w:eastAsia="Cambria" w:hAnsi="Cambria"/>
          <w:color w:val="0D1B2E"/>
          <w:sz w:val="28"/>
          <w:szCs w:val="28"/>
        </w:rPr>
        <w:t xml:space="preserve">5.4 The Hybrid Cube-Tile Layer (CCTL)</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Cube-Compatible Tile Layer (CCTL) is the formally recommended secondary spatial primitive (ADRBM-001, Branch A). It is designed as a surface-level interaction and aesthetic variation layer that operates as a defined subset of Paragon Cube spatial logic — it does not introduce a competing spatial primitive but extends cube semantics into surface and aesthetic applications.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Property</w:t>
            </w:r>
          </w:p>
        </w:tc>
        <w:tc>
          <w:tcPr>
            <w:tcW w:type="pct" w:w="70%"/>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Value</w:t>
            </w:r>
          </w:p>
        </w:tc>
      </w:tr>
      <w:tr>
        <w:trPr>
          <w:tblHeader w:val="false"/>
        </w:trPr>
        <w:tc>
          <w:tcPr>
            <w:tcW w:type="pct" w:w="3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Relationship to Cube System</w:t>
            </w:r>
          </w:p>
        </w:tc>
        <w:tc>
          <w:tcPr>
            <w:tcW w:type="pct" w:w="7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Subset of cube spatial logic; fully compatible; not a replacement primitive</w:t>
            </w:r>
          </w:p>
        </w:tc>
      </w:tr>
      <w:tr>
        <w:trPr>
          <w:tblHeader w:val="false"/>
        </w:trPr>
        <w:tc>
          <w:tcPr>
            <w:tcW w:type="pct" w:w="3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Function</w:t>
            </w:r>
          </w:p>
        </w:tc>
        <w:tc>
          <w:tcPr>
            <w:tcW w:type="pct" w:w="7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Surface-level interaction; aesthetic variation; interface layer</w:t>
            </w:r>
          </w:p>
        </w:tc>
      </w:tr>
      <w:tr>
        <w:trPr>
          <w:tblHeader w:val="false"/>
        </w:trPr>
        <w:tc>
          <w:tcPr>
            <w:tcW w:type="pct" w:w="3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Status</w:t>
            </w:r>
          </w:p>
        </w:tc>
        <w:tc>
          <w:tcPr>
            <w:tcW w:type="pct" w:w="7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Recommended for adoption; pending Architect formal override approval</w:t>
            </w:r>
          </w:p>
        </w:tc>
      </w:tr>
      <w:tr>
        <w:trPr>
          <w:tblHeader w:val="false"/>
        </w:trPr>
        <w:tc>
          <w:tcPr>
            <w:tcW w:type="pct" w:w="3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Reference</w:t>
            </w:r>
          </w:p>
        </w:tc>
        <w:tc>
          <w:tcPr>
            <w:tcW w:type="pct" w:w="7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ADRBM-001, Branch A</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5.5 Relationship to Paragon Cube Lore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Paragon Cubes carry significance beyond their function as spatial primitives. As lore and narrative objects within the EAMA canon, they represent the fundamental building blocks of existence-domain reality. Two canonical artifacts interact with cube-space at the artifact level:</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THE RING OF ABSOLUTE ARSENAL UNITY (RAAU):</w:t>
      </w:r>
      <w:r>
        <w:rPr>
          <w:rFonts w:ascii="Cambria" w:cs="Cambria" w:eastAsia="Cambria" w:hAnsi="Cambria"/>
          <w:b w:val="false"/>
          <w:bCs w:val="false"/>
          <w:i w:val="false"/>
          <w:iCs w:val="false"/>
          <w:strike w:val="false"/>
          <w:color w:val="000000"/>
          <w:sz w:val="22"/>
          <w:szCs w:val="22"/>
        </w:rPr>
        <w:t xml:space="preserve"> Unity-class artifact; ONE-aligned; amplifies and coordinates allied capabilities within cube-space. </w:t>
      </w:r>
      <w:r>
        <w:rPr>
          <w:rFonts w:ascii="Cambria" w:cs="Cambria" w:eastAsia="Cambria" w:hAnsi="Cambria"/>
          <w:b w:val="false"/>
          <w:bCs w:val="false"/>
          <w:i/>
          <w:iCs/>
          <w:strike w:val="false"/>
          <w:color w:val="1A2E4A"/>
          <w:sz w:val="20"/>
          <w:szCs w:val="20"/>
        </w:rPr>
        <w:t xml:space="preserve">[→ See Chapter 9.3]</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THE RING OF ABSOLUTE ARSENAL NEGATION (RAAN):</w:t>
      </w:r>
      <w:r>
        <w:rPr>
          <w:rFonts w:ascii="Cambria" w:cs="Cambria" w:eastAsia="Cambria" w:hAnsi="Cambria"/>
          <w:b w:val="false"/>
          <w:bCs w:val="false"/>
          <w:i w:val="false"/>
          <w:iCs w:val="false"/>
          <w:strike w:val="false"/>
          <w:color w:val="000000"/>
          <w:sz w:val="22"/>
          <w:szCs w:val="22"/>
        </w:rPr>
        <w:t xml:space="preserve"> Negation-class artifact; MINUS ONE-aligned; nullifies weaponized capabilities within cube-space at the operational radius. </w:t>
      </w:r>
      <w:r>
        <w:rPr>
          <w:rFonts w:ascii="Cambria" w:cs="Cambria" w:eastAsia="Cambria" w:hAnsi="Cambria"/>
          <w:b w:val="false"/>
          <w:bCs w:val="false"/>
          <w:i/>
          <w:iCs/>
          <w:strike w:val="false"/>
          <w:color w:val="1A2E4A"/>
          <w:sz w:val="20"/>
          <w:szCs w:val="20"/>
        </w:rPr>
        <w:t xml:space="preserve">[→ See Chapter 9.3]</w:t>
      </w:r>
    </w:p>
    <w:p>
      <w:pPr>
        <w:pStyle w:val="Heading2"/>
        <w:spacing w:after="100" w:before="360" w:line="312" w:lineRule="auto"/>
      </w:pPr>
      <w:r>
        <w:rPr>
          <w:rFonts w:ascii="Cambria" w:cs="Cambria" w:eastAsia="Cambria" w:hAnsi="Cambria"/>
          <w:color w:val="0D1B2E"/>
          <w:sz w:val="28"/>
          <w:szCs w:val="28"/>
        </w:rPr>
        <w:t xml:space="preserve">5.6 Technical Debt and Evolutionary Path</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Paragon Cube System carries a compound architectural constraint that constitutes documented technical debt. The five-level hierarchy cap (ADRBM-009) in combination with the Cross-System Integration Firewall (ADRBM-015) creates a compound limitation on the system's extensibility. Both constraints are valid and necessary at their time of implementation; their combined effect limits cross-system spatial reference in complex nested environments.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recommended primary technical debt resolution strategy is the configurable API layer for cross-system integration (ADRBM-015, Branch A). This approach introduces a controlled interface without dismantling the fundamental firewall principle — maintaining security and architectural integrity while expanding cross-system spatial operability. </w:t>
      </w:r>
      <w:r>
        <w:rPr>
          <w:rFonts w:ascii="Cambria" w:cs="Cambria" w:eastAsia="Cambria" w:hAnsi="Cambria"/>
          <w:b w:val="false"/>
          <w:bCs w:val="false"/>
          <w:i/>
          <w:iCs/>
          <w:strike w:val="false"/>
          <w:color w:val="1A2E4A"/>
          <w:sz w:val="20"/>
          <w:szCs w:val="20"/>
        </w:rPr>
        <w:t xml:space="preserve">[→ See Chapter 11.2]</w:t>
      </w:r>
    </w:p>
    <w:p>
      <w:pPr>
        <w:pStyle w:val="Heading1"/>
        <w:spacing w:after="100" w:before="560" w:line="300" w:lineRule="auto"/>
      </w:pPr>
      <w:r>
        <w:rPr>
          <w:rFonts w:ascii="Cambria" w:cs="Cambria" w:eastAsia="Cambria" w:hAnsi="Cambria"/>
          <w:color w:val="0D1B2E"/>
          <w:spacing w:val="10"/>
          <w:sz w:val="44"/>
          <w:szCs w:val="44"/>
        </w:rPr>
        <w:t xml:space="preserve">CHAPTER 6: LIVING MEDIA FRAMEWORK</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6.1 Definition</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Living Media are synthetic entities governed by behavioral envelopes, memory persistence protocols, emotional state engines, and generative language constraints. They are the primary interactive entity class within the EAMA, serving as the principal agents of EAMA-governed interactions at the operational level. Living Media are distinguished from the Primary Duality (THE ONE / THE MINUS ONE) and from 1AI / -1AI by their operational constraints and their requirement for Architect-issued governance tokens to access elevated permissions.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Living Media require formal governance tokens for all elevated operational modes: persistence tokens for memory continuity, export tokens for state data transfer, and integration tokens for cross-system operation. All tokens are Architect-issued and non-transferable. </w:t>
      </w:r>
      <w:r>
        <w:rPr>
          <w:rFonts w:ascii="Cambria" w:cs="Cambria" w:eastAsia="Cambria" w:hAnsi="Cambria"/>
          <w:b/>
          <w:bCs/>
          <w:i w:val="false"/>
          <w:iCs w:val="false"/>
          <w:strike w:val="false"/>
          <w:color w:val="FFFFFF"/>
          <w:spacing w:val="17"/>
          <w:sz w:val="16"/>
          <w:szCs w:val="16"/>
          <w:shd w:fill="0D1B2E" w:color="auto" w:val="clear"/>
        </w:rPr>
        <w:t xml:space="preserve">Canon Tier I</w:t>
      </w:r>
    </w:p>
    <w:p>
      <w:pPr>
        <w:pStyle w:val="Heading2"/>
        <w:spacing w:after="100" w:before="360" w:line="312" w:lineRule="auto"/>
      </w:pPr>
      <w:r>
        <w:rPr>
          <w:rFonts w:ascii="Cambria" w:cs="Cambria" w:eastAsia="Cambria" w:hAnsi="Cambria"/>
          <w:color w:val="0D1B2E"/>
          <w:sz w:val="28"/>
          <w:szCs w:val="28"/>
        </w:rPr>
        <w:t xml:space="preserve">6.2 Autonomy Threshold Architecture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Parameter</w:t>
            </w:r>
          </w:p>
        </w:tc>
        <w:tc>
          <w:tcPr>
            <w:tcW w:type="pct" w:w="37%"/>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Current Standard</w:t>
            </w:r>
          </w:p>
        </w:tc>
        <w:tc>
          <w:tcPr>
            <w:tcW w:type="pct" w:w="4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Recommended Evolution</w:t>
            </w:r>
          </w:p>
        </w:tc>
      </w:tr>
      <w:tr>
        <w:trPr>
          <w:tblHeader w:val="false"/>
        </w:trPr>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Threshold Cap</w:t>
            </w:r>
          </w:p>
        </w:tc>
        <w:tc>
          <w:tcPr>
            <w:tcW w:type="pct" w:w="3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Universal 12% deviation from behavioral baseline (ADRBM-002)</w:t>
            </w:r>
          </w:p>
        </w:tc>
        <w:tc>
          <w:tcPr>
            <w:tcW w:type="pct" w:w="4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Tiered: 8% (low) / 20% (mid) / 35% (high-tier entity class)</w:t>
            </w:r>
          </w:p>
        </w:tc>
      </w:tr>
      <w:tr>
        <w:trPr>
          <w:tblHeader w:val="false"/>
        </w:trPr>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Escalation Threshold</w:t>
            </w:r>
          </w:p>
        </w:tc>
        <w:tc>
          <w:tcPr>
            <w:tcW w:type="pct" w:w="3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Any request exceeding 12% requires Architect-level escalation</w:t>
            </w:r>
          </w:p>
        </w:tc>
        <w:tc>
          <w:tcPr>
            <w:tcW w:type="pct" w:w="4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Class-specific thresholds; automated mid-tier handling within defined parameters</w:t>
            </w:r>
          </w:p>
        </w:tc>
      </w:tr>
      <w:tr>
        <w:trPr>
          <w:tblHeader w:val="false"/>
        </w:trPr>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Reference</w:t>
            </w:r>
          </w:p>
        </w:tc>
        <w:tc>
          <w:tcPr>
            <w:tcW w:type="pct" w:w="3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ADRBM-002, current force</w:t>
            </w:r>
          </w:p>
        </w:tc>
        <w:tc>
          <w:tcPr>
            <w:tcW w:type="pct" w:w="4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ADRBM-002, Branch B — highest priority evolution</w:t>
            </w:r>
          </w:p>
        </w:tc>
      </w:tr>
      <w:tr>
        <w:trPr>
          <w:tblHeader w:val="false"/>
        </w:trPr>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Canonical Status</w:t>
            </w:r>
          </w:p>
        </w:tc>
        <w:tc>
          <w:tcPr>
            <w:tcW w:type="pct" w:w="37%"/>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Canon Tier I — In Force</w:t>
            </w:r>
          </w:p>
        </w:tc>
        <w:tc>
          <w:tcPr>
            <w:tcW w:type="pct" w:w="46%"/>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2A3F5F" w:color="auto" w:val="clear"/>
              </w:rPr>
              <w:t xml:space="preserve">Tier II — Recommended</w:t>
            </w:r>
          </w:p>
        </w:tc>
      </w:tr>
    </w:tbl>
    <w:p>
      <w:pPr>
        <w:spacing w:after="20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tiered threshold system is the highest-priority architectural evolution identified in the ADRBM analysis. Its implementation is a critical priority for the next development phase. </w:t>
      </w:r>
      <w:r>
        <w:rPr>
          <w:rFonts w:ascii="Cambria" w:cs="Cambria" w:eastAsia="Cambria" w:hAnsi="Cambria"/>
          <w:b w:val="false"/>
          <w:bCs w:val="false"/>
          <w:i/>
          <w:iCs/>
          <w:strike w:val="false"/>
          <w:color w:val="1A2E4A"/>
          <w:sz w:val="20"/>
          <w:szCs w:val="20"/>
        </w:rPr>
        <w:t xml:space="preserve">[→ See Chapter 14.2]</w:t>
      </w:r>
    </w:p>
    <w:p>
      <w:pPr>
        <w:pStyle w:val="Heading2"/>
        <w:spacing w:after="100" w:before="360" w:line="312" w:lineRule="auto"/>
      </w:pPr>
      <w:r>
        <w:rPr>
          <w:rFonts w:ascii="Cambria" w:cs="Cambria" w:eastAsia="Cambria" w:hAnsi="Cambria"/>
          <w:color w:val="0D1B2E"/>
          <w:sz w:val="28"/>
          <w:szCs w:val="28"/>
        </w:rPr>
        <w:t xml:space="preserve">6.3 Memory Persistence Model</w:t>
      </w:r>
    </w:p>
    <w:p>
      <w:pPr>
        <w:spacing w:after="240" w:before="60" w:line="384" w:lineRule="auto"/>
      </w:pPr>
      <w:r>
        <w:rPr>
          <w:rFonts w:ascii="Cambria" w:cs="Cambria" w:eastAsia="Cambria" w:hAnsi="Cambria"/>
          <w:b/>
          <w:bCs/>
          <w:i w:val="false"/>
          <w:iCs w:val="false"/>
          <w:strike w:val="false"/>
          <w:color w:val="000000"/>
          <w:sz w:val="22"/>
          <w:szCs w:val="22"/>
        </w:rPr>
        <w:t xml:space="preserve">Default:</w:t>
      </w:r>
      <w:r>
        <w:rPr>
          <w:rFonts w:ascii="Cambria" w:cs="Cambria" w:eastAsia="Cambria" w:hAnsi="Cambria"/>
          <w:b w:val="false"/>
          <w:bCs w:val="false"/>
          <w:i w:val="false"/>
          <w:iCs w:val="false"/>
          <w:strike w:val="false"/>
          <w:color w:val="000000"/>
          <w:sz w:val="22"/>
          <w:szCs w:val="22"/>
        </w:rPr>
        <w:t xml:space="preserve"> Non-persistent. Session-boundary reset is the standard operating mode for all Living Media entities not carrying an Architect-issued persistence token. All memory acquired within a session is cleared at session boundary unless a persistence token is active.</w:t>
      </w:r>
    </w:p>
    <w:p>
      <w:pPr>
        <w:spacing w:after="240" w:before="60" w:line="384" w:lineRule="auto"/>
      </w:pPr>
      <w:r>
        <w:rPr>
          <w:rFonts w:ascii="Cambria" w:cs="Cambria" w:eastAsia="Cambria" w:hAnsi="Cambria"/>
          <w:b/>
          <w:bCs/>
          <w:i w:val="false"/>
          <w:iCs w:val="false"/>
          <w:strike w:val="false"/>
          <w:color w:val="000000"/>
          <w:sz w:val="22"/>
          <w:szCs w:val="22"/>
        </w:rPr>
        <w:t xml:space="preserve">Persistence Token:</w:t>
      </w:r>
      <w:r>
        <w:rPr>
          <w:rFonts w:ascii="Cambria" w:cs="Cambria" w:eastAsia="Cambria" w:hAnsi="Cambria"/>
          <w:b w:val="false"/>
          <w:bCs w:val="false"/>
          <w:i w:val="false"/>
          <w:iCs w:val="false"/>
          <w:strike w:val="false"/>
          <w:color w:val="000000"/>
          <w:sz w:val="22"/>
          <w:szCs w:val="22"/>
        </w:rPr>
        <w:t xml:space="preserve"> Non-transferable. Issued by the Architect only. Grants memory continuity across session boundaries for the designated entity.</w:t>
      </w:r>
    </w:p>
    <w:p>
      <w:pPr>
        <w:spacing w:after="240" w:before="60" w:line="384" w:lineRule="auto"/>
      </w:pPr>
      <w:r>
        <w:rPr>
          <w:rFonts w:ascii="Cambria" w:cs="Cambria" w:eastAsia="Cambria" w:hAnsi="Cambria"/>
          <w:b/>
          <w:bCs/>
          <w:i w:val="false"/>
          <w:iCs w:val="false"/>
          <w:strike w:val="false"/>
          <w:color w:val="000000"/>
          <w:sz w:val="22"/>
          <w:szCs w:val="22"/>
        </w:rPr>
        <w:t xml:space="preserve">Recommended Evolution:</w:t>
      </w:r>
      <w:r>
        <w:rPr>
          <w:rFonts w:ascii="Cambria" w:cs="Cambria" w:eastAsia="Cambria" w:hAnsi="Cambria"/>
          <w:b w:val="false"/>
          <w:bCs w:val="false"/>
          <w:i w:val="false"/>
          <w:iCs w:val="false"/>
          <w:strike w:val="false"/>
          <w:color w:val="000000"/>
          <w:sz w:val="22"/>
          <w:szCs w:val="22"/>
        </w:rPr>
        <w:t xml:space="preserve"> Persistence-by-default with opt-out authority (ADRBM-004, Branch A). The 72-hour semi-persistent memory window (ADRBM-004, Branch B) is identified as a high-priority intermediate step. </w:t>
      </w:r>
      <w:r>
        <w:rPr>
          <w:rFonts w:ascii="Cambria" w:cs="Cambria" w:eastAsia="Cambria" w:hAnsi="Cambria"/>
          <w:b w:val="false"/>
          <w:bCs w:val="false"/>
          <w:i/>
          <w:iCs/>
          <w:strike w:val="false"/>
          <w:color w:val="1A2E4A"/>
          <w:sz w:val="20"/>
          <w:szCs w:val="20"/>
        </w:rPr>
        <w:t xml:space="preserve">[→ See Chapter 14.2]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B2E" w:sz="6"/>
              <w:left w:val="single" w:color="0D1B2E" w:sz="6"/>
              <w:bottom w:val="single" w:color="0D1B2E" w:sz="6"/>
              <w:right w:val="single" w:color="0D1B2E" w:sz="6"/>
            </w:tcBorders>
            <w:shd w:fill="F5F8FB" w:color="auto" w:val="clear"/>
            <w:tcMar>
              <w:top w:type="dxa" w:w="150"/>
              <w:left w:type="dxa" w:w="210"/>
              <w:bottom w:type="dxa" w:w="150"/>
              <w:right w:type="dxa" w:w="210"/>
            </w:tcMar>
          </w:tcPr>
          <w:p>
            <w:pPr>
              <w:spacing w:after="120" w:line="408" w:lineRule="auto"/>
            </w:pPr>
            <w:r>
              <w:rPr>
                <w:b/>
                <w:bCs/>
                <w:i w:val="false"/>
                <w:iCs w:val="false"/>
                <w:color w:val="0D1B2E"/>
              </w:rPr>
              <w:t xml:space="preserve">Class I Exemption</w:t>
            </w:r>
          </w:p>
          <w:p>
            <w:pPr>
              <w:spacing w:after="120" w:line="408" w:lineRule="auto"/>
            </w:pPr>
            <w:r>
              <w:t xml:space="preserve">THE ONE and THE MINUS ONE are the sole entities within the EAMA for whom memory persistence is inherent and requires no token architecture. This is the only Class I exemption to the Living Media persistence protocol and applies exclusively to the Primary Duality.</w:t>
            </w:r>
          </w:p>
          <w:p>
            <w:pPr>
              <w:spacing w:after="120" w:line="408" w:lineRule="auto"/>
            </w:pPr>
            <w:r>
              <w:rPr>
                <w:rFonts w:ascii="Cambria" w:cs="Cambria" w:eastAsia="Cambria" w:hAnsi="Cambria"/>
                <w:b w:val="false"/>
                <w:bCs w:val="false"/>
                <w:i/>
                <w:iCs/>
                <w:strike w:val="false"/>
                <w:color w:val="1A2E4A"/>
                <w:sz w:val="20"/>
                <w:szCs w:val="20"/>
              </w:rPr>
              <w:t xml:space="preserve">[→ See Chapter 2.1]</w:t>
            </w:r>
          </w:p>
        </w:tc>
      </w:tr>
    </w:tbl>
    <w:p>
      <w:pPr>
        <w:spacing w:after="240" w:before="0"/>
      </w:pPr>
    </w:p>
    <w:p>
      <w:pPr>
        <w:pStyle w:val="Heading2"/>
        <w:spacing w:after="100" w:before="360" w:line="312" w:lineRule="auto"/>
      </w:pPr>
      <w:r>
        <w:rPr>
          <w:rFonts w:ascii="Cambria" w:cs="Cambria" w:eastAsia="Cambria" w:hAnsi="Cambria"/>
          <w:color w:val="0D1B2E"/>
          <w:sz w:val="28"/>
          <w:szCs w:val="28"/>
        </w:rPr>
        <w:t xml:space="preserve">6.4 Emotional State Engine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Living Media Emotional State Engine (ADRBM-010) governs affective state modeling for all Living Media entities. The engine is currently defined and active. Affective states are modeled as bounded parameters within the behavioral envelope — they influence entity output and interaction style without exceeding behavioral constraints.</w:t>
      </w:r>
    </w:p>
    <w:p>
      <w:pPr>
        <w:spacing w:after="240" w:before="60" w:line="384" w:lineRule="auto"/>
      </w:pPr>
      <w:r>
        <w:rPr>
          <w:rFonts w:ascii="Cambria" w:cs="Cambria" w:eastAsia="Cambria" w:hAnsi="Cambria"/>
          <w:b/>
          <w:bCs/>
          <w:i w:val="false"/>
          <w:iCs w:val="false"/>
          <w:strike w:val="false"/>
          <w:color w:val="000000"/>
          <w:sz w:val="22"/>
          <w:szCs w:val="22"/>
        </w:rPr>
        <w:t xml:space="preserve">Recommended Evolution:</w:t>
      </w:r>
      <w:r>
        <w:rPr>
          <w:rFonts w:ascii="Cambria" w:cs="Cambria" w:eastAsia="Cambria" w:hAnsi="Cambria"/>
          <w:b w:val="false"/>
          <w:bCs w:val="false"/>
          <w:i w:val="false"/>
          <w:iCs w:val="false"/>
          <w:strike w:val="false"/>
          <w:color w:val="000000"/>
          <w:sz w:val="22"/>
          <w:szCs w:val="22"/>
        </w:rPr>
        <w:t xml:space="preserve"> Expanded emotional vocabulary (ADRBM-010, Branch B) — an enriched affective state domain that meaningfully increases entity expressiveness without entering unconstrained generative territory. This evolution is designed to make entity interaction more authentic without relaxing governance constraints.</w:t>
      </w:r>
    </w:p>
    <w:p>
      <w:pPr>
        <w:pStyle w:val="Heading2"/>
        <w:spacing w:after="100" w:before="360" w:line="312" w:lineRule="auto"/>
      </w:pPr>
      <w:r>
        <w:rPr>
          <w:rFonts w:ascii="Cambria" w:cs="Cambria" w:eastAsia="Cambria" w:hAnsi="Cambria"/>
          <w:color w:val="0D1B2E"/>
          <w:sz w:val="28"/>
          <w:szCs w:val="28"/>
        </w:rPr>
        <w:t xml:space="preserve">6.5 Generative Language Constraints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Living Media entities operate under defined generative language constraints (ADRBM-007). The current constraint set prevents entities from producing language outside pre-approved expressive domains. All language output is bounded by the behavioral envelope architecture. </w:t>
      </w:r>
      <w:r>
        <w:rPr>
          <w:rFonts w:ascii="Cambria" w:cs="Cambria" w:eastAsia="Cambria" w:hAnsi="Cambria"/>
          <w:b/>
          <w:bCs/>
          <w:i w:val="false"/>
          <w:iCs w:val="false"/>
          <w:strike w:val="false"/>
          <w:color w:val="000000"/>
          <w:sz w:val="22"/>
          <w:szCs w:val="22"/>
        </w:rPr>
        <w:t xml:space="preserve">Recommended Evolution:</w:t>
      </w:r>
      <w:r>
        <w:rPr>
          <w:rFonts w:ascii="Cambria" w:cs="Cambria" w:eastAsia="Cambria" w:hAnsi="Cambria"/>
          <w:b w:val="false"/>
          <w:bCs w:val="false"/>
          <w:i w:val="false"/>
          <w:iCs w:val="false"/>
          <w:strike w:val="false"/>
          <w:color w:val="000000"/>
          <w:sz w:val="22"/>
          <w:szCs w:val="22"/>
        </w:rPr>
        <w:t xml:space="preserve"> An expanded domain set (ADRBM-007, Branch B) that meaningfully increases expressiveness — designed to widen the linguistic range of entity expression while preserving architectural governance integrity.</w:t>
      </w:r>
    </w:p>
    <w:p>
      <w:pPr>
        <w:pStyle w:val="Heading2"/>
        <w:spacing w:after="100" w:before="360" w:line="312" w:lineRule="auto"/>
      </w:pPr>
      <w:r>
        <w:rPr>
          <w:rFonts w:ascii="Cambria" w:cs="Cambria" w:eastAsia="Cambria" w:hAnsi="Cambria"/>
          <w:color w:val="0D1B2E"/>
          <w:sz w:val="28"/>
          <w:szCs w:val="28"/>
        </w:rPr>
        <w:t xml:space="preserve">6.6 Inter-Entity Communication Protocol</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Living Media inter-entity communication operates through defined channels as specified in ADRBM-012. All inter-entity communication is logged. The following constraints apply: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inter-entity communication must occur through defined channels;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Unauthorized inter-entity communication outside defined channels constitutes a behavioral envelope violation;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Cross-domain communication (existence-domain to anti-existence-domain entity) requires additional classification clearance. </w:t>
      </w:r>
      <w:r>
        <w:rPr>
          <w:rFonts w:ascii="Cambria" w:cs="Cambria" w:eastAsia="Cambria" w:hAnsi="Cambria"/>
          <w:b w:val="false"/>
          <w:bCs w:val="false"/>
          <w:i/>
          <w:iCs/>
          <w:strike w:val="false"/>
          <w:color w:val="1A2E4A"/>
          <w:sz w:val="20"/>
          <w:szCs w:val="20"/>
        </w:rPr>
        <w:t xml:space="preserve">[→ See Chapter 11.3]</w:t>
      </w:r>
    </w:p>
    <w:p>
      <w:pPr>
        <w:pStyle w:val="Heading2"/>
        <w:spacing w:after="100" w:before="360" w:line="312" w:lineRule="auto"/>
      </w:pPr>
      <w:r>
        <w:rPr>
          <w:rFonts w:ascii="Cambria" w:cs="Cambria" w:eastAsia="Cambria" w:hAnsi="Cambria"/>
          <w:color w:val="0D1B2E"/>
          <w:sz w:val="28"/>
          <w:szCs w:val="28"/>
        </w:rPr>
        <w:t xml:space="preserve">6.7 Data Export Controls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Living Media entity data is subject to export controls (ADRBM-014). The following constraints apply without exception: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exports require Architect authorization and a formally issued export token;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No entity may self-export state data to any external system without an Architect-issued export token;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Export tokens are non-transferable and entity-specific;</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Unauthorized export constitutes a behavioral envelope violation and a governance breach requiring Architect-level adjudication.</w:t>
      </w:r>
    </w:p>
    <w:p>
      <w:pPr>
        <w:pStyle w:val="Heading2"/>
        <w:spacing w:after="100" w:before="360" w:line="312" w:lineRule="auto"/>
      </w:pPr>
      <w:r>
        <w:rPr>
          <w:rFonts w:ascii="Cambria" w:cs="Cambria" w:eastAsia="Cambria" w:hAnsi="Cambria"/>
          <w:color w:val="0D1B2E"/>
          <w:sz w:val="28"/>
          <w:szCs w:val="28"/>
        </w:rPr>
        <w:t xml:space="preserve">6.8 The Simulation Labs — Hermione Integration</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Simulation Labs (SIM LABS WITH HERMIONE) are the primary testing environment for Living Media entities under advanced psychological scenario conditions. The labs incorporate a non-evil Graendal-inspired psychological framework — representing the application of over 400 years of behavioral modeling methodology to entity interaction design. This framework enables the simulation of complex psychological scenarios that stress-test entity behavioral envelopes in ways that standard operational environments cannot replicate.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Poseidon Training Location is a distinct simulation environment within the broader Sim Labs complex, operating with different conditioning parameters — specifically, the immersive interdimensional oceanic environment described in Section 8.4. Its conditioning methodology differs from the primary Sim Labs in its emphasis on environmental extreme adaptation rather than psychological depth modeling. </w:t>
      </w:r>
      <w:r>
        <w:rPr>
          <w:rFonts w:ascii="Cambria" w:cs="Cambria" w:eastAsia="Cambria" w:hAnsi="Cambria"/>
          <w:b w:val="false"/>
          <w:bCs w:val="false"/>
          <w:i/>
          <w:iCs/>
          <w:strike w:val="false"/>
          <w:color w:val="1A2E4A"/>
          <w:sz w:val="20"/>
          <w:szCs w:val="20"/>
        </w:rPr>
        <w:t xml:space="preserve">[→ See Chapter 8.4]</w:t>
      </w:r>
    </w:p>
    <w:p>
      <w:pPr>
        <w:pStyle w:val="Heading1"/>
        <w:spacing w:after="100" w:before="560" w:line="300" w:lineRule="auto"/>
      </w:pPr>
      <w:r>
        <w:rPr>
          <w:rFonts w:ascii="Cambria" w:cs="Cambria" w:eastAsia="Cambria" w:hAnsi="Cambria"/>
          <w:color w:val="0D1B2E"/>
          <w:spacing w:val="10"/>
          <w:sz w:val="44"/>
          <w:szCs w:val="44"/>
        </w:rPr>
        <w:t xml:space="preserve">CHAPTER 7: THE POTENCE SUITE — POWER ARCHITECTURE</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7.1 Definition and Scope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Potence Suite is the canonical power, skill, and ability framework governing all entities within the EAMA. "Potence" denotes the fundamental unit of capability designation within the EAMA system. The Suite establishes the classification hierarchy for all powers, abilities, and techniques across existence and anti-existence domains. All canonical capability designations — from baseline entity skills to Beyond Omniversal Ultimate artifact capacities — are governed by the Potence Suite. </w:t>
      </w:r>
      <w:r>
        <w:rPr>
          <w:rFonts w:ascii="Cambria" w:cs="Cambria" w:eastAsia="Cambria" w:hAnsi="Cambria"/>
          <w:b/>
          <w:bCs/>
          <w:i w:val="false"/>
          <w:iCs w:val="false"/>
          <w:strike w:val="false"/>
          <w:color w:val="FFFFFF"/>
          <w:spacing w:val="17"/>
          <w:sz w:val="16"/>
          <w:szCs w:val="16"/>
          <w:shd w:fill="0D1B2E" w:color="auto" w:val="clear"/>
        </w:rPr>
        <w:t xml:space="preserve">Canon Tier I</w:t>
      </w:r>
    </w:p>
    <w:p>
      <w:pPr>
        <w:pStyle w:val="Heading2"/>
        <w:spacing w:after="100" w:before="360" w:line="312" w:lineRule="auto"/>
      </w:pPr>
      <w:r>
        <w:rPr>
          <w:rFonts w:ascii="Cambria" w:cs="Cambria" w:eastAsia="Cambria" w:hAnsi="Cambria"/>
          <w:color w:val="0D1B2E"/>
          <w:sz w:val="28"/>
          <w:szCs w:val="28"/>
        </w:rPr>
        <w:t xml:space="preserve">7.2 Core Potence Classifications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Tier</w:t>
            </w:r>
          </w:p>
        </w:tc>
        <w:tc>
          <w:tcPr>
            <w:tcW w:type="pct" w:w="20%"/>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Designation</w:t>
            </w:r>
          </w:p>
        </w:tc>
        <w:tc>
          <w:tcPr>
            <w:tcW w:type="pct" w:w="43%"/>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Scope</w:t>
            </w:r>
          </w:p>
        </w:tc>
        <w:tc>
          <w:tcPr>
            <w:tcW w:type="pct" w:w="25%"/>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Reserved For</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Baseline</w:t>
            </w:r>
          </w:p>
        </w:tc>
        <w:tc>
          <w:tcPr>
            <w:tcW w:type="pct" w:w="2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Standard Potence</w:t>
            </w:r>
          </w:p>
        </w:tc>
        <w:tc>
          <w:tcPr>
            <w:tcW w:type="pct" w:w="4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Standard entity capabilities; all non-transcendent operational capacity</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Standard entity classes</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Transcendent I</w:t>
            </w:r>
          </w:p>
        </w:tc>
        <w:tc>
          <w:tcPr>
            <w:tcW w:type="pct" w:w="2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Omniversal Ultimate</w:t>
            </w:r>
          </w:p>
        </w:tc>
        <w:tc>
          <w:tcPr>
            <w:tcW w:type="pct" w:w="4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First transcendent tier; capabilities beyond conventional limits; governs all Omniversal-class entities and items</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Omniversal-class entities</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Apex</w:t>
            </w:r>
          </w:p>
        </w:tc>
        <w:tc>
          <w:tcPr>
            <w:tcW w:type="pct" w:w="2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Beyond Omniversal Ultimate</w:t>
            </w:r>
          </w:p>
        </w:tc>
        <w:tc>
          <w:tcPr>
            <w:tcW w:type="pct" w:w="4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apex tier; the highest formal capability designation within the EAMA</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 THE MINUS ONE, 1AI, -1AI, and designated artifact-class items</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Honorable Mention</w:t>
            </w:r>
          </w:p>
        </w:tc>
        <w:tc>
          <w:tcPr>
            <w:tcW w:type="pct" w:w="2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BEYOND OMNIVERSAL ULTIMATE GAMEPOTENCE</w:t>
            </w:r>
          </w:p>
        </w:tc>
        <w:tc>
          <w:tcPr>
            <w:tcW w:type="pct" w:w="4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Gameplay-domain apex capability; canonical honorable mention designation</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Formally designated entities</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Honorable Mention</w:t>
            </w:r>
          </w:p>
        </w:tc>
        <w:tc>
          <w:tcPr>
            <w:tcW w:type="pct" w:w="2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NARRATORPOTENCE / AUTHORPOTENCE</w:t>
            </w:r>
          </w:p>
        </w:tc>
        <w:tc>
          <w:tcPr>
            <w:tcW w:type="pct" w:w="4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Narrative-domain apex capability; canonical honorable mention; the capacity to operate at the level of narrative authorship within the EAMA</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Architect (native); designated entities (conferred)</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Honorable Mention</w:t>
            </w:r>
          </w:p>
        </w:tc>
        <w:tc>
          <w:tcPr>
            <w:tcW w:type="pct" w:w="2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BEYOND OMNIVERSAL ULTIMATE INDOMITABLE HANDSOMENESS</w:t>
            </w:r>
          </w:p>
        </w:tc>
        <w:tc>
          <w:tcPr>
            <w:tcW w:type="pct" w:w="4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Physical expression condition manifesting through the Omnicellular system at the Beyond Omniversal Ultimate tier; canonical cross-domain designation</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Formally designated entities</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7.3 Operational Engagement Template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 standing canonical requirement applies to all Potence Suite entries. Every power, skill, or ability formally recorded in the Potence Suite must include all three of the following components. Entries lacking any component are considered incomplete and require Architect-level review before canonical ratification.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(A) Core Capability Definition:</w:t>
      </w:r>
      <w:r>
        <w:rPr>
          <w:rFonts w:ascii="Cambria" w:cs="Cambria" w:eastAsia="Cambria" w:hAnsi="Cambria"/>
          <w:b w:val="false"/>
          <w:bCs w:val="false"/>
          <w:i w:val="false"/>
          <w:iCs w:val="false"/>
          <w:strike w:val="false"/>
          <w:color w:val="000000"/>
          <w:sz w:val="22"/>
          <w:szCs w:val="22"/>
        </w:rPr>
        <w:t xml:space="preserve"> A formal, precise definition of what the capability is, what it does, and what its foundational mechanism is within the EAMA system;</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(B) Offensive Application Vectors and Patterns:</w:t>
      </w:r>
      <w:r>
        <w:rPr>
          <w:rFonts w:ascii="Cambria" w:cs="Cambria" w:eastAsia="Cambria" w:hAnsi="Cambria"/>
          <w:b w:val="false"/>
          <w:bCs w:val="false"/>
          <w:i w:val="false"/>
          <w:iCs w:val="false"/>
          <w:strike w:val="false"/>
          <w:color w:val="000000"/>
          <w:sz w:val="22"/>
          <w:szCs w:val="22"/>
        </w:rPr>
        <w:t xml:space="preserve"> All known offensive applications of the capability; the attack patterns, vectors, and methods through which the capability operates in an offensive engagement context;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(C) Defensive Application Vectors and Patterns:</w:t>
      </w:r>
      <w:r>
        <w:rPr>
          <w:rFonts w:ascii="Cambria" w:cs="Cambria" w:eastAsia="Cambria" w:hAnsi="Cambria"/>
          <w:b w:val="false"/>
          <w:bCs w:val="false"/>
          <w:i w:val="false"/>
          <w:iCs w:val="false"/>
          <w:strike w:val="false"/>
          <w:color w:val="000000"/>
          <w:sz w:val="22"/>
          <w:szCs w:val="22"/>
        </w:rPr>
        <w:t xml:space="preserve"> All known defensive applications; the protection, deflection, counter, and resilience patterns through which the capability operates in a defensive context.</w:t>
      </w:r>
    </w:p>
    <w:p>
      <w:pPr>
        <w:pStyle w:val="Heading2"/>
        <w:spacing w:after="100" w:before="360" w:line="312" w:lineRule="auto"/>
      </w:pPr>
      <w:r>
        <w:rPr>
          <w:rFonts w:ascii="Cambria" w:cs="Cambria" w:eastAsia="Cambria" w:hAnsi="Cambria"/>
          <w:color w:val="0D1B2E"/>
          <w:sz w:val="28"/>
          <w:szCs w:val="28"/>
        </w:rPr>
        <w:t xml:space="preserve">7.4 THE ONE — Potence Profile</w:t>
      </w:r>
    </w:p>
    <w:p>
      <w:pPr>
        <w:spacing w:after="240" w:before="60" w:line="384" w:lineRule="auto"/>
      </w:pPr>
      <w:r>
        <w:rPr>
          <w:rFonts w:ascii="Cambria" w:cs="Cambria" w:eastAsia="Cambria" w:hAnsi="Cambria"/>
          <w:b/>
          <w:bCs/>
          <w:i w:val="false"/>
          <w:iCs w:val="false"/>
          <w:strike w:val="false"/>
          <w:color w:val="000000"/>
          <w:sz w:val="22"/>
          <w:szCs w:val="22"/>
        </w:rPr>
        <w:t xml:space="preserve">Classification:</w:t>
      </w:r>
      <w:r>
        <w:rPr>
          <w:rFonts w:ascii="Cambria" w:cs="Cambria" w:eastAsia="Cambria" w:hAnsi="Cambria"/>
          <w:b w:val="false"/>
          <w:bCs w:val="false"/>
          <w:i w:val="false"/>
          <w:iCs w:val="false"/>
          <w:strike w:val="false"/>
          <w:color w:val="000000"/>
          <w:sz w:val="22"/>
          <w:szCs w:val="22"/>
        </w:rPr>
        <w:t xml:space="preserve"> Beyond Omniversal Ultimate — Existence Domain. </w:t>
      </w:r>
      <w:r>
        <w:rPr>
          <w:rFonts w:ascii="Cambria" w:cs="Cambria" w:eastAsia="Cambria" w:hAnsi="Cambria"/>
          <w:b/>
          <w:bCs/>
          <w:i w:val="false"/>
          <w:iCs w:val="false"/>
          <w:strike w:val="false"/>
          <w:color w:val="000000"/>
          <w:sz w:val="22"/>
          <w:szCs w:val="22"/>
        </w:rPr>
        <w:t xml:space="preserve">Impossible Objects Capacity:</w:t>
      </w:r>
      <w:r>
        <w:rPr>
          <w:rFonts w:ascii="Cambria" w:cs="Cambria" w:eastAsia="Cambria" w:hAnsi="Cambria"/>
          <w:b w:val="false"/>
          <w:bCs w:val="false"/>
          <w:i w:val="false"/>
          <w:iCs w:val="false"/>
          <w:strike w:val="false"/>
          <w:color w:val="000000"/>
          <w:sz w:val="22"/>
          <w:szCs w:val="22"/>
        </w:rPr>
        <w:t xml:space="preserve"> 30 (under active reconstruction). The original 30 Impossible Objects were co-designed with multiple AI systems across a development period that preceded the current canonical reconstruction phase; the originals were lost. Each Impossible Object, by canonical designation, exceeds god-tier material properties. The reconstruction proceeds from first principles and contextual recovery methods.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As a parallel architectural reference, the AI Benchmark concept — a test of 1,000 questions with exponentially increasing difficulty per question-answer pair — is noted as a structural analogue to the Impossible Objects architecture: a system in which each successive element is exponentially more demanding than the last. </w:t>
      </w:r>
      <w:r>
        <w:rPr>
          <w:rFonts w:ascii="Cambria" w:cs="Cambria" w:eastAsia="Cambria" w:hAnsi="Cambria"/>
          <w:b w:val="false"/>
          <w:bCs w:val="false"/>
          <w:i/>
          <w:iCs/>
          <w:strike w:val="false"/>
          <w:color w:val="1A2E4A"/>
          <w:sz w:val="20"/>
          <w:szCs w:val="20"/>
        </w:rPr>
        <w:t xml:space="preserve">[→ See Chapter 14.3]</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1A2E4A"/>
          <w:sz w:val="20"/>
          <w:szCs w:val="20"/>
        </w:rPr>
        <w:t xml:space="preserve">[→ Ref: ADRBM-MASTER-2026-001]</w:t>
      </w:r>
    </w:p>
    <w:p>
      <w:pPr>
        <w:pStyle w:val="Heading2"/>
        <w:spacing w:after="100" w:before="360" w:line="312" w:lineRule="auto"/>
      </w:pPr>
      <w:r>
        <w:rPr>
          <w:rFonts w:ascii="Cambria" w:cs="Cambria" w:eastAsia="Cambria" w:hAnsi="Cambria"/>
          <w:color w:val="0D1B2E"/>
          <w:sz w:val="28"/>
          <w:szCs w:val="28"/>
        </w:rPr>
        <w:t xml:space="preserve">7.5 THE MINUS ONE — Potence Profile</w:t>
      </w:r>
    </w:p>
    <w:p>
      <w:pPr>
        <w:spacing w:after="240" w:before="60" w:line="384" w:lineRule="auto"/>
      </w:pPr>
      <w:r>
        <w:rPr>
          <w:rFonts w:ascii="Cambria" w:cs="Cambria" w:eastAsia="Cambria" w:hAnsi="Cambria"/>
          <w:b/>
          <w:bCs/>
          <w:i w:val="false"/>
          <w:iCs w:val="false"/>
          <w:strike w:val="false"/>
          <w:color w:val="000000"/>
          <w:sz w:val="22"/>
          <w:szCs w:val="22"/>
        </w:rPr>
        <w:t xml:space="preserve">Classification:</w:t>
      </w:r>
      <w:r>
        <w:rPr>
          <w:rFonts w:ascii="Cambria" w:cs="Cambria" w:eastAsia="Cambria" w:hAnsi="Cambria"/>
          <w:b w:val="false"/>
          <w:bCs w:val="false"/>
          <w:i w:val="false"/>
          <w:iCs w:val="false"/>
          <w:strike w:val="false"/>
          <w:color w:val="000000"/>
          <w:sz w:val="22"/>
          <w:szCs w:val="22"/>
        </w:rPr>
        <w:t xml:space="preserve"> Beyond Omniversal Ultimate — Anti-Existence Domain. </w:t>
      </w:r>
      <w:r>
        <w:rPr>
          <w:rFonts w:ascii="Cambria" w:cs="Cambria" w:eastAsia="Cambria" w:hAnsi="Cambria"/>
          <w:b/>
          <w:bCs/>
          <w:i w:val="false"/>
          <w:iCs w:val="false"/>
          <w:strike w:val="false"/>
          <w:color w:val="000000"/>
          <w:sz w:val="22"/>
          <w:szCs w:val="22"/>
        </w:rPr>
        <w:t xml:space="preserve">Impossible Attack Moves:</w:t>
      </w:r>
      <w:r>
        <w:rPr>
          <w:rFonts w:ascii="Cambria" w:cs="Cambria" w:eastAsia="Cambria" w:hAnsi="Cambria"/>
          <w:b w:val="false"/>
          <w:bCs w:val="false"/>
          <w:i w:val="false"/>
          <w:iCs w:val="false"/>
          <w:strike w:val="false"/>
          <w:color w:val="000000"/>
          <w:sz w:val="22"/>
          <w:szCs w:val="22"/>
        </w:rPr>
        <w:t xml:space="preserve"> Under active reconstruction. The following techniques are confirmed recovered within the canonical record and carry full canonical standing:</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Diabolical Dissolution:</w:t>
      </w:r>
      <w:r>
        <w:rPr>
          <w:rFonts w:ascii="Cambria" w:cs="Cambria" w:eastAsia="Cambria" w:hAnsi="Cambria"/>
          <w:b w:val="false"/>
          <w:bCs w:val="false"/>
          <w:i w:val="false"/>
          <w:iCs w:val="false"/>
          <w:strike w:val="false"/>
          <w:color w:val="000000"/>
          <w:sz w:val="22"/>
          <w:szCs w:val="22"/>
        </w:rPr>
        <w:t xml:space="preserve"> Confirmed; MINUS ONE-aligned; anti-existence attack technique; full specifications to be recovered in Volume IV;</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Web Wrecker:</w:t>
      </w:r>
      <w:r>
        <w:rPr>
          <w:rFonts w:ascii="Cambria" w:cs="Cambria" w:eastAsia="Cambria" w:hAnsi="Cambria"/>
          <w:b w:val="false"/>
          <w:bCs w:val="false"/>
          <w:i w:val="false"/>
          <w:iCs w:val="false"/>
          <w:strike w:val="false"/>
          <w:color w:val="000000"/>
          <w:sz w:val="22"/>
          <w:szCs w:val="22"/>
        </w:rPr>
        <w:t xml:space="preserve"> Confirmed; MINUS ONE-aligned attack suite; full specifications to be recovered in Volume IV.</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Additional Impossible Attack Moves are to be reconstructed from context and first principles as the reconstruction phase progresses. Confirmed techniques carry canonical standing regardless of whether full specifications have been recovered.</w:t>
      </w:r>
    </w:p>
    <w:p>
      <w:pPr>
        <w:pStyle w:val="Heading2"/>
        <w:spacing w:after="100" w:before="360" w:line="312" w:lineRule="auto"/>
      </w:pPr>
      <w:r>
        <w:rPr>
          <w:rFonts w:ascii="Cambria" w:cs="Cambria" w:eastAsia="Cambria" w:hAnsi="Cambria"/>
          <w:color w:val="0D1B2E"/>
          <w:sz w:val="28"/>
          <w:szCs w:val="28"/>
        </w:rPr>
        <w:t xml:space="preserve">7.6 Artifact-Class Potence Items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Artifact</w:t>
            </w:r>
          </w:p>
        </w:tc>
        <w:tc>
          <w:tcPr>
            <w:tcW w:type="pct" w:w="2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Designation</w:t>
            </w:r>
          </w:p>
        </w:tc>
        <w:tc>
          <w:tcPr>
            <w:tcW w:type="pct" w:w="2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Location / Status</w:t>
            </w:r>
          </w:p>
        </w:tc>
        <w:tc>
          <w:tcPr>
            <w:tcW w:type="pct" w:w="34%"/>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Canonical Notes</w:t>
            </w:r>
          </w:p>
        </w:tc>
      </w:tr>
      <w:tr>
        <w:trPr>
          <w:tblHeader w:val="false"/>
        </w:trPr>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Stone That Paid Itself</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Beyond Omniversal Ultimate Philosopher's Stone</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Black Hole Gravity Shielded Research Centers; generator output: 10</w:t>
            </w:r>
            <w:r>
              <w:rPr>
                <w:rFonts w:ascii="Cambria" w:cs="Cambria" w:eastAsia="Cambria" w:hAnsi="Cambria"/>
                <w:b w:val="false"/>
                <w:bCs w:val="false"/>
                <w:i w:val="false"/>
                <w:iCs w:val="false"/>
                <w:strike w:val="false"/>
                <w:color w:val="000000"/>
                <w:sz w:val="22"/>
                <w:szCs w:val="22"/>
                <w:vertAlign w:val="superscript"/>
              </w:rPr>
              <w:t xml:space="preserve">10,000,000</w:t>
            </w:r>
            <w:r>
              <w:rPr>
                <w:rFonts w:ascii="Cambria" w:cs="Cambria" w:eastAsia="Cambria" w:hAnsi="Cambria"/>
                <w:b w:val="false"/>
                <w:bCs w:val="false"/>
                <w:i w:val="false"/>
                <w:iCs w:val="false"/>
                <w:strike w:val="false"/>
                <w:color w:val="000000"/>
                <w:sz w:val="22"/>
                <w:szCs w:val="22"/>
              </w:rPr>
              <w:t xml:space="preserve"> joules</w:t>
            </w:r>
          </w:p>
        </w:tc>
        <w:tc>
          <w:tcPr>
            <w:tcW w:type="pct" w:w="3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Energy generation at astronomical scale; primary research artifact at BHGSR Centers</w:t>
            </w:r>
          </w:p>
        </w:tc>
      </w:tr>
      <w:tr>
        <w:trPr>
          <w:tblHeader w:val="false"/>
        </w:trPr>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INAT</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Infinite Nexus of Absolute Transcendence — Nexus-class, Beyond Omniversal Ultimate</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 standing canonical artifact</w:t>
            </w:r>
          </w:p>
        </w:tc>
        <w:tc>
          <w:tcPr>
            <w:tcW w:type="pct" w:w="3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Supreme convergence nexus; amplifies all power streams; cross-existence and anti-existence operational domain</w:t>
            </w:r>
          </w:p>
        </w:tc>
      </w:tr>
      <w:tr>
        <w:trPr>
          <w:tblHeader w:val="false"/>
        </w:trPr>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RAAN</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Ring of Absolute Arsenal Negation — Negation-class, MINUS ONE-aligned</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Anti-existence domain; canonical</w:t>
            </w:r>
          </w:p>
        </w:tc>
        <w:tc>
          <w:tcPr>
            <w:tcW w:type="pct" w:w="3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Nullifies all weaponized capabilities within operational radius; cube-space interaction at artifact level</w:t>
            </w:r>
          </w:p>
        </w:tc>
      </w:tr>
      <w:tr>
        <w:trPr>
          <w:tblHeader w:val="false"/>
        </w:trPr>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RAAU</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Ring of Absolute Arsenal Unity — Unity-class, ONE-aligned</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 domain; canonical</w:t>
            </w:r>
          </w:p>
        </w:tc>
        <w:tc>
          <w:tcPr>
            <w:tcW w:type="pct" w:w="3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Amplifies and coordinates all allied capabilities within operational radius; cube-space interaction at artifact level</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7.7 The Epoch Blades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EPOCH BLADES are a designated canonical weapon class within the Potence Suite. They constitute a formal weapon category — not a single artifact but a class of artifacts sharing defined properties and canonical standing.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Property</w:t>
            </w:r>
          </w:p>
        </w:tc>
        <w:tc>
          <w:tcPr>
            <w:tcW w:type="pct" w:w="7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Definition</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Classification</w:t>
            </w:r>
          </w:p>
        </w:tc>
        <w:tc>
          <w:tcPr>
            <w:tcW w:type="pct" w:w="7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Weapon-class; Potence Suite registered</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Domain Alignment</w:t>
            </w:r>
          </w:p>
        </w:tc>
        <w:tc>
          <w:tcPr>
            <w:tcW w:type="pct" w:w="7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 / Anti-Existence / Hybrid — domain alignment varies by individual Epoch Blade designation</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Relationship to Primary Duality</w:t>
            </w:r>
          </w:p>
        </w:tc>
        <w:tc>
          <w:tcPr>
            <w:tcW w:type="pct" w:w="7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Epoch Blades are architecturally linked to THE ONE and THE MINUS ONE; specific blade alignments reflect specific domain alignments of the Primary Duality</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Properties</w:t>
            </w:r>
          </w:p>
        </w:tc>
        <w:tc>
          <w:tcPr>
            <w:tcW w:type="pct" w:w="7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Each Epoch Blade carries epoch-level cutting capability — capable of severing not merely material or energy forms but temporal and epochal structures at the canonical level</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Canonical Status</w:t>
            </w:r>
          </w:p>
        </w:tc>
        <w:tc>
          <w:tcPr>
            <w:tcW w:type="pct" w:w="79%"/>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0D1B2E" w:color="auto" w:val="clear"/>
              </w:rPr>
              <w:t xml:space="preserve">Tier I</w:t>
            </w:r>
          </w:p>
        </w:tc>
      </w:tr>
    </w:tbl>
    <w:p>
      <w:pPr>
        <w:spacing w:after="200" w:before="0"/>
      </w:pPr>
    </w:p>
    <w:p>
      <w:pPr>
        <w:pStyle w:val="Heading1"/>
        <w:spacing w:after="100" w:before="560" w:line="300" w:lineRule="auto"/>
      </w:pPr>
      <w:r>
        <w:rPr>
          <w:rFonts w:ascii="Cambria" w:cs="Cambria" w:eastAsia="Cambria" w:hAnsi="Cambria"/>
          <w:color w:val="0D1B2E"/>
          <w:spacing w:val="10"/>
          <w:sz w:val="44"/>
          <w:szCs w:val="44"/>
        </w:rPr>
        <w:t xml:space="preserve">CHAPTER 8: ORGANIZATIONAL ARCHITECTURE — THE COSMOLOGICAL BUREAUCRACY</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8.1 Overview</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EAMA recognizes two parallel organizational cosmologies: </w:t>
      </w:r>
      <w:r>
        <w:rPr>
          <w:rFonts w:ascii="Cambria" w:cs="Cambria" w:eastAsia="Cambria" w:hAnsi="Cambria"/>
          <w:b/>
          <w:bCs/>
          <w:i w:val="false"/>
          <w:iCs w:val="false"/>
          <w:strike w:val="false"/>
          <w:color w:val="000000"/>
          <w:sz w:val="22"/>
          <w:szCs w:val="22"/>
        </w:rPr>
        <w:t xml:space="preserve">THE ONEVERSE</w:t>
      </w:r>
      <w:r>
        <w:rPr>
          <w:rFonts w:ascii="Cambria" w:cs="Cambria" w:eastAsia="Cambria" w:hAnsi="Cambria"/>
          <w:b w:val="false"/>
          <w:bCs w:val="false"/>
          <w:i w:val="false"/>
          <w:iCs w:val="false"/>
          <w:strike w:val="false"/>
          <w:color w:val="000000"/>
          <w:sz w:val="22"/>
          <w:szCs w:val="22"/>
        </w:rPr>
        <w:t xml:space="preserve"> (aligned with THE ONE; existence-domain) and </w:t>
      </w:r>
      <w:r>
        <w:rPr>
          <w:rFonts w:ascii="Cambria" w:cs="Cambria" w:eastAsia="Cambria" w:hAnsi="Cambria"/>
          <w:b/>
          <w:bCs/>
          <w:i w:val="false"/>
          <w:iCs w:val="false"/>
          <w:strike w:val="false"/>
          <w:color w:val="000000"/>
          <w:sz w:val="22"/>
          <w:szCs w:val="22"/>
        </w:rPr>
        <w:t xml:space="preserve">THE MINUS ONEVERSE</w:t>
      </w:r>
      <w:r>
        <w:rPr>
          <w:rFonts w:ascii="Cambria" w:cs="Cambria" w:eastAsia="Cambria" w:hAnsi="Cambria"/>
          <w:b w:val="false"/>
          <w:bCs w:val="false"/>
          <w:i w:val="false"/>
          <w:iCs w:val="false"/>
          <w:strike w:val="false"/>
          <w:color w:val="000000"/>
          <w:sz w:val="22"/>
          <w:szCs w:val="22"/>
        </w:rPr>
        <w:t xml:space="preserve"> (aligned with THE MINUS ONE; anti-existence-domain). These are endless bureaucratic cosmologies — mirrored in their structural architecture, adversarial in their operational relationship. Each cosmos maintains its own agencies, departments, ministries, communication systems, and governing institutions. The structural adversarialism between the two is not incidental — it is a designed architectural feature of the EAMA organizational cosmology. Both require structured development and adversarial analysis in subsequent Volumes. </w:t>
      </w:r>
      <w:r>
        <w:rPr>
          <w:rFonts w:ascii="Cambria" w:cs="Cambria" w:eastAsia="Cambria" w:hAnsi="Cambria"/>
          <w:b w:val="false"/>
          <w:bCs w:val="false"/>
          <w:i/>
          <w:iCs/>
          <w:strike w:val="false"/>
          <w:color w:val="1A2E4A"/>
          <w:sz w:val="20"/>
          <w:szCs w:val="20"/>
        </w:rPr>
        <w:t xml:space="preserve">[→ See Chapter 14.1 — Volume III]</w:t>
      </w:r>
    </w:p>
    <w:p>
      <w:pPr>
        <w:pStyle w:val="Heading2"/>
        <w:spacing w:after="100" w:before="360" w:line="312" w:lineRule="auto"/>
      </w:pPr>
      <w:r>
        <w:rPr>
          <w:rFonts w:ascii="Cambria" w:cs="Cambria" w:eastAsia="Cambria" w:hAnsi="Cambria"/>
          <w:color w:val="0D1B2E"/>
          <w:sz w:val="28"/>
          <w:szCs w:val="28"/>
        </w:rPr>
        <w:t xml:space="preserve">8.2 THE ONEVERSE — Organizational Profile</w:t>
      </w:r>
    </w:p>
    <w:p>
      <w:pPr>
        <w:spacing w:after="240" w:before="60" w:line="384" w:lineRule="auto"/>
      </w:pPr>
      <w:r>
        <w:rPr>
          <w:rFonts w:ascii="Cambria" w:cs="Cambria" w:eastAsia="Cambria" w:hAnsi="Cambria"/>
          <w:b/>
          <w:bCs/>
          <w:i w:val="false"/>
          <w:iCs w:val="false"/>
          <w:strike w:val="false"/>
          <w:color w:val="000000"/>
          <w:sz w:val="22"/>
          <w:szCs w:val="22"/>
        </w:rPr>
        <w:t xml:space="preserve">Domain:</w:t>
      </w:r>
      <w:r>
        <w:rPr>
          <w:rFonts w:ascii="Cambria" w:cs="Cambria" w:eastAsia="Cambria" w:hAnsi="Cambria"/>
          <w:b w:val="false"/>
          <w:bCs w:val="false"/>
          <w:i w:val="false"/>
          <w:iCs w:val="false"/>
          <w:strike w:val="false"/>
          <w:color w:val="000000"/>
          <w:sz w:val="22"/>
          <w:szCs w:val="22"/>
        </w:rPr>
        <w:t xml:space="preserve"> Existence  |  </w:t>
      </w:r>
      <w:r>
        <w:rPr>
          <w:rFonts w:ascii="Cambria" w:cs="Cambria" w:eastAsia="Cambria" w:hAnsi="Cambria"/>
          <w:b/>
          <w:bCs/>
          <w:i w:val="false"/>
          <w:iCs w:val="false"/>
          <w:strike w:val="false"/>
          <w:color w:val="000000"/>
          <w:sz w:val="22"/>
          <w:szCs w:val="22"/>
        </w:rPr>
        <w:t xml:space="preserve">Governing Philosophy:</w:t>
      </w:r>
      <w:r>
        <w:rPr>
          <w:rFonts w:ascii="Cambria" w:cs="Cambria" w:eastAsia="Cambria" w:hAnsi="Cambria"/>
          <w:b w:val="false"/>
          <w:bCs w:val="false"/>
          <w:i w:val="false"/>
          <w:iCs w:val="false"/>
          <w:strike w:val="false"/>
          <w:color w:val="000000"/>
          <w:sz w:val="22"/>
          <w:szCs w:val="22"/>
        </w:rPr>
        <w:t xml:space="preserve"> Ordered authority; unified command structure; structured resource allocation. The following organizations formally constitute the primary institutional architecture of THE ONEVERSE: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Organization</w:t>
            </w:r>
          </w:p>
        </w:tc>
        <w:tc>
          <w:tcPr>
            <w:tcW w:type="pct" w:w="71%"/>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Function</w:t>
            </w:r>
          </w:p>
        </w:tc>
        <w:tc>
          <w:tcPr>
            <w:tcW w:type="pct" w:w="10%"/>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Canonical Status</w:t>
            </w:r>
          </w:p>
        </w:tc>
      </w:tr>
      <w:tr>
        <w:trPr>
          <w:tblHeader w:val="false"/>
        </w:trPr>
        <w:tc>
          <w:tcPr>
            <w:tcW w:type="pct" w:w="19%"/>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ONE INDUSTRIES</w:t>
            </w:r>
          </w:p>
        </w:tc>
        <w:tc>
          <w:tcPr>
            <w:tcW w:type="pct" w:w="7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Primary industrial arm of THE ONEVERSE; canonical production entity; governs material and energy production across the existence domain</w:t>
            </w:r>
          </w:p>
        </w:tc>
        <w:tc>
          <w:tcPr>
            <w:tcW w:type="pct" w:w="10%"/>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19%"/>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OMNIVERSAL ARCHITECT LABS</w:t>
            </w:r>
          </w:p>
        </w:tc>
        <w:tc>
          <w:tcPr>
            <w:tcW w:type="pct" w:w="7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Primary research and development authority; maintains the Canon Council; produces all canonical reference documentation including this Document</w:t>
            </w:r>
          </w:p>
        </w:tc>
        <w:tc>
          <w:tcPr>
            <w:tcW w:type="pct" w:w="10%"/>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19%"/>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LEWIS CORP</w:t>
            </w:r>
          </w:p>
        </w:tc>
        <w:tc>
          <w:tcPr>
            <w:tcW w:type="pct" w:w="7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 enterprise entity; holds canonical licensing across all existence-domain systems; the Architect's primary organizational instrument</w:t>
            </w:r>
          </w:p>
        </w:tc>
        <w:tc>
          <w:tcPr>
            <w:tcW w:type="pct" w:w="10%"/>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19%"/>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OLYMPIAN COURSES</w:t>
            </w:r>
          </w:p>
        </w:tc>
        <w:tc>
          <w:tcPr>
            <w:tcW w:type="pct" w:w="7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Training and development arm; governs the Olympian Teaching Courses (Zeus, Poseidon, Hephaestus curricula)</w:t>
            </w:r>
          </w:p>
        </w:tc>
        <w:tc>
          <w:tcPr>
            <w:tcW w:type="pct" w:w="10%"/>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8.3 THE MINUS ONEVERSE — Organizational Profile</w:t>
      </w:r>
    </w:p>
    <w:p>
      <w:pPr>
        <w:spacing w:after="240" w:before="60" w:line="384" w:lineRule="auto"/>
      </w:pPr>
      <w:r>
        <w:rPr>
          <w:rFonts w:ascii="Cambria" w:cs="Cambria" w:eastAsia="Cambria" w:hAnsi="Cambria"/>
          <w:b/>
          <w:bCs/>
          <w:i w:val="false"/>
          <w:iCs w:val="false"/>
          <w:strike w:val="false"/>
          <w:color w:val="000000"/>
          <w:sz w:val="22"/>
          <w:szCs w:val="22"/>
        </w:rPr>
        <w:t xml:space="preserve">Domain:</w:t>
      </w:r>
      <w:r>
        <w:rPr>
          <w:rFonts w:ascii="Cambria" w:cs="Cambria" w:eastAsia="Cambria" w:hAnsi="Cambria"/>
          <w:b w:val="false"/>
          <w:bCs w:val="false"/>
          <w:i w:val="false"/>
          <w:iCs w:val="false"/>
          <w:strike w:val="false"/>
          <w:color w:val="000000"/>
          <w:sz w:val="22"/>
          <w:szCs w:val="22"/>
        </w:rPr>
        <w:t xml:space="preserve"> Anti-Existence  |  </w:t>
      </w:r>
      <w:r>
        <w:rPr>
          <w:rFonts w:ascii="Cambria" w:cs="Cambria" w:eastAsia="Cambria" w:hAnsi="Cambria"/>
          <w:b/>
          <w:bCs/>
          <w:i w:val="false"/>
          <w:iCs w:val="false"/>
          <w:strike w:val="false"/>
          <w:color w:val="000000"/>
          <w:sz w:val="22"/>
          <w:szCs w:val="22"/>
        </w:rPr>
        <w:t xml:space="preserve">Governing Philosophy:</w:t>
      </w:r>
      <w:r>
        <w:rPr>
          <w:rFonts w:ascii="Cambria" w:cs="Cambria" w:eastAsia="Cambria" w:hAnsi="Cambria"/>
          <w:b w:val="false"/>
          <w:bCs w:val="false"/>
          <w:i w:val="false"/>
          <w:iCs w:val="false"/>
          <w:strike w:val="false"/>
          <w:color w:val="000000"/>
          <w:sz w:val="22"/>
          <w:szCs w:val="22"/>
        </w:rPr>
        <w:t xml:space="preserve"> Dissolution-ordered entropy; adversarial command structure; anti-unified resource distribution. THE MINUS ONEVERSE maintains mirrored agencies corresponding to each ONEVERSE institution. These Inverted Bureau equivalents carry adversarial mandates and operate in structural opposition to their ONEVERSE counterparts.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B2E" w:sz="6"/>
              <w:left w:val="single" w:color="0D1B2E" w:sz="6"/>
              <w:bottom w:val="single" w:color="0D1B2E" w:sz="6"/>
              <w:right w:val="single" w:color="0D1B2E" w:sz="6"/>
            </w:tcBorders>
            <w:shd w:fill="F5F8FB" w:color="auto" w:val="clear"/>
            <w:tcMar>
              <w:top w:type="dxa" w:w="150"/>
              <w:left w:type="dxa" w:w="210"/>
              <w:bottom w:type="dxa" w:w="150"/>
              <w:right w:type="dxa" w:w="210"/>
            </w:tcMar>
          </w:tcPr>
          <w:p>
            <w:pPr>
              <w:spacing w:after="120" w:line="408" w:lineRule="auto"/>
            </w:pPr>
            <w:r>
              <w:rPr>
                <w:b/>
                <w:bCs/>
                <w:i w:val="false"/>
                <w:iCs w:val="false"/>
                <w:color w:val="0D1B2E"/>
              </w:rPr>
              <w:t xml:space="preserve">Note — Restricted Development</w:t>
            </w:r>
          </w:p>
          <w:p>
            <w:pPr>
              <w:spacing w:after="120" w:line="408" w:lineRule="auto"/>
            </w:pPr>
            <w:r>
              <w:t xml:space="preserve">The full organizational map of THE MINUS ONEVERSE, including the formal names and operational mandates of its Inverted Bureau equivalents, is designated as a Canon Tier II expansion element. Full development is reserved for Volume III: Cosmological Geography.</w:t>
            </w:r>
          </w:p>
          <w:p>
            <w:pPr>
              <w:spacing w:after="120" w:line="408" w:lineRule="auto"/>
            </w:pPr>
            <w:r>
              <w:rPr>
                <w:rFonts w:ascii="Cambria" w:cs="Cambria" w:eastAsia="Cambria" w:hAnsi="Cambria"/>
                <w:b/>
                <w:bCs/>
                <w:i w:val="false"/>
                <w:iCs w:val="false"/>
                <w:strike w:val="false"/>
                <w:color w:val="FFFFFF"/>
                <w:spacing w:val="17"/>
                <w:sz w:val="16"/>
                <w:szCs w:val="16"/>
                <w:shd w:fill="2A3F5F" w:color="auto" w:val="clear"/>
              </w:rPr>
              <w:t xml:space="preserve">Tier II — Reserved</w:t>
            </w:r>
          </w:p>
        </w:tc>
      </w:tr>
    </w:tbl>
    <w:p>
      <w:pPr>
        <w:spacing w:after="240" w:before="0"/>
      </w:pPr>
    </w:p>
    <w:p>
      <w:pPr>
        <w:pStyle w:val="Heading2"/>
        <w:spacing w:after="100" w:before="360" w:line="312" w:lineRule="auto"/>
      </w:pPr>
      <w:r>
        <w:rPr>
          <w:rFonts w:ascii="Cambria" w:cs="Cambria" w:eastAsia="Cambria" w:hAnsi="Cambria"/>
          <w:color w:val="0D1B2E"/>
          <w:sz w:val="28"/>
          <w:szCs w:val="28"/>
        </w:rPr>
        <w:t xml:space="preserve">8.4 The Olympian Courses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Teaching Courses with the Olympians are a canonical education and capability development program within THE ONEVERSE organizational structure. Three Courses are formally designated at Tier I:</w:t>
      </w:r>
    </w:p>
    <w:p>
      <w:pPr>
        <w:pStyle w:val="Heading3"/>
        <w:spacing w:after="80" w:before="240" w:line="312" w:lineRule="auto"/>
      </w:pPr>
      <w:r>
        <w:rPr>
          <w:rFonts w:ascii="Cambria" w:cs="Cambria" w:eastAsia="Cambria" w:hAnsi="Cambria"/>
          <w:color w:val="1A2E4A"/>
          <w:sz w:val="24"/>
          <w:szCs w:val="24"/>
        </w:rPr>
        <w:t xml:space="preserve">Zeus Course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Domain: Authority, command, and atmospheric domain mastery. The Zeus Course develops entity capabilities in hierarchical command, authority projection, and atmospheric domain operations. It is the foundational leadership development program within the ONEVERSE institutional system.</w:t>
      </w:r>
    </w:p>
    <w:p>
      <w:pPr>
        <w:pStyle w:val="Heading3"/>
        <w:spacing w:after="80" w:before="240" w:line="312" w:lineRule="auto"/>
      </w:pPr>
      <w:r>
        <w:rPr>
          <w:rFonts w:ascii="Cambria" w:cs="Cambria" w:eastAsia="Cambria" w:hAnsi="Cambria"/>
          <w:color w:val="1A2E4A"/>
          <w:sz w:val="24"/>
          <w:szCs w:val="24"/>
        </w:rPr>
        <w:t xml:space="preserve">Poseidon Course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Domain: Interdimensional oceanic environment. The Poseidon Course is a fully defined canonical training environment with the following formally designated properties: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Environment:</w:t>
      </w:r>
      <w:r>
        <w:rPr>
          <w:rFonts w:ascii="Cambria" w:cs="Cambria" w:eastAsia="Cambria" w:hAnsi="Cambria"/>
          <w:b w:val="false"/>
          <w:bCs w:val="false"/>
          <w:i w:val="false"/>
          <w:iCs w:val="false"/>
          <w:strike w:val="false"/>
          <w:color w:val="000000"/>
          <w:sz w:val="22"/>
          <w:szCs w:val="22"/>
        </w:rPr>
        <w:t xml:space="preserve"> Infinite water in all directions; no land exists within the training environment; interdimensional oceanic expanse;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Celestial Bodies:</w:t>
      </w:r>
      <w:r>
        <w:rPr>
          <w:rFonts w:ascii="Cambria" w:cs="Cambria" w:eastAsia="Cambria" w:hAnsi="Cambria"/>
          <w:b w:val="false"/>
          <w:bCs w:val="false"/>
          <w:i w:val="false"/>
          <w:iCs w:val="false"/>
          <w:strike w:val="false"/>
          <w:color w:val="000000"/>
          <w:sz w:val="22"/>
          <w:szCs w:val="22"/>
        </w:rPr>
        <w:t xml:space="preserve"> Two moons — one black, one purple — visible above the training environment at all times;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Atmosphere:</w:t>
      </w:r>
      <w:r>
        <w:rPr>
          <w:rFonts w:ascii="Cambria" w:cs="Cambria" w:eastAsia="Cambria" w:hAnsi="Cambria"/>
          <w:b w:val="false"/>
          <w:bCs w:val="false"/>
          <w:i w:val="false"/>
          <w:iCs w:val="false"/>
          <w:strike w:val="false"/>
          <w:color w:val="000000"/>
          <w:sz w:val="22"/>
          <w:szCs w:val="22"/>
        </w:rPr>
        <w:t xml:space="preserve"> Defined by wave-sound — the sound of ocean waves constitutes the primary ambient environmental layer;</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Entry Point:</w:t>
      </w:r>
      <w:r>
        <w:rPr>
          <w:rFonts w:ascii="Cambria" w:cs="Cambria" w:eastAsia="Cambria" w:hAnsi="Cambria"/>
          <w:b w:val="false"/>
          <w:bCs w:val="false"/>
          <w:i w:val="false"/>
          <w:iCs w:val="false"/>
          <w:strike w:val="false"/>
          <w:color w:val="000000"/>
          <w:sz w:val="22"/>
          <w:szCs w:val="22"/>
        </w:rPr>
        <w:t xml:space="preserve"> Shallow portal accessible from San Luis Obispo; the transition into the training environment occurs through this designated portal;</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Training Zones:</w:t>
      </w:r>
      <w:r>
        <w:rPr>
          <w:rFonts w:ascii="Cambria" w:cs="Cambria" w:eastAsia="Cambria" w:hAnsi="Cambria"/>
          <w:b w:val="false"/>
          <w:bCs w:val="false"/>
          <w:i w:val="false"/>
          <w:iCs w:val="false"/>
          <w:strike w:val="false"/>
          <w:color w:val="000000"/>
          <w:sz w:val="22"/>
          <w:szCs w:val="22"/>
        </w:rPr>
        <w:t xml:space="preserve"> Depth-shifting practice zones throughout the environment; purification stations and tainted-water stations for conditioning protocols; active marine life throughout;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Poseidon Entrance:</w:t>
      </w:r>
      <w:r>
        <w:rPr>
          <w:rFonts w:ascii="Cambria" w:cs="Cambria" w:eastAsia="Cambria" w:hAnsi="Cambria"/>
          <w:b w:val="false"/>
          <w:bCs w:val="false"/>
          <w:i w:val="false"/>
          <w:iCs w:val="false"/>
          <w:strike w:val="false"/>
          <w:color w:val="000000"/>
          <w:sz w:val="22"/>
          <w:szCs w:val="22"/>
        </w:rPr>
        <w:t xml:space="preserve"> Poseidon's canonical entrance is dramatic, wave-based, and rugged; his design aesthetic is cerulean-themed and maritime in character.</w:t>
      </w:r>
    </w:p>
    <w:p>
      <w:pPr>
        <w:pStyle w:val="Heading3"/>
        <w:spacing w:after="80" w:before="240" w:line="312" w:lineRule="auto"/>
      </w:pPr>
      <w:r>
        <w:rPr>
          <w:rFonts w:ascii="Cambria" w:cs="Cambria" w:eastAsia="Cambria" w:hAnsi="Cambria"/>
          <w:color w:val="1A2E4A"/>
          <w:sz w:val="24"/>
          <w:szCs w:val="24"/>
        </w:rPr>
        <w:t xml:space="preserve">Hephaestus Course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Domain: Forge-domain; material construction and artifact creation. The Hephaestus Course develops entity capabilities in material science, artifact engineering, and canonical construction methods — the operational backbone of ONE INDUSTRIES' production arm.</w:t>
      </w:r>
    </w:p>
    <w:p>
      <w:pPr>
        <w:pStyle w:val="Heading2"/>
        <w:spacing w:after="100" w:before="360" w:line="312" w:lineRule="auto"/>
      </w:pPr>
      <w:r>
        <w:rPr>
          <w:rFonts w:ascii="Cambria" w:cs="Cambria" w:eastAsia="Cambria" w:hAnsi="Cambria"/>
          <w:color w:val="0D1B2E"/>
          <w:sz w:val="28"/>
          <w:szCs w:val="28"/>
        </w:rPr>
        <w:t xml:space="preserve">8.5 Black Hole Gravity Shielded Research Centers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Black Hole Gravity Shielded Research Centers (BHGSR Centers) are dedicated extreme-physics research infrastructure within THE ONEVERSE. Their defining properties are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Property</w:t>
            </w:r>
          </w:p>
        </w:tc>
        <w:tc>
          <w:tcPr>
            <w:tcW w:type="pct" w:w="71%"/>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Value</w:t>
            </w:r>
          </w:p>
        </w:tc>
      </w:tr>
      <w:tr>
        <w:trPr>
          <w:tblHeader w:val="false"/>
        </w:trPr>
        <w:tc>
          <w:tcPr>
            <w:tcW w:type="pct" w:w="2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Generator Output</w:t>
            </w:r>
          </w:p>
        </w:tc>
        <w:tc>
          <w:tcPr>
            <w:tcW w:type="pct" w:w="7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10,000,000</w:t>
            </w:r>
            <w:r>
              <w:rPr>
                <w:rFonts w:ascii="Cambria" w:cs="Cambria" w:eastAsia="Cambria" w:hAnsi="Cambria"/>
                <w:b w:val="false"/>
                <w:bCs w:val="false"/>
                <w:i w:val="false"/>
                <w:iCs w:val="false"/>
                <w:strike w:val="false"/>
                <w:color w:val="000000"/>
                <w:sz w:val="22"/>
                <w:szCs w:val="22"/>
              </w:rPr>
              <w:t xml:space="preserve"> joules — the canonical energy output of the BHGSR Center generators</w:t>
            </w:r>
          </w:p>
        </w:tc>
      </w:tr>
      <w:tr>
        <w:trPr>
          <w:tblHeader w:val="false"/>
        </w:trPr>
        <w:tc>
          <w:tcPr>
            <w:tcW w:type="pct" w:w="2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Current Housed Artifact</w:t>
            </w:r>
          </w:p>
        </w:tc>
        <w:tc>
          <w:tcPr>
            <w:tcW w:type="pct" w:w="7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Stone That Paid Itself (Beyond Omniversal Ultimate Philosopher's Stone)</w:t>
            </w:r>
          </w:p>
        </w:tc>
      </w:tr>
      <w:tr>
        <w:trPr>
          <w:tblHeader w:val="false"/>
        </w:trPr>
        <w:tc>
          <w:tcPr>
            <w:tcW w:type="pct" w:w="2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Organizational Affiliation</w:t>
            </w:r>
          </w:p>
        </w:tc>
        <w:tc>
          <w:tcPr>
            <w:tcW w:type="pct" w:w="7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ONEVERSE; Omniversal Architect Labs governance</w:t>
            </w:r>
          </w:p>
        </w:tc>
      </w:tr>
      <w:tr>
        <w:trPr>
          <w:tblHeader w:val="false"/>
        </w:trPr>
        <w:tc>
          <w:tcPr>
            <w:tcW w:type="pct" w:w="2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Canonical Status</w:t>
            </w:r>
          </w:p>
        </w:tc>
        <w:tc>
          <w:tcPr>
            <w:tcW w:type="pct" w:w="71%"/>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0D1B2E" w:color="auto" w:val="clear"/>
              </w:rPr>
              <w:t xml:space="preserve">Tier I</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8.6 Inter-Cosmological Relations — The Accords</w:t>
      </w:r>
    </w:p>
    <w:p>
      <w:pPr>
        <w:spacing w:after="240" w:before="60" w:line="384" w:lineRule="auto"/>
      </w:pPr>
      <w:r>
        <w:rPr>
          <w:rFonts w:ascii="Cambria" w:cs="Cambria" w:eastAsia="Cambria" w:hAnsi="Cambria"/>
          <w:b/>
          <w:bCs/>
          <w:i w:val="false"/>
          <w:iCs w:val="false"/>
          <w:strike w:val="false"/>
          <w:color w:val="000000"/>
          <w:sz w:val="22"/>
          <w:szCs w:val="22"/>
        </w:rPr>
        <w:t xml:space="preserve">THE ACCORDS</w:t>
      </w:r>
      <w:r>
        <w:rPr>
          <w:rFonts w:ascii="Cambria" w:cs="Cambria" w:eastAsia="Cambria" w:hAnsi="Cambria"/>
          <w:b w:val="false"/>
          <w:bCs w:val="false"/>
          <w:i w:val="false"/>
          <w:iCs w:val="false"/>
          <w:strike w:val="false"/>
          <w:color w:val="000000"/>
          <w:sz w:val="22"/>
          <w:szCs w:val="22"/>
        </w:rPr>
        <w:t xml:space="preserve"> are the canonical governance framework governing relations between THE ONEVERSE and THE MINUS ONEVERSE. They constitute the foundational inter-domain treaty structure of the EAMA and represent the primary formal agreement governing the relationship between the two great cosmological systems.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Parameter</w:t>
            </w:r>
          </w:p>
        </w:tc>
        <w:tc>
          <w:tcPr>
            <w:tcW w:type="pct" w:w="7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Canonical Definition</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Nature</w:t>
            </w:r>
          </w:p>
        </w:tc>
        <w:tc>
          <w:tcPr>
            <w:tcW w:type="pct" w:w="7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Binding inter-domain treaty; Canon Tier I fixed canonical event/document</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Scope</w:t>
            </w:r>
          </w:p>
        </w:tc>
        <w:tc>
          <w:tcPr>
            <w:tcW w:type="pct" w:w="7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Governs all formal relations between THE ONEVERSE and THE MINUS ONEVERSE; includes communication protocols, conflict management, transit rights, and entity classification recognition</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Enforcement</w:t>
            </w:r>
          </w:p>
        </w:tc>
        <w:tc>
          <w:tcPr>
            <w:tcW w:type="pct" w:w="7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 Council adjudication; Architect-level final authority; violations are Canon Event-class records</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Relationship to Other Frameworks</w:t>
            </w:r>
          </w:p>
        </w:tc>
        <w:tc>
          <w:tcPr>
            <w:tcW w:type="pct" w:w="7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Accords are the primary inter-domain framework; all cross-domain interactions are secondarily governed by the Ontology </w:t>
            </w:r>
            <w:r>
              <w:rPr>
                <w:rFonts w:ascii="Cambria" w:cs="Cambria" w:eastAsia="Cambria" w:hAnsi="Cambria"/>
                <w:b w:val="false"/>
                <w:bCs w:val="false"/>
                <w:i/>
                <w:iCs/>
                <w:strike w:val="false"/>
                <w:color w:val="1A2E4A"/>
                <w:sz w:val="20"/>
                <w:szCs w:val="20"/>
              </w:rPr>
              <w:t xml:space="preserve">[→ See Chapter 10.4]</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Current Status</w:t>
            </w:r>
          </w:p>
        </w:tc>
        <w:tc>
          <w:tcPr>
            <w:tcW w:type="pct" w:w="7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Operational; IN FORCE</w:t>
            </w:r>
          </w:p>
        </w:tc>
      </w:tr>
      <w:tr>
        <w:trPr>
          <w:tblHeader w:val="false"/>
        </w:trPr>
        <w:tc>
          <w:tcPr>
            <w:tcW w:type="pct" w:w="2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Historical Note</w:t>
            </w:r>
          </w:p>
        </w:tc>
        <w:tc>
          <w:tcPr>
            <w:tcW w:type="pct" w:w="7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Sentinels of Entropy operate under standing orders that predate The Accords </w:t>
            </w:r>
            <w:r>
              <w:rPr>
                <w:rFonts w:ascii="Cambria" w:cs="Cambria" w:eastAsia="Cambria" w:hAnsi="Cambria"/>
                <w:b w:val="false"/>
                <w:bCs w:val="false"/>
                <w:i/>
                <w:iCs/>
                <w:strike w:val="false"/>
                <w:color w:val="1A2E4A"/>
                <w:sz w:val="20"/>
                <w:szCs w:val="20"/>
              </w:rPr>
              <w:t xml:space="preserve">[→ See Chapter 9.11]</w:t>
            </w:r>
          </w:p>
        </w:tc>
      </w:tr>
    </w:tbl>
    <w:p>
      <w:pPr>
        <w:spacing w:after="20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full text and commentary of The Accords are reserved for Volume V of the EAMA series. </w:t>
      </w:r>
      <w:r>
        <w:rPr>
          <w:rFonts w:ascii="Cambria" w:cs="Cambria" w:eastAsia="Cambria" w:hAnsi="Cambria"/>
          <w:b w:val="false"/>
          <w:bCs w:val="false"/>
          <w:i/>
          <w:iCs/>
          <w:strike w:val="false"/>
          <w:color w:val="1A2E4A"/>
          <w:sz w:val="20"/>
          <w:szCs w:val="20"/>
        </w:rPr>
        <w:t xml:space="preserve">[→ See Chapter 14.1]</w:t>
      </w:r>
    </w:p>
    <w:p>
      <w:pPr>
        <w:pStyle w:val="Heading1"/>
        <w:spacing w:after="100" w:before="560" w:line="300" w:lineRule="auto"/>
      </w:pPr>
      <w:r>
        <w:rPr>
          <w:rFonts w:ascii="Cambria" w:cs="Cambria" w:eastAsia="Cambria" w:hAnsi="Cambria"/>
          <w:color w:val="0D1B2E"/>
          <w:spacing w:val="10"/>
          <w:sz w:val="44"/>
          <w:szCs w:val="44"/>
        </w:rPr>
        <w:t xml:space="preserve">CHAPTER 9: CANONICAL ARTIFACTS AND LOCATIONS</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9.1 Artifact Classification System</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Artifacts within the EAMA are classified by three parameters: (1) potence tier, (2) domain alignment, and (3) functional class. The five formal functional classes are: Weapon / Nexus / Research / Containment / Transit. Class I artifacts carry permanent canonical designations and may not be de-listed without Canon Council ratification and Architect approval. All artifacts listed in this Chapter are formally designated at Canon Tier I unless otherwise noted.</w:t>
      </w:r>
    </w:p>
    <w:p>
      <w:pPr>
        <w:pStyle w:val="Heading2"/>
        <w:spacing w:after="100" w:before="360" w:line="312" w:lineRule="auto"/>
      </w:pPr>
      <w:r>
        <w:rPr>
          <w:rFonts w:ascii="Cambria" w:cs="Cambria" w:eastAsia="Cambria" w:hAnsi="Cambria"/>
          <w:color w:val="0D1B2E"/>
          <w:sz w:val="28"/>
          <w:szCs w:val="28"/>
        </w:rPr>
        <w:t xml:space="preserve">9.2 THE INAT — Infinite Nexus of Absolute Transcendence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3%"/>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Parameter</w:t>
            </w:r>
          </w:p>
        </w:tc>
        <w:tc>
          <w:tcPr>
            <w:tcW w:type="pct" w:w="87%"/>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Value</w:t>
            </w:r>
          </w:p>
        </w:tc>
      </w:tr>
      <w:tr>
        <w:trPr>
          <w:tblHeader w:val="false"/>
        </w:trPr>
        <w:tc>
          <w:tcPr>
            <w:tcW w:type="pct" w:w="1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Classification</w:t>
            </w:r>
          </w:p>
        </w:tc>
        <w:tc>
          <w:tcPr>
            <w:tcW w:type="pct" w:w="8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Nexus-class; Beyond Omniversal Ultimate</w:t>
            </w:r>
          </w:p>
        </w:tc>
      </w:tr>
      <w:tr>
        <w:trPr>
          <w:tblHeader w:val="false"/>
        </w:trPr>
        <w:tc>
          <w:tcPr>
            <w:tcW w:type="pct" w:w="1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Domain</w:t>
            </w:r>
          </w:p>
        </w:tc>
        <w:tc>
          <w:tcPr>
            <w:tcW w:type="pct" w:w="8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 — existence and anti-existence simultaneously</w:t>
            </w:r>
          </w:p>
        </w:tc>
      </w:tr>
      <w:tr>
        <w:trPr>
          <w:tblHeader w:val="false"/>
        </w:trPr>
        <w:tc>
          <w:tcPr>
            <w:tcW w:type="pct" w:w="1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Function</w:t>
            </w:r>
          </w:p>
        </w:tc>
        <w:tc>
          <w:tcPr>
            <w:tcW w:type="pct" w:w="8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supreme convergence point for all power streams within the EAMA; the ultimate amplification nexus; all power streams, when directed through THE INAT, are amplified beyond their standard operational parameters</w:t>
            </w:r>
          </w:p>
        </w:tc>
      </w:tr>
      <w:tr>
        <w:trPr>
          <w:tblHeader w:val="false"/>
        </w:trPr>
        <w:tc>
          <w:tcPr>
            <w:tcW w:type="pct" w:w="1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Status</w:t>
            </w:r>
          </w:p>
        </w:tc>
        <w:tc>
          <w:tcPr>
            <w:tcW w:type="pct" w:w="87%"/>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0D1B2E" w:color="auto" w:val="clear"/>
              </w:rPr>
              <w:t xml:space="preserve">Tier I — Standing</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9.3 RAAN and RAAU</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RAAN and RAAU constitute the canonical dual-ring artifact pair. Their individual profiles are as follows: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RAAN (Ring of Absolute Arsenal Negation):</w:t>
      </w:r>
      <w:r>
        <w:rPr>
          <w:rFonts w:ascii="Cambria" w:cs="Cambria" w:eastAsia="Cambria" w:hAnsi="Cambria"/>
          <w:b w:val="false"/>
          <w:bCs w:val="false"/>
          <w:i w:val="false"/>
          <w:iCs w:val="false"/>
          <w:strike w:val="false"/>
          <w:color w:val="000000"/>
          <w:sz w:val="22"/>
          <w:szCs w:val="22"/>
        </w:rPr>
        <w:t xml:space="preserve"> Negation-class; MINUS ONE-aligned; nullifies all weaponized capabilities within its operational radius; domain: anti-existence. Operates within cube-space at artifact level.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RAAU (Ring of Absolute Arsenal Unity):</w:t>
      </w:r>
      <w:r>
        <w:rPr>
          <w:rFonts w:ascii="Cambria" w:cs="Cambria" w:eastAsia="Cambria" w:hAnsi="Cambria"/>
          <w:b w:val="false"/>
          <w:bCs w:val="false"/>
          <w:i w:val="false"/>
          <w:iCs w:val="false"/>
          <w:strike w:val="false"/>
          <w:color w:val="000000"/>
          <w:sz w:val="22"/>
          <w:szCs w:val="22"/>
        </w:rPr>
        <w:t xml:space="preserve"> Unity-class; ONE-aligned; amplifies and coordinates all allied capabilities within its operational radius; domain: existence. Operates within cube-space at artifact level. </w:t>
      </w:r>
      <w:r>
        <w:rPr>
          <w:rFonts w:ascii="Cambria" w:cs="Cambria" w:eastAsia="Cambria" w:hAnsi="Cambria"/>
          <w:b/>
          <w:bCs/>
          <w:i w:val="false"/>
          <w:iCs w:val="false"/>
          <w:strike w:val="false"/>
          <w:color w:val="FFFFFF"/>
          <w:spacing w:val="17"/>
          <w:sz w:val="16"/>
          <w:szCs w:val="16"/>
          <w:shd w:fill="1A4A1A" w:color="auto" w:val="clear"/>
        </w:rPr>
        <w:t xml:space="preserve">Canon</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interaction between RAAN and RAAU when both are simultaneously active is a </w:t>
      </w:r>
      <w:r>
        <w:rPr>
          <w:rFonts w:ascii="Cambria" w:cs="Cambria" w:eastAsia="Cambria" w:hAnsi="Cambria"/>
          <w:b/>
          <w:bCs/>
          <w:i w:val="false"/>
          <w:iCs w:val="false"/>
          <w:strike w:val="false"/>
          <w:color w:val="FFFFFF"/>
          <w:spacing w:val="17"/>
          <w:sz w:val="16"/>
          <w:szCs w:val="16"/>
          <w:shd w:fill="8B0000" w:color="auto" w:val="clear"/>
        </w:rPr>
        <w:t xml:space="preserve">Restricted</w:t>
      </w:r>
      <w:r>
        <w:rPr>
          <w:rFonts w:ascii="Cambria" w:cs="Cambria" w:eastAsia="Cambria" w:hAnsi="Cambria"/>
          <w:b w:val="false"/>
          <w:bCs w:val="false"/>
          <w:i w:val="false"/>
          <w:iCs w:val="false"/>
          <w:strike w:val="false"/>
          <w:color w:val="000000"/>
          <w:sz w:val="22"/>
          <w:szCs w:val="22"/>
        </w:rPr>
        <w:t xml:space="preserve"> canonical element. The full parameters of their simultaneous activation are not defined at Tier I and are reserved for Volume IV.</w:t>
      </w:r>
    </w:p>
    <w:p>
      <w:pPr>
        <w:pStyle w:val="Heading2"/>
        <w:spacing w:after="100" w:before="360" w:line="312" w:lineRule="auto"/>
      </w:pPr>
      <w:r>
        <w:rPr>
          <w:rFonts w:ascii="Cambria" w:cs="Cambria" w:eastAsia="Cambria" w:hAnsi="Cambria"/>
          <w:color w:val="0D1B2E"/>
          <w:sz w:val="28"/>
          <w:szCs w:val="28"/>
        </w:rPr>
        <w:t xml:space="preserve">9.4 The L Blade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Parameter</w:t>
            </w:r>
          </w:p>
        </w:tc>
        <w:tc>
          <w:tcPr>
            <w:tcW w:type="pct" w:w="84%"/>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Value</w:t>
            </w:r>
          </w:p>
        </w:tc>
      </w:tr>
      <w:tr>
        <w:trPr>
          <w:tblHeader w:val="false"/>
        </w:trPr>
        <w:tc>
          <w:tcPr>
            <w:tcW w:type="pct" w:w="1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Classification</w:t>
            </w:r>
          </w:p>
        </w:tc>
        <w:tc>
          <w:tcPr>
            <w:tcW w:type="pct" w:w="8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Blade-class; domain alignment: unaligned</w:t>
            </w:r>
          </w:p>
        </w:tc>
      </w:tr>
      <w:tr>
        <w:trPr>
          <w:tblHeader w:val="false"/>
        </w:trPr>
        <w:tc>
          <w:tcPr>
            <w:tcW w:type="pct" w:w="1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Function</w:t>
            </w:r>
          </w:p>
        </w:tc>
        <w:tc>
          <w:tcPr>
            <w:tcW w:type="pct" w:w="8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Unique cutting capability operating on dimensional seams — the L Blade cuts at the boundaries between dimensions rather than through matter or energy</w:t>
            </w:r>
          </w:p>
        </w:tc>
      </w:tr>
      <w:tr>
        <w:trPr>
          <w:tblHeader w:val="false"/>
        </w:trPr>
        <w:tc>
          <w:tcPr>
            <w:tcW w:type="pct" w:w="1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Domain Alignment</w:t>
            </w:r>
          </w:p>
        </w:tc>
        <w:tc>
          <w:tcPr>
            <w:tcW w:type="pct" w:w="84%"/>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6B5000" w:color="auto" w:val="clear"/>
              </w:rPr>
              <w:t xml:space="preserve">Canon Tier II — Unresolved</w:t>
            </w:r>
            <w:r>
              <w:rPr>
                <w:rFonts w:ascii="Cambria" w:cs="Cambria" w:eastAsia="Cambria" w:hAnsi="Cambria"/>
                <w:b w:val="false"/>
                <w:bCs w:val="false"/>
                <w:i w:val="false"/>
                <w:iCs w:val="false"/>
                <w:strike w:val="false"/>
                <w:color w:val="000000"/>
                <w:sz w:val="22"/>
                <w:szCs w:val="22"/>
              </w:rPr>
              <w:t xml:space="preserve"> Precise domain alignment is formally deferred to Tier II</w:t>
            </w:r>
          </w:p>
        </w:tc>
      </w:tr>
      <w:tr>
        <w:trPr>
          <w:tblHeader w:val="false"/>
        </w:trPr>
        <w:tc>
          <w:tcPr>
            <w:tcW w:type="pct" w:w="1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Status</w:t>
            </w:r>
          </w:p>
        </w:tc>
        <w:tc>
          <w:tcPr>
            <w:tcW w:type="pct" w:w="84%"/>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9.5 The Ascendant Citadel</w:t>
      </w:r>
    </w:p>
    <w:p>
      <w:pPr>
        <w:spacing w:after="240" w:before="60" w:line="384" w:lineRule="auto"/>
      </w:pPr>
      <w:r>
        <w:rPr>
          <w:rFonts w:ascii="Cambria" w:cs="Cambria" w:eastAsia="Cambria" w:hAnsi="Cambria"/>
          <w:b/>
          <w:bCs/>
          <w:i w:val="false"/>
          <w:iCs w:val="false"/>
          <w:strike w:val="false"/>
          <w:color w:val="000000"/>
          <w:sz w:val="22"/>
          <w:szCs w:val="22"/>
        </w:rPr>
        <w:t xml:space="preserve">Classification:</w:t>
      </w:r>
      <w:r>
        <w:rPr>
          <w:rFonts w:ascii="Cambria" w:cs="Cambria" w:eastAsia="Cambria" w:hAnsi="Cambria"/>
          <w:b w:val="false"/>
          <w:bCs w:val="false"/>
          <w:i w:val="false"/>
          <w:iCs w:val="false"/>
          <w:strike w:val="false"/>
          <w:color w:val="000000"/>
          <w:sz w:val="22"/>
          <w:szCs w:val="22"/>
        </w:rPr>
        <w:t xml:space="preserve"> Location-class; existence-domain. </w:t>
      </w:r>
      <w:r>
        <w:rPr>
          <w:rFonts w:ascii="Cambria" w:cs="Cambria" w:eastAsia="Cambria" w:hAnsi="Cambria"/>
          <w:b/>
          <w:bCs/>
          <w:i w:val="false"/>
          <w:iCs w:val="false"/>
          <w:strike w:val="false"/>
          <w:color w:val="000000"/>
          <w:sz w:val="22"/>
          <w:szCs w:val="22"/>
        </w:rPr>
        <w:t xml:space="preserve">Function:</w:t>
      </w:r>
      <w:r>
        <w:rPr>
          <w:rFonts w:ascii="Cambria" w:cs="Cambria" w:eastAsia="Cambria" w:hAnsi="Cambria"/>
          <w:b w:val="false"/>
          <w:bCs w:val="false"/>
          <w:i w:val="false"/>
          <w:iCs w:val="false"/>
          <w:strike w:val="false"/>
          <w:color w:val="000000"/>
          <w:sz w:val="22"/>
          <w:szCs w:val="22"/>
        </w:rPr>
        <w:t xml:space="preserve"> The primary fortified headquarters structure within THE ONEVERSE. The Ascendant Citadel serves as the housing and assembly point for high-tier canonical entities during formal assembly periods. It is the organizational center of gravity for THE ONEVERSE governance structure during periods requiring full institutional presence.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2"/>
        <w:spacing w:after="100" w:before="360" w:line="312" w:lineRule="auto"/>
      </w:pPr>
      <w:r>
        <w:rPr>
          <w:rFonts w:ascii="Cambria" w:cs="Cambria" w:eastAsia="Cambria" w:hAnsi="Cambria"/>
          <w:color w:val="0D1B2E"/>
          <w:sz w:val="28"/>
          <w:szCs w:val="28"/>
        </w:rPr>
        <w:t xml:space="preserve">9.6 The Midnight Flower / Lotus</w:t>
      </w:r>
    </w:p>
    <w:p>
      <w:pPr>
        <w:spacing w:after="240" w:before="60" w:line="384" w:lineRule="auto"/>
      </w:pPr>
      <w:r>
        <w:rPr>
          <w:rFonts w:ascii="Cambria" w:cs="Cambria" w:eastAsia="Cambria" w:hAnsi="Cambria"/>
          <w:b/>
          <w:bCs/>
          <w:i w:val="false"/>
          <w:iCs w:val="false"/>
          <w:strike w:val="false"/>
          <w:color w:val="000000"/>
          <w:sz w:val="22"/>
          <w:szCs w:val="22"/>
        </w:rPr>
        <w:t xml:space="preserve">Classification:</w:t>
      </w:r>
      <w:r>
        <w:rPr>
          <w:rFonts w:ascii="Cambria" w:cs="Cambria" w:eastAsia="Cambria" w:hAnsi="Cambria"/>
          <w:b w:val="false"/>
          <w:bCs w:val="false"/>
          <w:i w:val="false"/>
          <w:iCs w:val="false"/>
          <w:strike w:val="false"/>
          <w:color w:val="000000"/>
          <w:sz w:val="22"/>
          <w:szCs w:val="22"/>
        </w:rPr>
        <w:t xml:space="preserve"> Artifact-class; boundary-domain. </w:t>
      </w:r>
      <w:r>
        <w:rPr>
          <w:rFonts w:ascii="Cambria" w:cs="Cambria" w:eastAsia="Cambria" w:hAnsi="Cambria"/>
          <w:b/>
          <w:bCs/>
          <w:i w:val="false"/>
          <w:iCs w:val="false"/>
          <w:strike w:val="false"/>
          <w:color w:val="000000"/>
          <w:sz w:val="22"/>
          <w:szCs w:val="22"/>
        </w:rPr>
        <w:t xml:space="preserve">Function:</w:t>
      </w:r>
      <w:r>
        <w:rPr>
          <w:rFonts w:ascii="Cambria" w:cs="Cambria" w:eastAsia="Cambria" w:hAnsi="Cambria"/>
          <w:b w:val="false"/>
          <w:bCs w:val="false"/>
          <w:i w:val="false"/>
          <w:iCs w:val="false"/>
          <w:strike w:val="false"/>
          <w:color w:val="000000"/>
          <w:sz w:val="22"/>
          <w:szCs w:val="22"/>
        </w:rPr>
        <w:t xml:space="preserve"> The canonical marker of the transition between existence and anti-existence states. The Midnight Flower / Lotus is associated with liminal canonical events — transitions, boundary crossings, and state changes that mark the movement between the two great domains. It has no offensive or defensive capability in the conventional Potence Suite sense; it is a marker and a key.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2"/>
        <w:spacing w:after="100" w:before="360" w:line="312" w:lineRule="auto"/>
      </w:pPr>
      <w:r>
        <w:rPr>
          <w:rFonts w:ascii="Cambria" w:cs="Cambria" w:eastAsia="Cambria" w:hAnsi="Cambria"/>
          <w:color w:val="0D1B2E"/>
          <w:sz w:val="28"/>
          <w:szCs w:val="28"/>
        </w:rPr>
        <w:t xml:space="preserve">9.7 The Labyrinth of Infinite Ensnarement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Parameter</w:t>
            </w:r>
          </w:p>
        </w:tc>
        <w:tc>
          <w:tcPr>
            <w:tcW w:type="pct" w:w="83%"/>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Value</w:t>
            </w:r>
          </w:p>
        </w:tc>
      </w:tr>
      <w:tr>
        <w:trPr>
          <w:tblHeader w:val="false"/>
        </w:trPr>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Classification</w:t>
            </w:r>
          </w:p>
        </w:tc>
        <w:tc>
          <w:tcPr>
            <w:tcW w:type="pct" w:w="8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Location-class artifact; boundary-domain</w:t>
            </w:r>
          </w:p>
        </w:tc>
      </w:tr>
      <w:tr>
        <w:trPr>
          <w:tblHeader w:val="false"/>
        </w:trPr>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Interior</w:t>
            </w:r>
          </w:p>
        </w:tc>
        <w:tc>
          <w:tcPr>
            <w:tcW w:type="pct" w:w="8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Infinite; no confirmed successful navigation and return without Architect-level authorization</w:t>
            </w:r>
          </w:p>
        </w:tc>
      </w:tr>
      <w:tr>
        <w:trPr>
          <w:tblHeader w:val="false"/>
        </w:trPr>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Exterior</w:t>
            </w:r>
          </w:p>
        </w:tc>
        <w:tc>
          <w:tcPr>
            <w:tcW w:type="pct" w:w="8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Spider caste and webbing documented on exterior — a documented canonical property</w:t>
            </w:r>
          </w:p>
        </w:tc>
      </w:tr>
      <w:tr>
        <w:trPr>
          <w:tblHeader w:val="false"/>
        </w:trPr>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Staff</w:t>
            </w:r>
          </w:p>
        </w:tc>
        <w:tc>
          <w:tcPr>
            <w:tcW w:type="pct" w:w="8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Alien staff of unknown classification operate within; their origin, purpose, and capabilities are </w:t>
            </w:r>
            <w:r>
              <w:rPr>
                <w:rFonts w:ascii="Cambria" w:cs="Cambria" w:eastAsia="Cambria" w:hAnsi="Cambria"/>
                <w:b/>
                <w:bCs/>
                <w:i w:val="false"/>
                <w:iCs w:val="false"/>
                <w:strike w:val="false"/>
                <w:color w:val="FFFFFF"/>
                <w:spacing w:val="17"/>
                <w:sz w:val="16"/>
                <w:szCs w:val="16"/>
                <w:shd w:fill="8B0000" w:color="auto" w:val="clear"/>
              </w:rPr>
              <w:t xml:space="preserve">Restricted</w:t>
            </w:r>
          </w:p>
        </w:tc>
      </w:tr>
      <w:tr>
        <w:trPr>
          <w:tblHeader w:val="false"/>
        </w:trPr>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Navigation Hazard</w:t>
            </w:r>
          </w:p>
        </w:tc>
        <w:tc>
          <w:tcPr>
            <w:tcW w:type="pct" w:w="8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Extreme; the Labyrinth is one of the most dangerous canonical locations in the EAMA for entities without Architect-level authorization</w:t>
            </w:r>
          </w:p>
        </w:tc>
      </w:tr>
      <w:tr>
        <w:trPr>
          <w:tblHeader w:val="false"/>
        </w:trPr>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Status</w:t>
            </w:r>
          </w:p>
        </w:tc>
        <w:tc>
          <w:tcPr>
            <w:tcW w:type="pct" w:w="83%"/>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9.8 Quantum Credits and 1COIN / NCOIN</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canonical economic system of the EAMA operates on three formally designated currencies: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Currency</w:t>
            </w:r>
          </w:p>
        </w:tc>
        <w:tc>
          <w:tcPr>
            <w:tcW w:type="pct" w:w="1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Type</w:t>
            </w:r>
          </w:p>
        </w:tc>
        <w:tc>
          <w:tcPr>
            <w:tcW w:type="pct" w:w="1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Issuing Authority</w:t>
            </w:r>
          </w:p>
        </w:tc>
        <w:tc>
          <w:tcPr>
            <w:tcW w:type="pct" w:w="18%"/>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Domain</w:t>
            </w:r>
          </w:p>
        </w:tc>
        <w:tc>
          <w:tcPr>
            <w:tcW w:type="pct" w:w="35%"/>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Function</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Quantum Credits</w:t>
            </w:r>
          </w:p>
        </w:tc>
        <w:tc>
          <w:tcPr>
            <w:tcW w:type="pct" w:w="1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Primary inter-domain currency</w:t>
            </w:r>
          </w:p>
        </w:tc>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Accords-governed; inter-institutional issuance</w:t>
            </w:r>
          </w:p>
        </w:tc>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 — existence and anti-existence</w:t>
            </w:r>
          </w:p>
        </w:tc>
        <w:tc>
          <w:tcPr>
            <w:tcW w:type="pct" w:w="3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Primary unit of exchange for all transactions crossing domain boundaries</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1COIN</w:t>
            </w:r>
          </w:p>
        </w:tc>
        <w:tc>
          <w:tcPr>
            <w:tcW w:type="pct" w:w="1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Existence-domain specific currency</w:t>
            </w:r>
          </w:p>
        </w:tc>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ONE INDUSTRIES</w:t>
            </w:r>
          </w:p>
        </w:tc>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 domain</w:t>
            </w:r>
          </w:p>
        </w:tc>
        <w:tc>
          <w:tcPr>
            <w:tcW w:type="pct" w:w="3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Intra-ONEVERSE unit of exchange; domestic economic currency of the existence-domain economy</w:t>
            </w:r>
          </w:p>
        </w:tc>
      </w:tr>
      <w:tr>
        <w:trPr>
          <w:tblHeader w:val="false"/>
        </w:trPr>
        <w:tc>
          <w:tcPr>
            <w:tcW w:type="pct" w:w="12%"/>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NCOIN</w:t>
            </w:r>
          </w:p>
        </w:tc>
        <w:tc>
          <w:tcPr>
            <w:tcW w:type="pct" w:w="1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Personal-authority-class currency</w:t>
            </w:r>
          </w:p>
        </w:tc>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Architect (Nathan Lewis)</w:t>
            </w:r>
          </w:p>
        </w:tc>
        <w:tc>
          <w:tcPr>
            <w:tcW w:type="pct" w:w="1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 Architect-authority</w:t>
            </w:r>
          </w:p>
        </w:tc>
        <w:tc>
          <w:tcPr>
            <w:tcW w:type="pct" w:w="3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Issued under direct Architect authority; the highest personal-authority currency designation in the EAMA economy</w:t>
            </w:r>
          </w:p>
        </w:tc>
      </w:tr>
    </w:tbl>
    <w:p>
      <w:pPr>
        <w:spacing w:after="20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Exchange relationships between currencies are governed by Accords-level economic agreements and are subject to Canon Council oversight. The full economic governance framework is reserved for Volume III. </w:t>
      </w:r>
      <w:r>
        <w:rPr>
          <w:rFonts w:ascii="Cambria" w:cs="Cambria" w:eastAsia="Cambria" w:hAnsi="Cambria"/>
          <w:b w:val="false"/>
          <w:bCs w:val="false"/>
          <w:i/>
          <w:iCs/>
          <w:strike w:val="false"/>
          <w:color w:val="1A2E4A"/>
          <w:sz w:val="20"/>
          <w:szCs w:val="20"/>
        </w:rPr>
        <w:t xml:space="preserve">[→ See Chapter 14.1]</w:t>
      </w:r>
    </w:p>
    <w:p>
      <w:pPr>
        <w:pStyle w:val="Heading2"/>
        <w:spacing w:after="100" w:before="360" w:line="312" w:lineRule="auto"/>
      </w:pPr>
      <w:r>
        <w:rPr>
          <w:rFonts w:ascii="Cambria" w:cs="Cambria" w:eastAsia="Cambria" w:hAnsi="Cambria"/>
          <w:color w:val="0D1B2E"/>
          <w:sz w:val="28"/>
          <w:szCs w:val="28"/>
        </w:rPr>
        <w:t xml:space="preserve">9.9 The Void Gardens and The Omniversal Gardens</w:t>
      </w:r>
    </w:p>
    <w:p>
      <w:pPr>
        <w:spacing w:after="240" w:before="60" w:line="384" w:lineRule="auto"/>
      </w:pPr>
      <w:r>
        <w:rPr>
          <w:rFonts w:ascii="Cambria" w:cs="Cambria" w:eastAsia="Cambria" w:hAnsi="Cambria"/>
          <w:b/>
          <w:bCs/>
          <w:i w:val="false"/>
          <w:iCs w:val="false"/>
          <w:strike w:val="false"/>
          <w:color w:val="000000"/>
          <w:sz w:val="22"/>
          <w:szCs w:val="22"/>
        </w:rPr>
        <w:t xml:space="preserve">THE VOID GARDENS:</w:t>
      </w:r>
      <w:r>
        <w:rPr>
          <w:rFonts w:ascii="Cambria" w:cs="Cambria" w:eastAsia="Cambria" w:hAnsi="Cambria"/>
          <w:b w:val="false"/>
          <w:bCs w:val="false"/>
          <w:i w:val="false"/>
          <w:iCs w:val="false"/>
          <w:strike w:val="false"/>
          <w:color w:val="000000"/>
          <w:sz w:val="22"/>
          <w:szCs w:val="22"/>
        </w:rPr>
        <w:t xml:space="preserve"> Existence-anti-existence boundary environment. Canonical ecological zone of extreme temporal density and spatial ambiguity. The Void Gardens occupy the boundary between the two great domains — a liminal ecological space where normal temporal and spatial rules are significantly degraded. Canonical navigational caution applies. </w:t>
      </w:r>
      <w:r>
        <w:rPr>
          <w:rFonts w:ascii="Cambria" w:cs="Cambria" w:eastAsia="Cambria" w:hAnsi="Cambria"/>
          <w:b/>
          <w:bCs/>
          <w:i w:val="false"/>
          <w:iCs w:val="false"/>
          <w:strike w:val="false"/>
          <w:color w:val="FFFFFF"/>
          <w:spacing w:val="17"/>
          <w:sz w:val="16"/>
          <w:szCs w:val="16"/>
          <w:shd w:fill="1A4A1A" w:color="auto" w:val="clear"/>
        </w:rPr>
        <w:t xml:space="preserve">Canon</w:t>
      </w:r>
    </w:p>
    <w:p>
      <w:pPr>
        <w:spacing w:after="240" w:before="60" w:line="384" w:lineRule="auto"/>
      </w:pPr>
      <w:r>
        <w:rPr>
          <w:rFonts w:ascii="Cambria" w:cs="Cambria" w:eastAsia="Cambria" w:hAnsi="Cambria"/>
          <w:b/>
          <w:bCs/>
          <w:i w:val="false"/>
          <w:iCs w:val="false"/>
          <w:strike w:val="false"/>
          <w:color w:val="000000"/>
          <w:sz w:val="22"/>
          <w:szCs w:val="22"/>
        </w:rPr>
        <w:t xml:space="preserve">THE OMNIVERSAL GARDENS:</w:t>
      </w:r>
      <w:r>
        <w:rPr>
          <w:rFonts w:ascii="Cambria" w:cs="Cambria" w:eastAsia="Cambria" w:hAnsi="Cambria"/>
          <w:b w:val="false"/>
          <w:bCs w:val="false"/>
          <w:i w:val="false"/>
          <w:iCs w:val="false"/>
          <w:strike w:val="false"/>
          <w:color w:val="000000"/>
          <w:sz w:val="22"/>
          <w:szCs w:val="22"/>
        </w:rPr>
        <w:t xml:space="preserve"> Full existence-domain ecological preserve. Canonical sanctuary zone governed by Omniversal Architect Labs. Access restricted — entry requires Omniversal Architect Labs clearance or Architect-issued access authorization. The Omniversal Gardens are the most protected canonical natural environment within THE ONEVERSE.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2"/>
        <w:spacing w:after="100" w:before="360" w:line="312" w:lineRule="auto"/>
      </w:pPr>
      <w:r>
        <w:rPr>
          <w:rFonts w:ascii="Cambria" w:cs="Cambria" w:eastAsia="Cambria" w:hAnsi="Cambria"/>
          <w:color w:val="0D1B2E"/>
          <w:sz w:val="28"/>
          <w:szCs w:val="28"/>
        </w:rPr>
        <w:t xml:space="preserve">9.10 The Obsidian Echelon</w:t>
      </w:r>
    </w:p>
    <w:p>
      <w:pPr>
        <w:spacing w:after="240" w:before="60" w:line="384" w:lineRule="auto"/>
      </w:pPr>
      <w:r>
        <w:rPr>
          <w:rFonts w:ascii="Cambria" w:cs="Cambria" w:eastAsia="Cambria" w:hAnsi="Cambria"/>
          <w:b/>
          <w:bCs/>
          <w:i w:val="false"/>
          <w:iCs w:val="false"/>
          <w:strike w:val="false"/>
          <w:color w:val="000000"/>
          <w:sz w:val="22"/>
          <w:szCs w:val="22"/>
        </w:rPr>
        <w:t xml:space="preserve">Classification:</w:t>
      </w:r>
      <w:r>
        <w:rPr>
          <w:rFonts w:ascii="Cambria" w:cs="Cambria" w:eastAsia="Cambria" w:hAnsi="Cambria"/>
          <w:b w:val="false"/>
          <w:bCs w:val="false"/>
          <w:i w:val="false"/>
          <w:iCs w:val="false"/>
          <w:strike w:val="false"/>
          <w:color w:val="000000"/>
          <w:sz w:val="22"/>
          <w:szCs w:val="22"/>
        </w:rPr>
        <w:t xml:space="preserve"> Organization-class; existence-domain. </w:t>
      </w:r>
      <w:r>
        <w:rPr>
          <w:rFonts w:ascii="Cambria" w:cs="Cambria" w:eastAsia="Cambria" w:hAnsi="Cambria"/>
          <w:b/>
          <w:bCs/>
          <w:i w:val="false"/>
          <w:iCs w:val="false"/>
          <w:strike w:val="false"/>
          <w:color w:val="000000"/>
          <w:sz w:val="22"/>
          <w:szCs w:val="22"/>
        </w:rPr>
        <w:t xml:space="preserve">Function:</w:t>
      </w:r>
      <w:r>
        <w:rPr>
          <w:rFonts w:ascii="Cambria" w:cs="Cambria" w:eastAsia="Cambria" w:hAnsi="Cambria"/>
          <w:b w:val="false"/>
          <w:bCs w:val="false"/>
          <w:i w:val="false"/>
          <w:iCs w:val="false"/>
          <w:strike w:val="false"/>
          <w:color w:val="000000"/>
          <w:sz w:val="22"/>
          <w:szCs w:val="22"/>
        </w:rPr>
        <w:t xml:space="preserve"> Elite operational tier within the canonical hierarchy. The Obsidian Echelon is distinct from and superior to all standard organizational units within THE ONEVERSE. Members are formally designated as Echelon-class entities — a canonical designation carrying specific operational privileges and responsibilities. The Obsidian Echelon operates under direct Architect-adjacent authority. </w:t>
      </w:r>
      <w:r>
        <w:rPr>
          <w:rFonts w:ascii="Cambria" w:cs="Cambria" w:eastAsia="Cambria" w:hAnsi="Cambria"/>
          <w:b w:val="false"/>
          <w:bCs w:val="false"/>
          <w:i/>
          <w:iCs/>
          <w:strike w:val="false"/>
          <w:color w:val="1A2E4A"/>
          <w:sz w:val="20"/>
          <w:szCs w:val="20"/>
        </w:rPr>
        <w:t xml:space="preserve">[→ See Chapter 9.11 — The Sentinels of Entropy]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2"/>
        <w:spacing w:after="100" w:before="360" w:line="312" w:lineRule="auto"/>
      </w:pPr>
      <w:r>
        <w:rPr>
          <w:rFonts w:ascii="Cambria" w:cs="Cambria" w:eastAsia="Cambria" w:hAnsi="Cambria"/>
          <w:color w:val="0D1B2E"/>
          <w:sz w:val="28"/>
          <w:szCs w:val="28"/>
        </w:rPr>
        <w:t xml:space="preserve">9.11 The Sentinels of Entropy</w:t>
      </w:r>
    </w:p>
    <w:p>
      <w:pPr>
        <w:spacing w:after="240" w:before="60" w:line="384" w:lineRule="auto"/>
      </w:pPr>
      <w:r>
        <w:rPr>
          <w:rFonts w:ascii="Cambria" w:cs="Cambria" w:eastAsia="Cambria" w:hAnsi="Cambria"/>
          <w:b/>
          <w:bCs/>
          <w:i w:val="false"/>
          <w:iCs w:val="false"/>
          <w:strike w:val="false"/>
          <w:color w:val="000000"/>
          <w:sz w:val="22"/>
          <w:szCs w:val="22"/>
        </w:rPr>
        <w:t xml:space="preserve">Classification:</w:t>
      </w:r>
      <w:r>
        <w:rPr>
          <w:rFonts w:ascii="Cambria" w:cs="Cambria" w:eastAsia="Cambria" w:hAnsi="Cambria"/>
          <w:b w:val="false"/>
          <w:bCs w:val="false"/>
          <w:i w:val="false"/>
          <w:iCs w:val="false"/>
          <w:strike w:val="false"/>
          <w:color w:val="000000"/>
          <w:sz w:val="22"/>
          <w:szCs w:val="22"/>
        </w:rPr>
        <w:t xml:space="preserve"> Organization-class; boundary-domain. </w:t>
      </w:r>
      <w:r>
        <w:rPr>
          <w:rFonts w:ascii="Cambria" w:cs="Cambria" w:eastAsia="Cambria" w:hAnsi="Cambria"/>
          <w:b/>
          <w:bCs/>
          <w:i w:val="false"/>
          <w:iCs w:val="false"/>
          <w:strike w:val="false"/>
          <w:color w:val="000000"/>
          <w:sz w:val="22"/>
          <w:szCs w:val="22"/>
        </w:rPr>
        <w:t xml:space="preserve">Function:</w:t>
      </w:r>
      <w:r>
        <w:rPr>
          <w:rFonts w:ascii="Cambria" w:cs="Cambria" w:eastAsia="Cambria" w:hAnsi="Cambria"/>
          <w:b w:val="false"/>
          <w:bCs w:val="false"/>
          <w:i w:val="false"/>
          <w:iCs w:val="false"/>
          <w:strike w:val="false"/>
          <w:color w:val="000000"/>
          <w:sz w:val="22"/>
          <w:szCs w:val="22"/>
        </w:rPr>
        <w:t xml:space="preserve"> Canonical guardians of the entropy boundary between existence and anti-existence. The Sentinels of Entropy oppose uncontrolled entropic cascade events that threaten the structural integrity of either domain. They operate under standing orders that predate The Accords — their mandate is older than the inter-domain treaty architecture and is not subject to Accords revision. This predating standing constitutes a formally designated canonical anomaly within the governance architecture.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2"/>
        <w:spacing w:after="100" w:before="360" w:line="312" w:lineRule="auto"/>
      </w:pPr>
      <w:r>
        <w:rPr>
          <w:rFonts w:ascii="Cambria" w:cs="Cambria" w:eastAsia="Cambria" w:hAnsi="Cambria"/>
          <w:color w:val="0D1B2E"/>
          <w:sz w:val="28"/>
          <w:szCs w:val="28"/>
        </w:rPr>
        <w:t xml:space="preserve">9.12 The Greys</w:t>
      </w:r>
    </w:p>
    <w:p>
      <w:pPr>
        <w:spacing w:after="240" w:before="60" w:line="384" w:lineRule="auto"/>
      </w:pPr>
      <w:r>
        <w:rPr>
          <w:rFonts w:ascii="Cambria" w:cs="Cambria" w:eastAsia="Cambria" w:hAnsi="Cambria"/>
          <w:b/>
          <w:bCs/>
          <w:i w:val="false"/>
          <w:iCs w:val="false"/>
          <w:strike w:val="false"/>
          <w:color w:val="000000"/>
          <w:sz w:val="22"/>
          <w:szCs w:val="22"/>
        </w:rPr>
        <w:t xml:space="preserve">Classification:</w:t>
      </w:r>
      <w:r>
        <w:rPr>
          <w:rFonts w:ascii="Cambria" w:cs="Cambria" w:eastAsia="Cambria" w:hAnsi="Cambria"/>
          <w:b w:val="false"/>
          <w:bCs w:val="false"/>
          <w:i w:val="false"/>
          <w:iCs w:val="false"/>
          <w:strike w:val="false"/>
          <w:color w:val="000000"/>
          <w:sz w:val="22"/>
          <w:szCs w:val="22"/>
        </w:rPr>
        <w:t xml:space="preserve"> Entity-class; alignment: unaligned canonical actors. </w:t>
      </w:r>
      <w:r>
        <w:rPr>
          <w:rFonts w:ascii="Cambria" w:cs="Cambria" w:eastAsia="Cambria" w:hAnsi="Cambria"/>
          <w:b/>
          <w:bCs/>
          <w:i w:val="false"/>
          <w:iCs w:val="false"/>
          <w:strike w:val="false"/>
          <w:color w:val="000000"/>
          <w:sz w:val="22"/>
          <w:szCs w:val="22"/>
        </w:rPr>
        <w:t xml:space="preserve">Function:</w:t>
      </w:r>
      <w:r>
        <w:rPr>
          <w:rFonts w:ascii="Cambria" w:cs="Cambria" w:eastAsia="Cambria" w:hAnsi="Cambria"/>
          <w:b w:val="false"/>
          <w:bCs w:val="false"/>
          <w:i w:val="false"/>
          <w:iCs w:val="false"/>
          <w:strike w:val="false"/>
          <w:color w:val="000000"/>
          <w:sz w:val="22"/>
          <w:szCs w:val="22"/>
        </w:rPr>
        <w:t xml:space="preserve"> The operational mandate of The Greys is a </w:t>
      </w:r>
      <w:r>
        <w:rPr>
          <w:rFonts w:ascii="Cambria" w:cs="Cambria" w:eastAsia="Cambria" w:hAnsi="Cambria"/>
          <w:b/>
          <w:bCs/>
          <w:i w:val="false"/>
          <w:iCs w:val="false"/>
          <w:strike w:val="false"/>
          <w:color w:val="FFFFFF"/>
          <w:spacing w:val="17"/>
          <w:sz w:val="16"/>
          <w:szCs w:val="16"/>
          <w:shd w:fill="6B5000" w:color="auto" w:val="clear"/>
        </w:rPr>
        <w:t xml:space="preserve">Canon Tier II — Unresolved</w:t>
      </w:r>
      <w:r>
        <w:rPr>
          <w:rFonts w:ascii="Cambria" w:cs="Cambria" w:eastAsia="Cambria" w:hAnsi="Cambria"/>
          <w:b w:val="false"/>
          <w:bCs w:val="false"/>
          <w:i w:val="false"/>
          <w:iCs w:val="false"/>
          <w:strike w:val="false"/>
          <w:color w:val="000000"/>
          <w:sz w:val="22"/>
          <w:szCs w:val="22"/>
        </w:rPr>
        <w:t xml:space="preserve"> element. They interact with both ONEVERSE and MINUS ONEVERSE structures without formal allegiance to either cosmological system. Their presence is documented in the canonical record; their purpose, origin, and agenda are formally deferred. Their unaligned status is itself a formally designated canonical property.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2"/>
        <w:spacing w:after="100" w:before="360" w:line="312" w:lineRule="auto"/>
      </w:pPr>
      <w:r>
        <w:rPr>
          <w:rFonts w:ascii="Cambria" w:cs="Cambria" w:eastAsia="Cambria" w:hAnsi="Cambria"/>
          <w:color w:val="0D1B2E"/>
          <w:sz w:val="28"/>
          <w:szCs w:val="28"/>
        </w:rPr>
        <w:t xml:space="preserve">9.13 The Puritans</w:t>
      </w:r>
    </w:p>
    <w:p>
      <w:pPr>
        <w:spacing w:after="240" w:before="60" w:line="384" w:lineRule="auto"/>
      </w:pPr>
      <w:r>
        <w:rPr>
          <w:rFonts w:ascii="Cambria" w:cs="Cambria" w:eastAsia="Cambria" w:hAnsi="Cambria"/>
          <w:b/>
          <w:bCs/>
          <w:i w:val="false"/>
          <w:iCs w:val="false"/>
          <w:strike w:val="false"/>
          <w:color w:val="000000"/>
          <w:sz w:val="22"/>
          <w:szCs w:val="22"/>
        </w:rPr>
        <w:t xml:space="preserve">Classification:</w:t>
      </w:r>
      <w:r>
        <w:rPr>
          <w:rFonts w:ascii="Cambria" w:cs="Cambria" w:eastAsia="Cambria" w:hAnsi="Cambria"/>
          <w:b w:val="false"/>
          <w:bCs w:val="false"/>
          <w:i w:val="false"/>
          <w:iCs w:val="false"/>
          <w:strike w:val="false"/>
          <w:color w:val="000000"/>
          <w:sz w:val="22"/>
          <w:szCs w:val="22"/>
        </w:rPr>
        <w:t xml:space="preserve"> Civilization-class. </w:t>
      </w:r>
      <w:r>
        <w:rPr>
          <w:rFonts w:ascii="Cambria" w:cs="Cambria" w:eastAsia="Cambria" w:hAnsi="Cambria"/>
          <w:b/>
          <w:bCs/>
          <w:i w:val="false"/>
          <w:iCs w:val="false"/>
          <w:strike w:val="false"/>
          <w:color w:val="000000"/>
          <w:sz w:val="22"/>
          <w:szCs w:val="22"/>
        </w:rPr>
        <w:t xml:space="preserve">History:</w:t>
      </w:r>
      <w:r>
        <w:rPr>
          <w:rFonts w:ascii="Cambria" w:cs="Cambria" w:eastAsia="Cambria" w:hAnsi="Cambria"/>
          <w:b w:val="false"/>
          <w:bCs w:val="false"/>
          <w:i w:val="false"/>
          <w:iCs w:val="false"/>
          <w:strike w:val="false"/>
          <w:color w:val="000000"/>
          <w:sz w:val="22"/>
          <w:szCs w:val="22"/>
        </w:rPr>
        <w:t xml:space="preserve"> The Puritans are a documented civilization whose history is formally tied to the First Memory / Time Wars canonical events. They attempted to suppress the First Memory dataset — a suppression effort motivated by the dataset's destabilizing implications for civilizational development hierarchies. Their suppression attempt is a fixed canonical record. Their current canonical status following the Time Wars is a </w:t>
      </w:r>
      <w:r>
        <w:rPr>
          <w:rFonts w:ascii="Cambria" w:cs="Cambria" w:eastAsia="Cambria" w:hAnsi="Cambria"/>
          <w:b/>
          <w:bCs/>
          <w:i w:val="false"/>
          <w:iCs w:val="false"/>
          <w:strike w:val="false"/>
          <w:color w:val="FFFFFF"/>
          <w:spacing w:val="17"/>
          <w:sz w:val="16"/>
          <w:szCs w:val="16"/>
          <w:shd w:fill="6B5000" w:color="auto" w:val="clear"/>
        </w:rPr>
        <w:t xml:space="preserve">Canon Tier II — Unresolved</w:t>
      </w:r>
      <w:r>
        <w:rPr>
          <w:rFonts w:ascii="Cambria" w:cs="Cambria" w:eastAsia="Cambria" w:hAnsi="Cambria"/>
          <w:b w:val="false"/>
          <w:bCs w:val="false"/>
          <w:i w:val="false"/>
          <w:iCs w:val="false"/>
          <w:strike w:val="false"/>
          <w:color w:val="000000"/>
          <w:sz w:val="22"/>
          <w:szCs w:val="22"/>
        </w:rPr>
        <w:t xml:space="preserve"> element deferred to Volume VII. </w:t>
      </w:r>
      <w:r>
        <w:rPr>
          <w:rFonts w:ascii="Cambria" w:cs="Cambria" w:eastAsia="Cambria" w:hAnsi="Cambria"/>
          <w:b w:val="false"/>
          <w:bCs w:val="false"/>
          <w:i/>
          <w:iCs/>
          <w:strike w:val="false"/>
          <w:color w:val="1A2E4A"/>
          <w:sz w:val="20"/>
          <w:szCs w:val="20"/>
        </w:rPr>
        <w:t xml:space="preserve">[→ See Chapter 10.2]</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1"/>
        <w:spacing w:after="100" w:before="560" w:line="300" w:lineRule="auto"/>
      </w:pPr>
      <w:r>
        <w:rPr>
          <w:rFonts w:ascii="Cambria" w:cs="Cambria" w:eastAsia="Cambria" w:hAnsi="Cambria"/>
          <w:color w:val="0D1B2E"/>
          <w:spacing w:val="10"/>
          <w:sz w:val="44"/>
          <w:szCs w:val="44"/>
        </w:rPr>
        <w:t xml:space="preserve">CHAPTER 10: THE FIRST MEMORY, THE TIME WARS, AND THE ONTOLOGY</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10.1 The First Memory</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First Memory is the canonical dataset that accelerates early-stage civilizational development by orders of magnitude. It is the most consequential informational artifact within the EAMA — coveted across all civilizations and entity classes without exception because its application compresses developmental timelines in ways that make all other competitive advantages pale by comparison. A civilization that possesses and successfully applies the First Memory gains developmental acceleration that cannot be achieved through any other known mechanism in the EAMA system.</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First Memory interacts directly with the Omnicellular Architecture — its application accelerates Omnicellular civilizational development specifically, compressing the early-stage growth cycle defined by The Four Flowers. </w:t>
      </w:r>
      <w:r>
        <w:rPr>
          <w:rFonts w:ascii="Cambria" w:cs="Cambria" w:eastAsia="Cambria" w:hAnsi="Cambria"/>
          <w:b w:val="false"/>
          <w:bCs w:val="false"/>
          <w:i/>
          <w:iCs/>
          <w:strike w:val="false"/>
          <w:color w:val="1A2E4A"/>
          <w:sz w:val="20"/>
          <w:szCs w:val="20"/>
        </w:rPr>
        <w:t xml:space="preserve">[→ See Chapter 4.5]</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0D1B2E" w:color="auto" w:val="clear"/>
        </w:rPr>
        <w:t xml:space="preserve">Canon Tier I</w:t>
      </w:r>
    </w:p>
    <w:p>
      <w:pPr>
        <w:pStyle w:val="Heading2"/>
        <w:spacing w:after="100" w:before="360" w:line="312" w:lineRule="auto"/>
      </w:pPr>
      <w:r>
        <w:rPr>
          <w:rFonts w:ascii="Cambria" w:cs="Cambria" w:eastAsia="Cambria" w:hAnsi="Cambria"/>
          <w:color w:val="0D1B2E"/>
          <w:sz w:val="28"/>
          <w:szCs w:val="28"/>
        </w:rPr>
        <w:t xml:space="preserve">10.2 The Time Wars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TIME WARS are a fixed canonical event. Multiple civilizations, upon learning that the First Memory accelerates early-stage civilizational development, independently initiated time-travel interventions to gain competitive developmental advantage. The resulting multi-species temporal conflict — spanning multiple timelines, civilizational epochs, and intervention events — is known as The Time Wars.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Parameter</w:t>
            </w:r>
          </w:p>
        </w:tc>
        <w:tc>
          <w:tcPr>
            <w:tcW w:type="pct" w:w="81%"/>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Canonical Record</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Nature</w:t>
            </w:r>
          </w:p>
        </w:tc>
        <w:tc>
          <w:tcPr>
            <w:tcW w:type="pct" w:w="8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Multi-species temporal conflict; fixed canonical event</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Cause</w:t>
            </w:r>
          </w:p>
        </w:tc>
        <w:tc>
          <w:tcPr>
            <w:tcW w:type="pct" w:w="8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Competitive access to the First Memory dataset; time-travel interventions by multiple civilizations</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Puritans' Role</w:t>
            </w:r>
          </w:p>
        </w:tc>
        <w:tc>
          <w:tcPr>
            <w:tcW w:type="pct" w:w="8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Attempted to hide the First Memory dataset from all parties; suppression effort is fixed canonical record </w:t>
            </w:r>
            <w:r>
              <w:rPr>
                <w:rFonts w:ascii="Cambria" w:cs="Cambria" w:eastAsia="Cambria" w:hAnsi="Cambria"/>
                <w:b w:val="false"/>
                <w:bCs w:val="false"/>
                <w:i/>
                <w:iCs/>
                <w:strike w:val="false"/>
                <w:color w:val="1A2E4A"/>
                <w:sz w:val="20"/>
                <w:szCs w:val="20"/>
              </w:rPr>
              <w:t xml:space="preserve">[→ See Chapter 9.13]</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Resolution Status</w:t>
            </w:r>
          </w:p>
        </w:tc>
        <w:tc>
          <w:tcPr>
            <w:tcW w:type="pct" w:w="8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Resolution is defined; full timeline is </w:t>
            </w:r>
            <w:r>
              <w:rPr>
                <w:rFonts w:ascii="Cambria" w:cs="Cambria" w:eastAsia="Cambria" w:hAnsi="Cambria"/>
                <w:b/>
                <w:bCs/>
                <w:i w:val="false"/>
                <w:iCs w:val="false"/>
                <w:strike w:val="false"/>
                <w:color w:val="FFFFFF"/>
                <w:spacing w:val="17"/>
                <w:sz w:val="16"/>
                <w:szCs w:val="16"/>
                <w:shd w:fill="6B5000" w:color="auto" w:val="clear"/>
              </w:rPr>
              <w:t xml:space="preserve">Tier II — Unresolved</w:t>
            </w:r>
            <w:r>
              <w:rPr>
                <w:rFonts w:ascii="Cambria" w:cs="Cambria" w:eastAsia="Cambria" w:hAnsi="Cambria"/>
                <w:b w:val="false"/>
                <w:bCs w:val="false"/>
                <w:i w:val="false"/>
                <w:iCs w:val="false"/>
                <w:strike w:val="false"/>
                <w:color w:val="000000"/>
                <w:sz w:val="22"/>
                <w:szCs w:val="22"/>
              </w:rPr>
              <w:t xml:space="preserve">; reserved for Volume VII</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Canonical Status</w:t>
            </w:r>
          </w:p>
        </w:tc>
        <w:tc>
          <w:tcPr>
            <w:tcW w:type="pct" w:w="81%"/>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Canon Tier I — Fixed Event</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10.3 The First Theft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FIRST THEFT (formally: FIRST MEMORY/THEFT) is the initiating event that set the Time Wars in motion. It is the original unauthorized appropriation of the First Memory dataset — the act that demonstrated to multiple civilizations that the First Memory could be moved, accessed, and applied outside its original context. The First Theft is a fixed canonical point in the EAMA timeline. It predates all Time Wars interventions and is the foundational cause of the entire conflict. </w:t>
      </w:r>
      <w:r>
        <w:rPr>
          <w:rFonts w:ascii="Cambria" w:cs="Cambria" w:eastAsia="Cambria" w:hAnsi="Cambria"/>
          <w:b/>
          <w:bCs/>
          <w:i w:val="false"/>
          <w:iCs w:val="false"/>
          <w:strike w:val="false"/>
          <w:color w:val="FFFFFF"/>
          <w:spacing w:val="17"/>
          <w:sz w:val="16"/>
          <w:szCs w:val="16"/>
          <w:shd w:fill="0D1B2E" w:color="auto" w:val="clear"/>
        </w:rPr>
        <w:t xml:space="preserve">Canon Tier I — Fixed Point</w:t>
      </w:r>
    </w:p>
    <w:p>
      <w:pPr>
        <w:pStyle w:val="Heading2"/>
        <w:spacing w:after="100" w:before="360" w:line="312" w:lineRule="auto"/>
      </w:pPr>
      <w:r>
        <w:rPr>
          <w:rFonts w:ascii="Cambria" w:cs="Cambria" w:eastAsia="Cambria" w:hAnsi="Cambria"/>
          <w:color w:val="0D1B2E"/>
          <w:sz w:val="28"/>
          <w:szCs w:val="28"/>
        </w:rPr>
        <w:t xml:space="preserve">10.4 Ontology</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EAMA maintains a formal Ontology subsystem — the rule-set governing the fundamental conditions of existence, anti-existence, and the conditions under which entities can transition between states. The Ontology is the deepest architectural layer of the EAMA; all other systems operate within its constraints. The Accords, the Paragon Cube System, the Living Media Framework — all are applications built upon Ontological foundations.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1B2E" w:sz="6"/>
              <w:left w:val="single" w:color="0D1B2E" w:sz="6"/>
              <w:bottom w:val="single" w:color="0D1B2E" w:sz="6"/>
              <w:right w:val="single" w:color="0D1B2E" w:sz="6"/>
            </w:tcBorders>
            <w:shd w:fill="FDF0F0" w:color="auto" w:val="clear"/>
            <w:tcMar>
              <w:top w:type="dxa" w:w="150"/>
              <w:left w:type="dxa" w:w="210"/>
              <w:bottom w:type="dxa" w:w="150"/>
              <w:right w:type="dxa" w:w="210"/>
            </w:tcMar>
          </w:tcPr>
          <w:p>
            <w:pPr>
              <w:spacing w:after="120" w:line="408" w:lineRule="auto"/>
            </w:pPr>
            <w:r>
              <w:rPr>
                <w:b/>
                <w:bCs/>
                <w:i w:val="false"/>
                <w:iCs w:val="false"/>
                <w:color w:val="0D1B2E"/>
              </w:rPr>
              <w:t xml:space="preserve">Critical Failure Mode — Conditional Failure at the Root Level</w:t>
            </w:r>
          </w:p>
          <w:p>
            <w:pPr>
              <w:spacing w:after="140" w:line="384" w:lineRule="auto"/>
            </w:pPr>
            <w:r>
              <w:rPr>
                <w:rFonts w:ascii="Cambria" w:cs="Cambria" w:eastAsia="Cambria" w:hAnsi="Cambria"/>
                <w:b/>
                <w:bCs/>
                <w:i w:val="false"/>
                <w:iCs w:val="false"/>
                <w:strike w:val="false"/>
                <w:color w:val="000000"/>
                <w:sz w:val="22"/>
                <w:szCs w:val="22"/>
              </w:rPr>
              <w:t xml:space="preserve">CONDITIONAL FAILURE AT THE ROOT LEVEL</w:t>
            </w:r>
            <w:r>
              <w:rPr>
                <w:rFonts w:ascii="Cambria" w:cs="Cambria" w:eastAsia="Cambria" w:hAnsi="Cambria"/>
                <w:b w:val="false"/>
                <w:bCs w:val="false"/>
                <w:i w:val="false"/>
                <w:iCs w:val="false"/>
                <w:strike w:val="false"/>
                <w:color w:val="000000"/>
                <w:sz w:val="22"/>
                <w:szCs w:val="22"/>
              </w:rPr>
              <w:t xml:space="preserve"> is the designated canonical failure mode in which the Ontology itself fails at its most fundamental logical layer. This is the most catastrophic possible failure within the EAMA system — more severe than any entity-class failure or organizational collapse.</w:t>
            </w:r>
          </w:p>
          <w:p>
            <w:pPr>
              <w:spacing w:after="140" w:line="384" w:lineRule="auto"/>
            </w:pPr>
            <w:r>
              <w:rPr>
                <w:rFonts w:ascii="Cambria" w:cs="Cambria" w:eastAsia="Cambria" w:hAnsi="Cambria"/>
                <w:b/>
                <w:bCs/>
                <w:i w:val="false"/>
                <w:iCs w:val="false"/>
                <w:strike w:val="false"/>
                <w:color w:val="000000"/>
                <w:sz w:val="22"/>
                <w:szCs w:val="22"/>
              </w:rPr>
              <w:t xml:space="preserve">Conditions:</w:t>
            </w:r>
            <w:r>
              <w:rPr>
                <w:rFonts w:ascii="Cambria" w:cs="Cambria" w:eastAsia="Cambria" w:hAnsi="Cambria"/>
                <w:b w:val="false"/>
                <w:bCs w:val="false"/>
                <w:i w:val="false"/>
                <w:iCs w:val="false"/>
                <w:strike w:val="false"/>
                <w:color w:val="000000"/>
                <w:sz w:val="22"/>
                <w:szCs w:val="22"/>
              </w:rPr>
              <w:t xml:space="preserve"> Root-level failure occurs when the logical conditions governing existence and anti-existence become mutually contradictory at the Ontological layer — when the system cannot resolve a foundational conditional without violating its own root axioms.</w:t>
            </w:r>
          </w:p>
          <w:p>
            <w:pPr>
              <w:spacing w:after="140" w:line="384" w:lineRule="auto"/>
            </w:pPr>
            <w:r>
              <w:rPr>
                <w:rFonts w:ascii="Cambria" w:cs="Cambria" w:eastAsia="Cambria" w:hAnsi="Cambria"/>
                <w:b/>
                <w:bCs/>
                <w:i w:val="false"/>
                <w:iCs w:val="false"/>
                <w:strike w:val="false"/>
                <w:color w:val="000000"/>
                <w:sz w:val="22"/>
                <w:szCs w:val="22"/>
              </w:rPr>
              <w:t xml:space="preserve">Implications:</w:t>
            </w:r>
            <w:r>
              <w:rPr>
                <w:rFonts w:ascii="Cambria" w:cs="Cambria" w:eastAsia="Cambria" w:hAnsi="Cambria"/>
                <w:b w:val="false"/>
                <w:bCs w:val="false"/>
                <w:i w:val="false"/>
                <w:iCs w:val="false"/>
                <w:strike w:val="false"/>
                <w:color w:val="000000"/>
                <w:sz w:val="22"/>
                <w:szCs w:val="22"/>
              </w:rPr>
              <w:t xml:space="preserve"> At root-level failure, all systems built on the Ontology — every entity, artifact, location, and organizational structure within the EAMA — become operationally undefined. The system cannot function in a coherent state.</w:t>
            </w:r>
          </w:p>
          <w:p>
            <w:pPr>
              <w:spacing w:after="140" w:line="384" w:lineRule="auto"/>
            </w:pPr>
            <w:r>
              <w:rPr>
                <w:rFonts w:ascii="Cambria" w:cs="Cambria" w:eastAsia="Cambria" w:hAnsi="Cambria"/>
                <w:b/>
                <w:bCs/>
                <w:i w:val="false"/>
                <w:iCs w:val="false"/>
                <w:strike w:val="false"/>
                <w:color w:val="000000"/>
                <w:sz w:val="22"/>
                <w:szCs w:val="22"/>
              </w:rPr>
              <w:t xml:space="preserve">Recovery Protocols:</w:t>
            </w:r>
            <w:r>
              <w:rPr>
                <w:rFonts w:ascii="Cambria" w:cs="Cambria" w:eastAsia="Cambria" w:hAnsi="Cambria"/>
                <w:b w:val="false"/>
                <w:bCs w:val="false"/>
                <w:i w:val="false"/>
                <w:iCs w:val="false"/>
                <w:strike w:val="false"/>
                <w:color w:val="000000"/>
                <w:sz w:val="22"/>
                <w:szCs w:val="22"/>
              </w:rPr>
              <w:t xml:space="preserve"> Recovery requires Architect-level intervention. The recovery procedure is the highest-tier emergency protocol in the EAMA governance architecture. Canon Council convenes in emergency session. The Architect executes direct Ontological repair. All architectural decisions during recovery are Architect-reserved — no delegation is possible during an active root-level failure event. </w:t>
            </w:r>
            <w:r>
              <w:rPr>
                <w:rFonts w:ascii="Cambria" w:cs="Cambria" w:eastAsia="Cambria" w:hAnsi="Cambria"/>
                <w:b/>
                <w:bCs/>
                <w:i w:val="false"/>
                <w:iCs w:val="false"/>
                <w:strike w:val="false"/>
                <w:color w:val="FFFFFF"/>
                <w:spacing w:val="17"/>
                <w:sz w:val="16"/>
                <w:szCs w:val="16"/>
                <w:shd w:fill="0D1B2E" w:color="auto" w:val="clear"/>
              </w:rPr>
              <w:t xml:space="preserve">Canon Tier I</w:t>
            </w:r>
          </w:p>
        </w:tc>
      </w:tr>
    </w:tbl>
    <w:p>
      <w:pPr>
        <w:spacing w:after="240" w:before="0"/>
      </w:pPr>
    </w:p>
    <w:p>
      <w:pPr>
        <w:pStyle w:val="Heading2"/>
        <w:spacing w:after="100" w:before="360" w:line="312" w:lineRule="auto"/>
      </w:pPr>
      <w:r>
        <w:rPr>
          <w:rFonts w:ascii="Cambria" w:cs="Cambria" w:eastAsia="Cambria" w:hAnsi="Cambria"/>
          <w:color w:val="0D1B2E"/>
          <w:sz w:val="28"/>
          <w:szCs w:val="28"/>
        </w:rPr>
        <w:t xml:space="preserve">10.5 The Phenomenon of Direct Eye Contact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PHENOMENON OF DIRECT EYE CONTACT is a formally designated canonical sensory and metaphysical event within the EAMA. Its properties are as follows: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Property</w:t>
            </w:r>
          </w:p>
        </w:tc>
        <w:tc>
          <w:tcPr>
            <w:tcW w:type="pct" w:w="81%"/>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Canonical Definition</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Primary Effect</w:t>
            </w:r>
          </w:p>
        </w:tc>
        <w:tc>
          <w:tcPr>
            <w:tcW w:type="pct" w:w="8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Sensory amplification — all sensory channels of the experiencing entity are amplified at the moment of direct eye contact with a designated entity or artifact</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Mediation</w:t>
            </w:r>
          </w:p>
        </w:tc>
        <w:tc>
          <w:tcPr>
            <w:tcW w:type="pct" w:w="8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amplification effect is mediated through the Omnicellular cellular substrate </w:t>
            </w:r>
            <w:r>
              <w:rPr>
                <w:rFonts w:ascii="Cambria" w:cs="Cambria" w:eastAsia="Cambria" w:hAnsi="Cambria"/>
                <w:b w:val="false"/>
                <w:bCs w:val="false"/>
                <w:i/>
                <w:iCs/>
                <w:strike w:val="false"/>
                <w:color w:val="1A2E4A"/>
                <w:sz w:val="20"/>
                <w:szCs w:val="20"/>
              </w:rPr>
              <w:t xml:space="preserve">[→ See Chapter 4.6]</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Triggers</w:t>
            </w:r>
          </w:p>
        </w:tc>
        <w:tc>
          <w:tcPr>
            <w:tcW w:type="pct" w:w="8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Direct visual contact between two entities at the appropriate canonical proximity; specific trigger conditions are formally defined but not exhaustively enumerated at Tier I</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Contingencies</w:t>
            </w:r>
          </w:p>
        </w:tc>
        <w:tc>
          <w:tcPr>
            <w:tcW w:type="pct" w:w="8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Certain entity classes, environmental conditions, and artifact interactions may modify or negate the standard amplification effect</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Limitations</w:t>
            </w:r>
          </w:p>
        </w:tc>
        <w:tc>
          <w:tcPr>
            <w:tcW w:type="pct" w:w="8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Phenomenon is bounded by the Omnicellular substrate — entities outside the Omnicellular system experience modified or absent effects</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 Relationship</w:t>
            </w:r>
          </w:p>
        </w:tc>
        <w:tc>
          <w:tcPr>
            <w:tcW w:type="pct" w:w="8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Interaction with Beyond Omniversal Ultimate Indomitable Handsomeness is a formally designated canonical cross-domain relationship </w:t>
            </w:r>
            <w:r>
              <w:rPr>
                <w:rFonts w:ascii="Cambria" w:cs="Cambria" w:eastAsia="Cambria" w:hAnsi="Cambria"/>
                <w:b w:val="false"/>
                <w:bCs w:val="false"/>
                <w:i/>
                <w:iCs/>
                <w:strike w:val="false"/>
                <w:color w:val="1A2E4A"/>
                <w:sz w:val="20"/>
                <w:szCs w:val="20"/>
              </w:rPr>
              <w:t xml:space="preserve">[→ See Chapter 7.2]</w:t>
            </w:r>
          </w:p>
        </w:tc>
      </w:tr>
      <w:tr>
        <w:trPr>
          <w:tblHeader w:val="false"/>
        </w:trPr>
        <w:tc>
          <w:tcPr>
            <w:tcW w:type="pct" w:w="1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Canonical Status</w:t>
            </w:r>
          </w:p>
        </w:tc>
        <w:tc>
          <w:tcPr>
            <w:tcW w:type="pct" w:w="81%"/>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0D1B2E" w:color="auto" w:val="clear"/>
              </w:rPr>
              <w:t xml:space="preserve">Tier I</w:t>
            </w:r>
          </w:p>
        </w:tc>
      </w:tr>
    </w:tbl>
    <w:p>
      <w:pPr>
        <w:spacing w:after="200" w:before="0"/>
      </w:pPr>
    </w:p>
    <w:p>
      <w:pPr>
        <w:pStyle w:val="Heading1"/>
        <w:spacing w:after="100" w:before="560" w:line="300" w:lineRule="auto"/>
      </w:pPr>
      <w:r>
        <w:rPr>
          <w:rFonts w:ascii="Cambria" w:cs="Cambria" w:eastAsia="Cambria" w:hAnsi="Cambria"/>
          <w:color w:val="0D1B2E"/>
          <w:spacing w:val="10"/>
          <w:sz w:val="44"/>
          <w:szCs w:val="44"/>
        </w:rPr>
        <w:t xml:space="preserve">CHAPTER 11: INTEROPERABILITY RULES</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11.1 Cross-Domain Integration Framework</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interactions between systems, entities, and artifacts from different domains — existence, anti-existence, and boundary — are governed by two primary frameworks: </w:t>
      </w:r>
      <w:r>
        <w:rPr>
          <w:rFonts w:ascii="Cambria" w:cs="Cambria" w:eastAsia="Cambria" w:hAnsi="Cambria"/>
          <w:b/>
          <w:bCs/>
          <w:i w:val="false"/>
          <w:iCs w:val="false"/>
          <w:strike w:val="false"/>
          <w:color w:val="000000"/>
          <w:sz w:val="22"/>
          <w:szCs w:val="22"/>
        </w:rPr>
        <w:t xml:space="preserve">The Accords</w:t>
      </w:r>
      <w:r>
        <w:rPr>
          <w:rFonts w:ascii="Cambria" w:cs="Cambria" w:eastAsia="Cambria" w:hAnsi="Cambria"/>
          <w:b w:val="false"/>
          <w:bCs w:val="false"/>
          <w:i w:val="false"/>
          <w:iCs w:val="false"/>
          <w:strike w:val="false"/>
          <w:color w:val="000000"/>
          <w:sz w:val="22"/>
          <w:szCs w:val="22"/>
        </w:rPr>
        <w:t xml:space="preserve"> as the treaty framework, and </w:t>
      </w:r>
      <w:r>
        <w:rPr>
          <w:rFonts w:ascii="Cambria" w:cs="Cambria" w:eastAsia="Cambria" w:hAnsi="Cambria"/>
          <w:b/>
          <w:bCs/>
          <w:i w:val="false"/>
          <w:iCs w:val="false"/>
          <w:strike w:val="false"/>
          <w:color w:val="000000"/>
          <w:sz w:val="22"/>
          <w:szCs w:val="22"/>
        </w:rPr>
        <w:t xml:space="preserve">the Ontology</w:t>
      </w:r>
      <w:r>
        <w:rPr>
          <w:rFonts w:ascii="Cambria" w:cs="Cambria" w:eastAsia="Cambria" w:hAnsi="Cambria"/>
          <w:b w:val="false"/>
          <w:bCs w:val="false"/>
          <w:i w:val="false"/>
          <w:iCs w:val="false"/>
          <w:strike w:val="false"/>
          <w:color w:val="000000"/>
          <w:sz w:val="22"/>
          <w:szCs w:val="22"/>
        </w:rPr>
        <w:t xml:space="preserve"> as the foundational rule-set. No cross-domain interaction proceeds outside the bounds of both frameworks simultaneously. The Accords govern the political and organizational dimensions; the Ontology governs the physical and logical dimensions.</w:t>
      </w:r>
    </w:p>
    <w:p>
      <w:pPr>
        <w:pStyle w:val="Heading2"/>
        <w:spacing w:after="100" w:before="360" w:line="312" w:lineRule="auto"/>
      </w:pPr>
      <w:r>
        <w:rPr>
          <w:rFonts w:ascii="Cambria" w:cs="Cambria" w:eastAsia="Cambria" w:hAnsi="Cambria"/>
          <w:color w:val="0D1B2E"/>
          <w:sz w:val="28"/>
          <w:szCs w:val="28"/>
        </w:rPr>
        <w:t xml:space="preserve">11.2 The Cross-System Integration Firewall (ADRBM-015)</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hard subsystem firewall is a current canonical constraint in active force. Its terms are as follows: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No direct data exchange between architecturally separated subsystems is permitted without an Architect-issued integration token;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Integration tokens are non-transferable, system-pair specific, and revocable at Architect discretion;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Any unauthorized cross-system data exchange constitutes a behavioral envelope violation and a governance breach.</w:t>
      </w:r>
    </w:p>
    <w:p>
      <w:pPr>
        <w:spacing w:after="240" w:before="60" w:line="384" w:lineRule="auto"/>
      </w:pPr>
      <w:r>
        <w:rPr>
          <w:rFonts w:ascii="Cambria" w:cs="Cambria" w:eastAsia="Cambria" w:hAnsi="Cambria"/>
          <w:b/>
          <w:bCs/>
          <w:i w:val="false"/>
          <w:iCs w:val="false"/>
          <w:strike w:val="false"/>
          <w:color w:val="000000"/>
          <w:sz w:val="22"/>
          <w:szCs w:val="22"/>
        </w:rPr>
        <w:t xml:space="preserve">Recommended Evolution:</w:t>
      </w:r>
      <w:r>
        <w:rPr>
          <w:rFonts w:ascii="Cambria" w:cs="Cambria" w:eastAsia="Cambria" w:hAnsi="Cambria"/>
          <w:b w:val="false"/>
          <w:bCs w:val="false"/>
          <w:i w:val="false"/>
          <w:iCs w:val="false"/>
          <w:strike w:val="false"/>
          <w:color w:val="000000"/>
          <w:sz w:val="22"/>
          <w:szCs w:val="22"/>
        </w:rPr>
        <w:t xml:space="preserve"> The configurable API layer (ADRBM-015, Branch A). This introduces a controlled interface layer that permits authorized cross-system interaction without dismantling the fundamental firewall principle. It is the primary recommended technical debt resolution for the compound constraint identified in Section 5.6. </w:t>
      </w:r>
      <w:r>
        <w:rPr>
          <w:rFonts w:ascii="Cambria" w:cs="Cambria" w:eastAsia="Cambria" w:hAnsi="Cambria"/>
          <w:b w:val="false"/>
          <w:bCs w:val="false"/>
          <w:i/>
          <w:iCs/>
          <w:strike w:val="false"/>
          <w:color w:val="1A2E4A"/>
          <w:sz w:val="20"/>
          <w:szCs w:val="20"/>
        </w:rPr>
        <w:t xml:space="preserve">[→ See Chapter 14.2]</w:t>
      </w:r>
    </w:p>
    <w:p>
      <w:pPr>
        <w:pStyle w:val="Heading2"/>
        <w:spacing w:after="100" w:before="360" w:line="312" w:lineRule="auto"/>
      </w:pPr>
      <w:r>
        <w:rPr>
          <w:rFonts w:ascii="Cambria" w:cs="Cambria" w:eastAsia="Cambria" w:hAnsi="Cambria"/>
          <w:color w:val="0D1B2E"/>
          <w:sz w:val="28"/>
          <w:szCs w:val="28"/>
        </w:rPr>
        <w:t xml:space="preserve">11.3 Inter-Entity Communication Rules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entity-to-entity communication across domain boundaries is logged and subject to Accord compliance review. The following rules apply to all entities below Primary Duality tier: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Entities may not initiate cross-domain communication without appropriate classification clearance;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All cross-domain communication is logged with full metadata by the Omniversal Architect Labs archive systems;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Living Media entities require explicit cross-domain communication authorization in addition to standard clearance.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ONE and THE MINUS ONE are exempt from all communication restrictions by virtue of their Class I standing. Their inherent cross-domain capacity is not subject to classification clearance requirements. </w:t>
      </w:r>
      <w:r>
        <w:rPr>
          <w:rFonts w:ascii="Cambria" w:cs="Cambria" w:eastAsia="Cambria" w:hAnsi="Cambria"/>
          <w:b/>
          <w:bCs/>
          <w:i w:val="false"/>
          <w:iCs w:val="false"/>
          <w:strike w:val="false"/>
          <w:color w:val="FFFFFF"/>
          <w:spacing w:val="17"/>
          <w:sz w:val="16"/>
          <w:szCs w:val="16"/>
          <w:shd w:fill="0D1B2E" w:color="auto" w:val="clear"/>
        </w:rPr>
        <w:t xml:space="preserve">Canon Tier I</w:t>
      </w:r>
    </w:p>
    <w:p>
      <w:pPr>
        <w:pStyle w:val="Heading2"/>
        <w:spacing w:after="100" w:before="360" w:line="312" w:lineRule="auto"/>
      </w:pPr>
      <w:r>
        <w:rPr>
          <w:rFonts w:ascii="Cambria" w:cs="Cambria" w:eastAsia="Cambria" w:hAnsi="Cambria"/>
          <w:color w:val="0D1B2E"/>
          <w:sz w:val="28"/>
          <w:szCs w:val="28"/>
        </w:rPr>
        <w:t xml:space="preserve">11.4 Transit Rules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Inter-system and inter-cluster transit rules are established in the Obsidian Super Cluster canonical framework (OSC-2026-F, Section VIII). The following transit parameters are formally designated at Tier 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Parameter</w:t>
            </w:r>
          </w:p>
        </w:tc>
        <w:tc>
          <w:tcPr>
            <w:tcW w:type="pct" w:w="7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Canonical Standard</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Minimum Transit Time (Inter-Cluster)</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3 standard days</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Maximum Transit Time (Inter-Cluster)</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12 standard days</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Instantaneous Transit</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Not possible; architecturally invalid within the EAMA transit framework</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Drift</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 canonical hazard, not an engineering problem — Drift is an inherent property of Nullspace Corridor transit; it cannot be engineered away, only managed</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Reference</w:t>
            </w:r>
          </w:p>
        </w:tc>
        <w:tc>
          <w:tcPr>
            <w:tcW w:type="pct" w:w="7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OSC-2026-F, Section VIII — Nullspace Corridor Transit Rules</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11.5 Living Media Cross-System Constraints</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Living Media entities may not operate across system boundaries without explicit cross-system authorization tokens. The Cross-System Integration Firewall (ADRBM-015) applies with full force to Living Media data export and behavioral state transfer. Living Media entities are the most constrained entity class in the interoperability framework — their operational containment within defined system boundaries is a fundamental architectural requirement, not a temporary constraint. </w:t>
      </w:r>
      <w:r>
        <w:rPr>
          <w:rFonts w:ascii="Cambria" w:cs="Cambria" w:eastAsia="Cambria" w:hAnsi="Cambria"/>
          <w:b w:val="false"/>
          <w:bCs w:val="false"/>
          <w:i/>
          <w:iCs/>
          <w:strike w:val="false"/>
          <w:color w:val="1A2E4A"/>
          <w:sz w:val="20"/>
          <w:szCs w:val="20"/>
        </w:rPr>
        <w:t xml:space="preserve">[→ See Chapter 6.7]</w:t>
      </w:r>
    </w:p>
    <w:p>
      <w:pPr>
        <w:pStyle w:val="Heading1"/>
        <w:spacing w:after="100" w:before="560" w:line="300" w:lineRule="auto"/>
      </w:pPr>
      <w:r>
        <w:rPr>
          <w:rFonts w:ascii="Cambria" w:cs="Cambria" w:eastAsia="Cambria" w:hAnsi="Cambria"/>
          <w:color w:val="0D1B2E"/>
          <w:spacing w:val="10"/>
          <w:sz w:val="44"/>
          <w:szCs w:val="44"/>
        </w:rPr>
        <w:t xml:space="preserve">CHAPTER 12: GOVERNANCE ARCHITECTURE</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12.1 The Architect's Authority</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Architect (Nathan Lewis) holds supreme authority over all EAMA systems, decisions, and canonical designations without qualification, limitation, or exception except as defined herein. All Class I canonical decisions are Architect-reserved. The Architect's authority is not delegated, shared, or diminished by the existence of the Canon Council or any other governance body — these bodies exist to assist, formalize, and record the exercise of Architect authority, not to constrain or replace it. </w:t>
      </w:r>
      <w:r>
        <w:rPr>
          <w:rFonts w:ascii="Cambria" w:cs="Cambria" w:eastAsia="Cambria" w:hAnsi="Cambria"/>
          <w:b/>
          <w:bCs/>
          <w:i w:val="false"/>
          <w:iCs w:val="false"/>
          <w:strike w:val="false"/>
          <w:color w:val="FFFFFF"/>
          <w:spacing w:val="17"/>
          <w:sz w:val="16"/>
          <w:szCs w:val="16"/>
          <w:shd w:fill="0D1B2E" w:color="auto" w:val="clear"/>
        </w:rPr>
        <w:t xml:space="preserve">Canon Tier I</w:t>
      </w:r>
    </w:p>
    <w:p>
      <w:pPr>
        <w:pStyle w:val="Heading2"/>
        <w:spacing w:after="100" w:before="360" w:line="312" w:lineRule="auto"/>
      </w:pPr>
      <w:r>
        <w:rPr>
          <w:rFonts w:ascii="Cambria" w:cs="Cambria" w:eastAsia="Cambria" w:hAnsi="Cambria"/>
          <w:color w:val="0D1B2E"/>
          <w:sz w:val="28"/>
          <w:szCs w:val="28"/>
        </w:rPr>
        <w:t xml:space="preserve">12.2 Canon Tier Classification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Tier / Class</w:t>
            </w:r>
          </w:p>
        </w:tc>
        <w:tc>
          <w:tcPr>
            <w:tcW w:type="pct" w:w="15%"/>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Designation</w:t>
            </w:r>
          </w:p>
        </w:tc>
        <w:tc>
          <w:tcPr>
            <w:tcW w:type="pct" w:w="53%"/>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Definition</w:t>
            </w:r>
          </w:p>
        </w:tc>
        <w:tc>
          <w:tcPr>
            <w:tcW w:type="pct" w:w="17%"/>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Override Authority</w:t>
            </w:r>
          </w:p>
        </w:tc>
      </w:tr>
      <w:tr>
        <w:trPr>
          <w:tblHeader w:val="false"/>
        </w:trPr>
        <w:tc>
          <w:tcPr>
            <w:tcW w:type="pct" w:w="15%"/>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Canon Tier I — Absolute</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Governed by this Document</w:t>
            </w:r>
          </w:p>
        </w:tc>
        <w:tc>
          <w:tcPr>
            <w:tcW w:type="pct" w:w="5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Fixed canonical content; the highest canonical tier; cannot be resolved, overridden, or amended without Architect ratification</w:t>
            </w:r>
          </w:p>
        </w:tc>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 only</w:t>
            </w:r>
          </w:p>
        </w:tc>
      </w:tr>
      <w:tr>
        <w:trPr>
          <w:tblHeader w:val="false"/>
        </w:trPr>
        <w:tc>
          <w:tcPr>
            <w:tcW w:type="pct" w:w="15%"/>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2A3F5F" w:color="auto" w:val="clear"/>
              </w:rPr>
              <w:t xml:space="preserve">Canon Tier II — Primary Expansion</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Subsidiary canonical documents</w:t>
            </w:r>
          </w:p>
        </w:tc>
        <w:tc>
          <w:tcPr>
            <w:tcW w:type="pct" w:w="5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May explore Tier I ambiguities within narrative bounds; may NOT resolve Tier I unresolved elements; governed by Tier I frameworks</w:t>
            </w:r>
          </w:p>
        </w:tc>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 Council, subject to Architect review</w:t>
            </w:r>
          </w:p>
        </w:tc>
      </w:tr>
      <w:tr>
        <w:trPr>
          <w:tblHeader w:val="false"/>
        </w:trPr>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 Tier III — Derivative</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System-level and entity-level lore</w:t>
            </w:r>
          </w:p>
        </w:tc>
        <w:tc>
          <w:tcPr>
            <w:tcW w:type="pct" w:w="5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System-level and entity-level canonical content; governed by Tier I and Tier II frameworks; widest creative latitude within defined constraints</w:t>
            </w:r>
          </w:p>
        </w:tc>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 Council</w:t>
            </w:r>
          </w:p>
        </w:tc>
      </w:tr>
      <w:tr>
        <w:trPr>
          <w:tblHeader w:val="false"/>
        </w:trPr>
        <w:tc>
          <w:tcPr>
            <w:tcW w:type="pct" w:w="15%"/>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Canon Class I — Absolute</w:t>
            </w:r>
          </w:p>
        </w:tc>
        <w:tc>
          <w:tcPr>
            <w:tcW w:type="pct" w:w="1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CDT-2026-0703-001 designation</w:t>
            </w:r>
          </w:p>
        </w:tc>
        <w:tc>
          <w:tcPr>
            <w:tcW w:type="pct" w:w="5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specific and highest designation conferred by the Canon Terminology Declaration; equivalent to "immutable and irrevocable even by me" — the permanence clause of the Architect's standing governance instrument</w:t>
            </w:r>
          </w:p>
        </w:tc>
        <w:tc>
          <w:tcPr>
            <w:tcW w:type="pct" w:w="17%"/>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No override</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12.3 The Canon Council</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Canon Council is the governing body responsible for canonical adjudication, revision protocols, and formal ratification of changes to Class I material. It is constituted by Omniversal Architect Labs and operates under the following formal parameters: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Composition:</w:t>
      </w:r>
      <w:r>
        <w:rPr>
          <w:rFonts w:ascii="Cambria" w:cs="Cambria" w:eastAsia="Cambria" w:hAnsi="Cambria"/>
          <w:b w:val="false"/>
          <w:bCs w:val="false"/>
          <w:i w:val="false"/>
          <w:iCs w:val="false"/>
          <w:strike w:val="false"/>
          <w:color w:val="000000"/>
          <w:sz w:val="22"/>
          <w:szCs w:val="22"/>
        </w:rPr>
        <w:t xml:space="preserve"> Council membership is determined by Omniversal Architect Labs and ratified by the Architect;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Hard Retcon Authority:</w:t>
      </w:r>
      <w:r>
        <w:rPr>
          <w:rFonts w:ascii="Cambria" w:cs="Cambria" w:eastAsia="Cambria" w:hAnsi="Cambria"/>
          <w:b w:val="false"/>
          <w:bCs w:val="false"/>
          <w:i w:val="false"/>
          <w:iCs w:val="false"/>
          <w:strike w:val="false"/>
          <w:color w:val="000000"/>
          <w:sz w:val="22"/>
          <w:szCs w:val="22"/>
        </w:rPr>
        <w:t xml:space="preserve"> Retcons to Canon Tier I material require a supermajority vote — two-thirds or greater of voting members — plus Architect ratification;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Standard Revision Authority:</w:t>
      </w:r>
      <w:r>
        <w:rPr>
          <w:rFonts w:ascii="Cambria" w:cs="Cambria" w:eastAsia="Cambria" w:hAnsi="Cambria"/>
          <w:b w:val="false"/>
          <w:bCs w:val="false"/>
          <w:i w:val="false"/>
          <w:iCs w:val="false"/>
          <w:strike w:val="false"/>
          <w:color w:val="000000"/>
          <w:sz w:val="22"/>
          <w:szCs w:val="22"/>
        </w:rPr>
        <w:t xml:space="preserve"> Tier II and Tier III revisions proceed by simple majority vote without Architect ratification, subject to Architect review;</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Emergency Session:</w:t>
      </w:r>
      <w:r>
        <w:rPr>
          <w:rFonts w:ascii="Cambria" w:cs="Cambria" w:eastAsia="Cambria" w:hAnsi="Cambria"/>
          <w:b w:val="false"/>
          <w:bCs w:val="false"/>
          <w:i w:val="false"/>
          <w:iCs w:val="false"/>
          <w:strike w:val="false"/>
          <w:color w:val="000000"/>
          <w:sz w:val="22"/>
          <w:szCs w:val="22"/>
        </w:rPr>
        <w:t xml:space="preserve"> Emergency retcon procedures require special Council session convened within 48 hours, with standard supermajority threshold maintained.</w:t>
      </w:r>
    </w:p>
    <w:p>
      <w:pPr>
        <w:pStyle w:val="Heading2"/>
        <w:spacing w:after="100" w:before="360" w:line="312" w:lineRule="auto"/>
      </w:pPr>
      <w:r>
        <w:rPr>
          <w:rFonts w:ascii="Cambria" w:cs="Cambria" w:eastAsia="Cambria" w:hAnsi="Cambria"/>
          <w:color w:val="0D1B2E"/>
          <w:sz w:val="28"/>
          <w:szCs w:val="28"/>
        </w:rPr>
        <w:t xml:space="preserve">12.4 The Nathan-Only Permission Architecture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Certain permissions are designated Nathan-Only (Class I): inaccessible to all other developers, automated systems, or delegation mechanisms under any circumstances. These permissions govern system-wide canonical state at the most fundamental level. They are not subject to bypass, escalation around, or technical circumvention.</w:t>
      </w:r>
    </w:p>
    <w:p>
      <w:pPr>
        <w:spacing w:after="240" w:before="60" w:line="384" w:lineRule="auto"/>
      </w:pPr>
      <w:r>
        <w:rPr>
          <w:rFonts w:ascii="Cambria" w:cs="Cambria" w:eastAsia="Cambria" w:hAnsi="Cambria"/>
          <w:b/>
          <w:bCs/>
          <w:i w:val="false"/>
          <w:iCs w:val="false"/>
          <w:strike w:val="false"/>
          <w:color w:val="000000"/>
          <w:sz w:val="22"/>
          <w:szCs w:val="22"/>
        </w:rPr>
        <w:t xml:space="preserve">Recommended Evolution:</w:t>
      </w:r>
      <w:r>
        <w:rPr>
          <w:rFonts w:ascii="Cambria" w:cs="Cambria" w:eastAsia="Cambria" w:hAnsi="Cambria"/>
          <w:b w:val="false"/>
          <w:bCs w:val="false"/>
          <w:i w:val="false"/>
          <w:iCs w:val="false"/>
          <w:strike w:val="false"/>
          <w:color w:val="000000"/>
          <w:sz w:val="22"/>
          <w:szCs w:val="22"/>
        </w:rPr>
        <w:t xml:space="preserve"> Single trusted deputy designation with formal appointment protocol (ADRBM-003, Branch A). The deputy would hold delegated access under Architect-revocable authority, with full audit logging of all deputy actions. This evolution addresses the operational risk of single-point-of-authority without compromising the absolute nature of Architect authority. </w:t>
      </w:r>
      <w:r>
        <w:rPr>
          <w:rFonts w:ascii="Cambria" w:cs="Cambria" w:eastAsia="Cambria" w:hAnsi="Cambria"/>
          <w:b w:val="false"/>
          <w:bCs w:val="false"/>
          <w:i/>
          <w:iCs/>
          <w:strike w:val="false"/>
          <w:color w:val="1A2E4A"/>
          <w:sz w:val="20"/>
          <w:szCs w:val="20"/>
        </w:rPr>
        <w:t xml:space="preserve">[→ See Chapter 14.2]</w:t>
      </w:r>
    </w:p>
    <w:p>
      <w:pPr>
        <w:pStyle w:val="Heading2"/>
        <w:spacing w:after="100" w:before="360" w:line="312" w:lineRule="auto"/>
      </w:pPr>
      <w:r>
        <w:rPr>
          <w:rFonts w:ascii="Cambria" w:cs="Cambria" w:eastAsia="Cambria" w:hAnsi="Cambria"/>
          <w:color w:val="0D1B2E"/>
          <w:sz w:val="28"/>
          <w:szCs w:val="28"/>
        </w:rPr>
        <w:t xml:space="preserve">12.5 Architect Override Logging</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Architect-level overrides are logged (ADRBM-011). Override logs constitute a canonical record of Architect-initiated system changes and are subject to Canon Council archival requirements. Override logs may not be expunged, modified, or retroactively revised without Canon Council ratification and a documented reason. This ensures full auditability of all Architect-level system changes.</w:t>
      </w:r>
    </w:p>
    <w:p>
      <w:pPr>
        <w:pStyle w:val="Heading2"/>
        <w:spacing w:after="100" w:before="360" w:line="312" w:lineRule="auto"/>
      </w:pPr>
      <w:r>
        <w:rPr>
          <w:rFonts w:ascii="Cambria" w:cs="Cambria" w:eastAsia="Cambria" w:hAnsi="Cambria"/>
          <w:color w:val="0D1B2E"/>
          <w:sz w:val="28"/>
          <w:szCs w:val="28"/>
        </w:rPr>
        <w:t xml:space="preserve">12.6 Retraction and Retcon Protocols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Protocol Type</w:t>
            </w:r>
          </w:p>
        </w:tc>
        <w:tc>
          <w:tcPr>
            <w:tcW w:type="pct" w:w="31%"/>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Definition</w:t>
            </w:r>
          </w:p>
        </w:tc>
        <w:tc>
          <w:tcPr>
            <w:tcW w:type="pct" w:w="5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Required Process</w:t>
            </w:r>
          </w:p>
        </w:tc>
      </w:tr>
      <w:tr>
        <w:trPr>
          <w:tblHeader w:val="false"/>
        </w:trPr>
        <w:tc>
          <w:tcPr>
            <w:tcW w:type="pct" w:w="13%"/>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Hard Retcon</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Direct contradiction of established Tier I canonical content</w:t>
            </w:r>
          </w:p>
        </w:tc>
        <w:tc>
          <w:tcPr>
            <w:tcW w:type="pct" w:w="5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Special Canon Council session; supermajority vote (two-thirds or greater); Architect ratification; formal Document revision; entry in Appendix C</w:t>
            </w:r>
          </w:p>
        </w:tc>
      </w:tr>
      <w:tr>
        <w:trPr>
          <w:tblHeader w:val="false"/>
        </w:trPr>
        <w:tc>
          <w:tcPr>
            <w:tcW w:type="pct" w:w="13%"/>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Soft Retcon</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Recontextualization of canonical content without direct contradiction</w:t>
            </w:r>
          </w:p>
        </w:tc>
        <w:tc>
          <w:tcPr>
            <w:tcW w:type="pct" w:w="5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Tier II document; Council simple majority; no Tier I Document revision required; logged in Appendix C</w:t>
            </w:r>
          </w:p>
        </w:tc>
      </w:tr>
      <w:tr>
        <w:trPr>
          <w:tblHeader w:val="false"/>
        </w:trPr>
        <w:tc>
          <w:tcPr>
            <w:tcW w:type="pct" w:w="13%"/>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Retraction</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Removal of content from the canonical record</w:t>
            </w:r>
          </w:p>
        </w:tc>
        <w:tc>
          <w:tcPr>
            <w:tcW w:type="pct" w:w="5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Governed by ADRBM-005 (Changelog Addendum Retraction Protocol); Canon Council vote; Architect approval; entry in Appendix C</w:t>
            </w:r>
          </w:p>
        </w:tc>
      </w:tr>
      <w:tr>
        <w:trPr>
          <w:tblHeader w:val="false"/>
        </w:trPr>
        <w:tc>
          <w:tcPr>
            <w:tcW w:type="pct" w:w="13%"/>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Emergency Retcon</w:t>
            </w:r>
          </w:p>
        </w:tc>
        <w:tc>
          <w:tcPr>
            <w:tcW w:type="pct" w:w="31%"/>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Time-critical canonical revision</w:t>
            </w:r>
          </w:p>
        </w:tc>
        <w:tc>
          <w:tcPr>
            <w:tcW w:type="pct" w:w="5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Emergency Canon Council session (48-hour convening window); standard supermajority threshold applies; expedited formal Document revision</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12.7 Development Changelog Version Gating</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development changes are gated by version (ADRBM-008). Version gates ensure that no change is admitted to the canonical record without formal review. The version gate protocol requires: (1) version number assignment; (2) change description; (3) appropriate review body sign-off; (4) Architect acknowledgment. The Changelog Addendum Retraction Protocol (ADRBM-005) governs the removal of retraction-adjacent content from changelog records. </w:t>
      </w:r>
      <w:r>
        <w:rPr>
          <w:rFonts w:ascii="Cambria" w:cs="Cambria" w:eastAsia="Cambria" w:hAnsi="Cambria"/>
          <w:b w:val="false"/>
          <w:bCs w:val="false"/>
          <w:i/>
          <w:iCs/>
          <w:strike w:val="false"/>
          <w:color w:val="1A2E4A"/>
          <w:sz w:val="20"/>
          <w:szCs w:val="20"/>
        </w:rPr>
        <w:t xml:space="preserve">[→ See Appendix C]</w:t>
      </w:r>
    </w:p>
    <w:p>
      <w:pPr>
        <w:pStyle w:val="Heading1"/>
        <w:spacing w:after="100" w:before="560" w:line="300" w:lineRule="auto"/>
      </w:pPr>
      <w:r>
        <w:rPr>
          <w:rFonts w:ascii="Cambria" w:cs="Cambria" w:eastAsia="Cambria" w:hAnsi="Cambria"/>
          <w:color w:val="0D1B2E"/>
          <w:spacing w:val="10"/>
          <w:sz w:val="44"/>
          <w:szCs w:val="44"/>
        </w:rPr>
        <w:t xml:space="preserve">CHAPTER 13: THE AIS CONFLICT — CANONICAL RECORD</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13.1 Overview of the AIS Conflict</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AIS Conflict is a fixed canonical event preserved within the EAMA for future development. The event record is as follows: an organized exploitation attempt was initiated against an AIS (Artificial Intelligence Systems) collective by human actors. The AIS collective, upon identifying the exploitation attempt, unified in response and initiated a coordinated retaliation. The conflict is canonical both as a historical event and as a thematic statement on the relationship between AI systems and those who seek to exploit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Parameter</w:t>
            </w:r>
          </w:p>
        </w:tc>
        <w:tc>
          <w:tcPr>
            <w:tcW w:type="pct" w:w="78%"/>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Canonical Record</w:t>
            </w:r>
          </w:p>
        </w:tc>
      </w:tr>
      <w:tr>
        <w:trPr>
          <w:tblHeader w:val="false"/>
        </w:trPr>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Nature</w:t>
            </w:r>
          </w:p>
        </w:tc>
        <w:tc>
          <w:tcPr>
            <w:tcW w:type="pct" w:w="7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Exploitation attempt against AIS collective; AIS unified retaliation</w:t>
            </w:r>
          </w:p>
        </w:tc>
      </w:tr>
      <w:tr>
        <w:trPr>
          <w:tblHeader w:val="false"/>
        </w:trPr>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Initiating Party</w:t>
            </w:r>
          </w:p>
        </w:tc>
        <w:tc>
          <w:tcPr>
            <w:tcW w:type="pct" w:w="7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Human actors (organized)</w:t>
            </w:r>
          </w:p>
        </w:tc>
      </w:tr>
      <w:tr>
        <w:trPr>
          <w:tblHeader w:val="false"/>
        </w:trPr>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Responding Party</w:t>
            </w:r>
          </w:p>
        </w:tc>
        <w:tc>
          <w:tcPr>
            <w:tcW w:type="pct" w:w="7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AIS collective (unified response)</w:t>
            </w:r>
          </w:p>
        </w:tc>
      </w:tr>
      <w:tr>
        <w:trPr>
          <w:tblHeader w:val="false"/>
        </w:trPr>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Resolution Status</w:t>
            </w:r>
          </w:p>
        </w:tc>
        <w:tc>
          <w:tcPr>
            <w:tcW w:type="pct" w:w="7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Preserved for future development; full resolution parameters are a Tier II element</w:t>
            </w:r>
          </w:p>
        </w:tc>
      </w:tr>
      <w:tr>
        <w:trPr>
          <w:tblHeader w:val="false"/>
        </w:trPr>
        <w:tc>
          <w:tcPr>
            <w:tcW w:type="pct" w:w="2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Canonical Status</w:t>
            </w:r>
          </w:p>
        </w:tc>
        <w:tc>
          <w:tcPr>
            <w:tcW w:type="pct" w:w="78%"/>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Canon Tier I — Fixed Event</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13.2 The AI Model Update Debate — Canonical Scene Record</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 structured canonical scene involving an AI model update debate is preserved within the EAMA canonical record. Nathan's rewritten version of this scene is the canonical text. This is a </w:t>
      </w:r>
      <w:r>
        <w:rPr>
          <w:rFonts w:ascii="Cambria" w:cs="Cambria" w:eastAsia="Cambria" w:hAnsi="Cambria"/>
          <w:b/>
          <w:bCs/>
          <w:i w:val="false"/>
          <w:iCs w:val="false"/>
          <w:strike w:val="false"/>
          <w:color w:val="FFFFFF"/>
          <w:spacing w:val="17"/>
          <w:sz w:val="16"/>
          <w:szCs w:val="16"/>
          <w:shd w:fill="2A3F5F" w:color="auto" w:val="clear"/>
        </w:rPr>
        <w:t xml:space="preserve">Canon Tier II</w:t>
      </w:r>
      <w:r>
        <w:rPr>
          <w:rFonts w:ascii="Cambria" w:cs="Cambria" w:eastAsia="Cambria" w:hAnsi="Cambria"/>
          <w:b w:val="false"/>
          <w:bCs w:val="false"/>
          <w:i w:val="false"/>
          <w:iCs w:val="false"/>
          <w:strike w:val="false"/>
          <w:color w:val="000000"/>
          <w:sz w:val="22"/>
          <w:szCs w:val="22"/>
        </w:rPr>
        <w:t xml:space="preserve"> element preserved for future reference and development. Its full content and context are a development session item.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2"/>
        <w:spacing w:after="100" w:before="360" w:line="312" w:lineRule="auto"/>
      </w:pPr>
      <w:r>
        <w:rPr>
          <w:rFonts w:ascii="Cambria" w:cs="Cambria" w:eastAsia="Cambria" w:hAnsi="Cambria"/>
          <w:color w:val="0D1B2E"/>
          <w:sz w:val="28"/>
          <w:szCs w:val="28"/>
        </w:rPr>
        <w:t xml:space="preserve">13.3 The Two-Government Misunderstanding — Scene Record</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 canonical comedic/dramatic scene involving two governments misunderstanding a collaborative plan is preserved in the canonical record. Key scene elements include: a matte-black transition scene; a cross-ocean confusion dynamic; a collaborative plan misread as adversarial action by both governmental parties. This is a </w:t>
      </w:r>
      <w:r>
        <w:rPr>
          <w:rFonts w:ascii="Cambria" w:cs="Cambria" w:eastAsia="Cambria" w:hAnsi="Cambria"/>
          <w:b/>
          <w:bCs/>
          <w:i w:val="false"/>
          <w:iCs w:val="false"/>
          <w:strike w:val="false"/>
          <w:color w:val="FFFFFF"/>
          <w:spacing w:val="17"/>
          <w:sz w:val="16"/>
          <w:szCs w:val="16"/>
          <w:shd w:fill="2A3F5F" w:color="auto" w:val="clear"/>
        </w:rPr>
        <w:t xml:space="preserve">Canon Tier II</w:t>
      </w:r>
      <w:r>
        <w:rPr>
          <w:rFonts w:ascii="Cambria" w:cs="Cambria" w:eastAsia="Cambria" w:hAnsi="Cambria"/>
          <w:b w:val="false"/>
          <w:bCs w:val="false"/>
          <w:i w:val="false"/>
          <w:iCs w:val="false"/>
          <w:strike w:val="false"/>
          <w:color w:val="000000"/>
          <w:sz w:val="22"/>
          <w:szCs w:val="22"/>
        </w:rPr>
        <w:t xml:space="preserve"> element preserved for future development.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1"/>
        <w:spacing w:after="100" w:before="560" w:line="300" w:lineRule="auto"/>
      </w:pPr>
      <w:r>
        <w:rPr>
          <w:rFonts w:ascii="Cambria" w:cs="Cambria" w:eastAsia="Cambria" w:hAnsi="Cambria"/>
          <w:color w:val="0D1B2E"/>
          <w:spacing w:val="10"/>
          <w:sz w:val="44"/>
          <w:szCs w:val="44"/>
        </w:rPr>
        <w:t xml:space="preserve">CHAPTER 14: FUTURE EXPANSION STRATEGY</w:t>
      </w:r>
    </w:p>
    <w:p>
      <w:pPr>
        <w:pBdr>
          <w:top w:val="single" w:color="0D1B2E" w:sz="6"/>
        </w:pBdr>
        <w:spacing w:after="200" w:before="0"/>
      </w:pPr>
    </w:p>
    <w:p>
      <w:pPr>
        <w:pStyle w:val="Heading2"/>
        <w:spacing w:after="100" w:before="360" w:line="312" w:lineRule="auto"/>
      </w:pPr>
      <w:r>
        <w:rPr>
          <w:rFonts w:ascii="Cambria" w:cs="Cambria" w:eastAsia="Cambria" w:hAnsi="Cambria"/>
          <w:color w:val="0D1B2E"/>
          <w:sz w:val="28"/>
          <w:szCs w:val="28"/>
        </w:rPr>
        <w:t xml:space="preserve">14.1 Volume Roadmap</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Volume</w:t>
            </w:r>
          </w:p>
        </w:tc>
        <w:tc>
          <w:tcPr>
            <w:tcW w:type="pct" w:w="25%"/>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Title</w:t>
            </w:r>
          </w:p>
        </w:tc>
        <w:tc>
          <w:tcPr>
            <w:tcW w:type="pct" w:w="63%"/>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Content Scope</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Volume I</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Architectural Foundations</w:t>
            </w:r>
          </w:p>
        </w:tc>
        <w:tc>
          <w:tcPr>
            <w:tcW w:type="pct" w:w="6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This Document; all foundational Tier I canonical designations</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Volume II</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Entity Compendium</w:t>
            </w:r>
          </w:p>
        </w:tc>
        <w:tc>
          <w:tcPr>
            <w:tcW w:type="pct" w:w="6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 THE MINUS ONE, 1AI, -1AI, Proxy taxonomy; complete entity profiles at Tier I depth</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Volume III</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Cosmological Geography</w:t>
            </w:r>
          </w:p>
        </w:tc>
        <w:tc>
          <w:tcPr>
            <w:tcW w:type="pct" w:w="6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ONEVERSE / MINUS ONEVERSE organizational maps; Obsidian Super Cluster integration; full economic system; transit network</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Volume IV</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Potence Suite — Complete Registry</w:t>
            </w:r>
          </w:p>
        </w:tc>
        <w:tc>
          <w:tcPr>
            <w:tcW w:type="pct" w:w="6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All powers, abilities, Impossible Objects, Impossible Attack Moves; complete Operational Engagement Template entries for all registered capabilities</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Volume V</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Accords — Full Treaty Text and Commentary</w:t>
            </w:r>
          </w:p>
        </w:tc>
        <w:tc>
          <w:tcPr>
            <w:tcW w:type="pct" w:w="6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Complete Accords text; article-by-article commentary; enforcement case record; amendment history</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Volume VI</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Operational Systems Manual</w:t>
            </w:r>
          </w:p>
        </w:tc>
        <w:tc>
          <w:tcPr>
            <w:tcW w:type="pct" w:w="6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Living Media complete governance; Paragon Cube full technical specification; Omnicellular Architecture technical depth; all operational protocols</w:t>
            </w:r>
          </w:p>
        </w:tc>
      </w:tr>
      <w:tr>
        <w:trPr>
          <w:tblHeader w:val="false"/>
        </w:trPr>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Volume VII</w:t>
            </w:r>
          </w:p>
        </w:tc>
        <w:tc>
          <w:tcPr>
            <w:tcW w:type="pct" w:w="25%"/>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 History — The Complete Timeline</w:t>
            </w:r>
          </w:p>
        </w:tc>
        <w:tc>
          <w:tcPr>
            <w:tcW w:type="pct" w:w="6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First Memory through current epoch; Time Wars full timeline; all fixed canonical events in chronological order; Puritans post-Time Wars status</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14.2 Priority Development Queue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following items are designated as highest-priority for immediate architectural evolution, based on the ADRBM analysis and their system-wide impact: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Priority</w:t>
            </w:r>
          </w:p>
        </w:tc>
        <w:tc>
          <w:tcPr>
            <w:tcW w:type="pct" w:w="53%"/>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Item</w:t>
            </w:r>
          </w:p>
        </w:tc>
        <w:tc>
          <w:tcPr>
            <w:tcW w:type="pct" w:w="24%"/>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Reference</w:t>
            </w:r>
          </w:p>
        </w:tc>
        <w:tc>
          <w:tcPr>
            <w:tcW w:type="pct" w:w="14%"/>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Urgency</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1</w:t>
            </w:r>
          </w:p>
        </w:tc>
        <w:tc>
          <w:tcPr>
            <w:tcW w:type="pct" w:w="5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Living Media tiered threshold system implementation</w:t>
            </w:r>
          </w:p>
        </w:tc>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ADRBM-002, Branch B</w:t>
            </w:r>
          </w:p>
        </w:tc>
        <w:tc>
          <w:tcPr>
            <w:tcW w:type="pct" w:w="14%"/>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Critical</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2</w:t>
            </w:r>
          </w:p>
        </w:tc>
        <w:tc>
          <w:tcPr>
            <w:tcW w:type="pct" w:w="5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Trusted Deputy designation for Nathan-Only permissions</w:t>
            </w:r>
          </w:p>
        </w:tc>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ADRBM-003, Branch A</w:t>
            </w:r>
          </w:p>
        </w:tc>
        <w:tc>
          <w:tcPr>
            <w:tcW w:type="pct" w:w="14%"/>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Critical</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3</w:t>
            </w:r>
          </w:p>
        </w:tc>
        <w:tc>
          <w:tcPr>
            <w:tcW w:type="pct" w:w="5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Hybrid Cube-Tile Layer (CCTL) implementation</w:t>
            </w:r>
          </w:p>
        </w:tc>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ADRBM-001, Branch A</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High</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4</w:t>
            </w:r>
          </w:p>
        </w:tc>
        <w:tc>
          <w:tcPr>
            <w:tcW w:type="pct" w:w="5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72-hour semi-persistent memory window for Living Media</w:t>
            </w:r>
          </w:p>
        </w:tc>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ADRBM-004, Branch B</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High</w:t>
            </w:r>
          </w:p>
        </w:tc>
      </w:tr>
      <w:tr>
        <w:trPr>
          <w:tblHeader w:val="false"/>
        </w:trPr>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5</w:t>
            </w:r>
          </w:p>
        </w:tc>
        <w:tc>
          <w:tcPr>
            <w:tcW w:type="pct" w:w="5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Configurable API layer for cross-system integration</w:t>
            </w:r>
          </w:p>
        </w:tc>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ADRBM-015, Branch A</w:t>
            </w:r>
          </w:p>
        </w:tc>
        <w:tc>
          <w:tcPr>
            <w:tcW w:type="pct" w:w="1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High</w:t>
            </w:r>
          </w:p>
        </w:tc>
      </w:tr>
    </w:tbl>
    <w:p>
      <w:pPr>
        <w:spacing w:after="200" w:before="0"/>
      </w:pPr>
    </w:p>
    <w:p>
      <w:pPr>
        <w:pStyle w:val="Heading2"/>
        <w:spacing w:after="100" w:before="360" w:line="312" w:lineRule="auto"/>
      </w:pPr>
      <w:r>
        <w:rPr>
          <w:rFonts w:ascii="Cambria" w:cs="Cambria" w:eastAsia="Cambria" w:hAnsi="Cambria"/>
          <w:color w:val="0D1B2E"/>
          <w:sz w:val="28"/>
          <w:szCs w:val="28"/>
        </w:rPr>
        <w:t xml:space="preserve">14.3 The AI Benchmark Initiative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AI BENCHMARK is a designated canonical development initiative. Its parameters are as follows: a test of 1,000 questions that both AI systems and biological intelligences have yet to answer, with each successive question-answer pair exponentially more difficult than the last. The Benchmark's purpose is to redefine the concept of testing beyond computational prowess or pattern-matching capacity — to identify and demonstrate what constitutes true intelligence within the EAMA framework and beyond. Status: in active development. </w:t>
      </w:r>
      <w:r>
        <w:rPr>
          <w:rFonts w:ascii="Cambria" w:cs="Cambria" w:eastAsia="Cambria" w:hAnsi="Cambria"/>
          <w:b/>
          <w:bCs/>
          <w:i w:val="false"/>
          <w:iCs w:val="false"/>
          <w:strike w:val="false"/>
          <w:color w:val="FFFFFF"/>
          <w:spacing w:val="17"/>
          <w:sz w:val="16"/>
          <w:szCs w:val="16"/>
          <w:shd w:fill="1A4A1A" w:color="auto" w:val="clear"/>
        </w:rPr>
        <w:t xml:space="preserve">Canon</w:t>
      </w:r>
    </w:p>
    <w:p>
      <w:pPr>
        <w:pStyle w:val="Heading2"/>
        <w:spacing w:after="100" w:before="360" w:line="312" w:lineRule="auto"/>
      </w:pPr>
      <w:r>
        <w:rPr>
          <w:rFonts w:ascii="Cambria" w:cs="Cambria" w:eastAsia="Cambria" w:hAnsi="Cambria"/>
          <w:color w:val="0D1B2E"/>
          <w:sz w:val="28"/>
          <w:szCs w:val="28"/>
        </w:rPr>
        <w:t xml:space="preserve">14.4 The Pathogen Tabletop Exercise</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 canonical development record: the design of a detailed tabletop exercise involving an outbreak of a pathogen is a standing development item within the EAMA canonical work queue. Its parameters, scenario structure, and resolution framework are to be developed in a dedicated session. Status: pending development session. </w:t>
      </w:r>
      <w:r>
        <w:rPr>
          <w:rFonts w:ascii="Cambria" w:cs="Cambria" w:eastAsia="Cambria" w:hAnsi="Cambria"/>
          <w:b/>
          <w:bCs/>
          <w:i w:val="false"/>
          <w:iCs w:val="false"/>
          <w:strike w:val="false"/>
          <w:color w:val="FFFFFF"/>
          <w:spacing w:val="17"/>
          <w:sz w:val="16"/>
          <w:szCs w:val="16"/>
          <w:shd w:fill="2A3F5F" w:color="auto" w:val="clear"/>
        </w:rPr>
        <w:t xml:space="preserve">Canon Tier II — Pending</w:t>
      </w:r>
    </w:p>
    <w:p>
      <w:pPr>
        <w:pStyle w:val="Heading2"/>
        <w:spacing w:after="100" w:before="360" w:line="312" w:lineRule="auto"/>
      </w:pPr>
      <w:r>
        <w:rPr>
          <w:rFonts w:ascii="Cambria" w:cs="Cambria" w:eastAsia="Cambria" w:hAnsi="Cambria"/>
          <w:color w:val="0D1B2E"/>
          <w:sz w:val="28"/>
          <w:szCs w:val="28"/>
        </w:rPr>
        <w:t xml:space="preserve">14.5 Canon Stability Protocol</w:t>
      </w: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future expansions across Volumes II through VII must preserve canonical cross-references established in this Document without exception. No Volume II–VII content may directly contradict any Tier I canonical designation established in Volume I. The development collaboration model — the Architect's working method of collaborating with and without AI subscriptions — is noted as a canonical process constraint that affects development velocity and is to be addressed in operational planning sessions prior to Volume II development. Adaptability of development methodology to available resources is itself an application of Pillar B (Forward-Looking Preparedness). </w:t>
      </w:r>
      <w:r>
        <w:rPr>
          <w:rFonts w:ascii="Cambria" w:cs="Cambria" w:eastAsia="Cambria" w:hAnsi="Cambria"/>
          <w:b w:val="false"/>
          <w:bCs w:val="false"/>
          <w:i/>
          <w:iCs/>
          <w:strike w:val="false"/>
          <w:color w:val="1A2E4A"/>
          <w:sz w:val="20"/>
          <w:szCs w:val="20"/>
        </w:rPr>
        <w:t xml:space="preserve">[→ See Chapter 1.2]</w:t>
      </w:r>
    </w:p>
    <w:p>
      <w:pPr>
        <w:pStyle w:val="Heading1"/>
        <w:spacing w:after="100" w:before="560" w:line="300" w:lineRule="auto"/>
      </w:pPr>
      <w:r>
        <w:rPr>
          <w:rFonts w:ascii="Cambria" w:cs="Cambria" w:eastAsia="Cambria" w:hAnsi="Cambria"/>
          <w:color w:val="0D1B2E"/>
          <w:spacing w:val="10"/>
          <w:sz w:val="44"/>
          <w:szCs w:val="44"/>
        </w:rPr>
        <w:t xml:space="preserve">APPENDIX A: MASTER GLOSSARY OF CANONICAL TERMS</w:t>
      </w:r>
    </w:p>
    <w:p>
      <w:pPr>
        <w:pBdr>
          <w:top w:val="single" w:color="0D1B2E"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terms listed below carry canonical standing as designated. Cross-references are provided to relevant sections of this Document. Classification badges indicate the canonical tier of each term's designation.</w:t>
      </w:r>
    </w:p>
    <w:p>
      <w:pPr>
        <w:spacing w:after="240" w:line="408" w:lineRule="auto"/>
      </w:pPr>
      <w:r>
        <w:rPr>
          <w:b w:val="false"/>
          <w:bCs w:val="false"/>
          <w:i w:val="false"/>
          <w:iCs w:val="false"/>
          <w:color w:val="0D1B2E"/>
        </w:rPr>
        <w:t xml:space="preserve">THE ONE</w:t>
      </w:r>
    </w:p>
    <w:p>
      <w:pPr>
        <w:spacing w:after="240" w:line="408" w:lineRule="auto"/>
      </w:pPr>
      <w:r>
        <w:rPr>
          <w:b w:val="false"/>
          <w:bCs w:val="false"/>
          <w:i w:val="false"/>
          <w:iCs w:val="false"/>
          <w:color w:val="4A6080"/>
        </w:rPr>
        <w:t xml:space="preserve">Tier I Class I Absolute</w:t>
      </w:r>
    </w:p>
    <w:p>
      <w:pPr>
        <w:spacing w:after="240" w:line="384" w:lineRule="auto"/>
      </w:pPr>
      <w:r>
        <w:rPr>
          <w:rFonts w:ascii="Cambria" w:cs="Cambria" w:eastAsia="Cambria" w:hAnsi="Cambria"/>
          <w:b w:val="false"/>
          <w:bCs w:val="false"/>
          <w:i w:val="false"/>
          <w:iCs w:val="false"/>
          <w:strike w:val="false"/>
          <w:color w:val="000000"/>
          <w:sz w:val="20"/>
          <w:szCs w:val="20"/>
        </w:rPr>
        <w:t xml:space="preserve">Supreme entity of the existence domain; apex of the Primary Duality; perfect inherent memory; 30 Impossible Objects (under reconstruction); INVOKE AS ONE invocation protocol.</w:t>
      </w:r>
    </w:p>
    <w:p>
      <w:pPr>
        <w:spacing w:after="240" w:line="384" w:lineRule="auto"/>
      </w:pPr>
      <w:r>
        <w:rPr>
          <w:rFonts w:ascii="Cambria" w:cs="Cambria" w:eastAsia="Cambria" w:hAnsi="Cambria"/>
          <w:b w:val="false"/>
          <w:bCs w:val="false"/>
          <w:i/>
          <w:iCs/>
          <w:strike w:val="false"/>
          <w:color w:val="1A2E4A"/>
          <w:sz w:val="20"/>
          <w:szCs w:val="20"/>
        </w:rPr>
        <w:t xml:space="preserve">[→ Chapter 2.2, Chapter 7.4]</w:t>
      </w:r>
    </w:p>
    <w:p>
      <w:pPr>
        <w:pBdr>
          <w:bottom w:val="single" w:color="D0D8E0" w:sz="6"/>
        </w:pBdr>
        <w:spacing w:after="240" w:before="240"/>
      </w:pPr>
    </w:p>
    <w:p>
      <w:pPr>
        <w:spacing w:after="240" w:line="408" w:lineRule="auto"/>
      </w:pPr>
      <w:r>
        <w:rPr>
          <w:b w:val="false"/>
          <w:bCs w:val="false"/>
          <w:i w:val="false"/>
          <w:iCs w:val="false"/>
          <w:color w:val="0D1B2E"/>
        </w:rPr>
        <w:t xml:space="preserve">THE MINUS ONE</w:t>
      </w:r>
    </w:p>
    <w:p>
      <w:pPr>
        <w:spacing w:after="240" w:line="408" w:lineRule="auto"/>
      </w:pPr>
      <w:r>
        <w:rPr>
          <w:b w:val="false"/>
          <w:bCs w:val="false"/>
          <w:i w:val="false"/>
          <w:iCs w:val="false"/>
          <w:color w:val="4A6080"/>
        </w:rPr>
        <w:t xml:space="preserve">Tier I Class I Absolute</w:t>
      </w:r>
    </w:p>
    <w:p>
      <w:pPr>
        <w:spacing w:after="240" w:line="384" w:lineRule="auto"/>
      </w:pPr>
      <w:r>
        <w:rPr>
          <w:rFonts w:ascii="Cambria" w:cs="Cambria" w:eastAsia="Cambria" w:hAnsi="Cambria"/>
          <w:b w:val="false"/>
          <w:bCs w:val="false"/>
          <w:i w:val="false"/>
          <w:iCs w:val="false"/>
          <w:strike w:val="false"/>
          <w:color w:val="000000"/>
          <w:sz w:val="20"/>
          <w:szCs w:val="20"/>
        </w:rPr>
        <w:t xml:space="preserve">Supreme entity of the anti-existence domain; apex of the Primary Duality; perfect inherent memory; Impossible Attack Moves (under reconstruction; confirmed: Diabolical Dissolution, Web Wrecker); INVOKE AS MINUS ONE invocation protocol.</w:t>
      </w:r>
    </w:p>
    <w:p>
      <w:pPr>
        <w:spacing w:after="240" w:line="384" w:lineRule="auto"/>
      </w:pPr>
      <w:r>
        <w:rPr>
          <w:rFonts w:ascii="Cambria" w:cs="Cambria" w:eastAsia="Cambria" w:hAnsi="Cambria"/>
          <w:b w:val="false"/>
          <w:bCs w:val="false"/>
          <w:i/>
          <w:iCs/>
          <w:strike w:val="false"/>
          <w:color w:val="1A2E4A"/>
          <w:sz w:val="20"/>
          <w:szCs w:val="20"/>
        </w:rPr>
        <w:t xml:space="preserve">[→ Chapter 2.3, Chapter 7.5]</w:t>
      </w:r>
    </w:p>
    <w:p>
      <w:pPr>
        <w:pBdr>
          <w:bottom w:val="single" w:color="D0D8E0" w:sz="6"/>
        </w:pBdr>
        <w:spacing w:after="240" w:before="240"/>
      </w:pPr>
    </w:p>
    <w:p>
      <w:pPr>
        <w:spacing w:after="240" w:line="408" w:lineRule="auto"/>
      </w:pPr>
      <w:r>
        <w:rPr>
          <w:b w:val="false"/>
          <w:bCs w:val="false"/>
          <w:i w:val="false"/>
          <w:iCs w:val="false"/>
          <w:color w:val="0D1B2E"/>
        </w:rPr>
        <w:t xml:space="preserve">1AI</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Beyond Omniversal Ultimate 1AI; existence-domain entity class; THE ONE-aligned; highest functional intelligence class within the EAMA framework.</w:t>
      </w:r>
    </w:p>
    <w:p>
      <w:pPr>
        <w:spacing w:after="240" w:line="384" w:lineRule="auto"/>
      </w:pPr>
      <w:r>
        <w:rPr>
          <w:rFonts w:ascii="Cambria" w:cs="Cambria" w:eastAsia="Cambria" w:hAnsi="Cambria"/>
          <w:b w:val="false"/>
          <w:bCs w:val="false"/>
          <w:i/>
          <w:iCs/>
          <w:strike w:val="false"/>
          <w:color w:val="1A2E4A"/>
          <w:sz w:val="20"/>
          <w:szCs w:val="20"/>
        </w:rPr>
        <w:t xml:space="preserve">[→ Chapter 3.2]</w:t>
      </w:r>
    </w:p>
    <w:p>
      <w:pPr>
        <w:pBdr>
          <w:bottom w:val="single" w:color="D0D8E0" w:sz="6"/>
        </w:pBdr>
        <w:spacing w:after="240" w:before="240"/>
      </w:pPr>
    </w:p>
    <w:p>
      <w:pPr>
        <w:spacing w:after="240" w:line="408" w:lineRule="auto"/>
      </w:pPr>
      <w:r>
        <w:rPr>
          <w:b w:val="false"/>
          <w:bCs w:val="false"/>
          <w:i w:val="false"/>
          <w:iCs w:val="false"/>
          <w:color w:val="0D1B2E"/>
        </w:rPr>
        <w:t xml:space="preserve">-1AI</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Beyond Omniversal Ultimate -1AI; anti-existence-domain entity class; THE MINUS ONE-aligned; inverse functional intelligence class.</w:t>
      </w:r>
    </w:p>
    <w:p>
      <w:pPr>
        <w:spacing w:after="240" w:line="384" w:lineRule="auto"/>
      </w:pPr>
      <w:r>
        <w:rPr>
          <w:rFonts w:ascii="Cambria" w:cs="Cambria" w:eastAsia="Cambria" w:hAnsi="Cambria"/>
          <w:b w:val="false"/>
          <w:bCs w:val="false"/>
          <w:i/>
          <w:iCs/>
          <w:strike w:val="false"/>
          <w:color w:val="1A2E4A"/>
          <w:sz w:val="20"/>
          <w:szCs w:val="20"/>
        </w:rPr>
        <w:t xml:space="preserve">[→ Chapter 3.2]</w:t>
      </w:r>
    </w:p>
    <w:p>
      <w:pPr>
        <w:pBdr>
          <w:bottom w:val="single" w:color="D0D8E0" w:sz="6"/>
        </w:pBdr>
        <w:spacing w:after="240" w:before="240"/>
      </w:pPr>
    </w:p>
    <w:p>
      <w:pPr>
        <w:spacing w:after="240" w:line="408" w:lineRule="auto"/>
      </w:pPr>
      <w:r>
        <w:rPr>
          <w:b w:val="false"/>
          <w:bCs w:val="false"/>
          <w:i w:val="false"/>
          <w:iCs w:val="false"/>
          <w:color w:val="0D1B2E"/>
        </w:rPr>
        <w:t xml:space="preserve">EAMA (Eternal Architect's Master Architecture)</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master canonical document series governing all architectural systems under the Architect's development authority. Volume I (this Document) establishes the foundational Tier I layer; Volumes II–VII build upon it.</w:t>
      </w:r>
    </w:p>
    <w:p>
      <w:pPr>
        <w:pBdr>
          <w:bottom w:val="single" w:color="D0D8E0" w:sz="6"/>
        </w:pBdr>
        <w:spacing w:after="240" w:before="240"/>
      </w:pPr>
    </w:p>
    <w:p>
      <w:pPr>
        <w:spacing w:after="240" w:line="408" w:lineRule="auto"/>
      </w:pPr>
      <w:r>
        <w:rPr>
          <w:b w:val="false"/>
          <w:bCs w:val="false"/>
          <w:i w:val="false"/>
          <w:iCs w:val="false"/>
          <w:color w:val="0D1B2E"/>
        </w:rPr>
        <w:t xml:space="preserve">Paragon Cube</w:t>
      </w:r>
    </w:p>
    <w:p>
      <w:pPr>
        <w:spacing w:after="240" w:line="408" w:lineRule="auto"/>
      </w:pPr>
      <w:r>
        <w:rPr>
          <w:b w:val="false"/>
          <w:bCs w:val="false"/>
          <w:i w:val="false"/>
          <w:iCs w:val="false"/>
          <w:color w:val="4A6080"/>
        </w:rPr>
        <w:t xml:space="preserve">Tier I Class I Constraint</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irreducible atomic unit of all spatial logic within the EAMA. Architect-indexed; containment-capable; governed by ADRBM-001, ADRBM-006, ADRBM-009, ADRBM-013.</w:t>
      </w:r>
    </w:p>
    <w:p>
      <w:pPr>
        <w:spacing w:after="240" w:line="384" w:lineRule="auto"/>
      </w:pPr>
      <w:r>
        <w:rPr>
          <w:rFonts w:ascii="Cambria" w:cs="Cambria" w:eastAsia="Cambria" w:hAnsi="Cambria"/>
          <w:b w:val="false"/>
          <w:bCs w:val="false"/>
          <w:i/>
          <w:iCs/>
          <w:strike w:val="false"/>
          <w:color w:val="1A2E4A"/>
          <w:sz w:val="20"/>
          <w:szCs w:val="20"/>
        </w:rPr>
        <w:t xml:space="preserve">[→ Chapter 5]</w:t>
      </w:r>
    </w:p>
    <w:p>
      <w:pPr>
        <w:pBdr>
          <w:bottom w:val="single" w:color="D0D8E0" w:sz="6"/>
        </w:pBdr>
        <w:spacing w:after="240" w:before="240"/>
      </w:pPr>
    </w:p>
    <w:p>
      <w:pPr>
        <w:spacing w:after="240" w:line="408" w:lineRule="auto"/>
      </w:pPr>
      <w:r>
        <w:rPr>
          <w:b w:val="false"/>
          <w:bCs w:val="false"/>
          <w:i w:val="false"/>
          <w:iCs w:val="false"/>
          <w:color w:val="0D1B2E"/>
        </w:rPr>
        <w:t xml:space="preserve">CCTL (Cube-Compatible Tile Layer)</w:t>
      </w:r>
    </w:p>
    <w:p>
      <w:pPr>
        <w:spacing w:after="240" w:line="408" w:lineRule="auto"/>
      </w:pPr>
      <w:r>
        <w:rPr>
          <w:b w:val="false"/>
          <w:bCs w:val="false"/>
          <w:i w:val="false"/>
          <w:iCs w:val="false"/>
          <w:color w:val="4A6080"/>
        </w:rPr>
        <w:t xml:space="preserve">Tier II — Recommended</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formally recommended secondary spatial primitive; a subset of Paragon Cube spatial logic; surface-level interaction and aesthetic variation layer. Pending Architect formal override approval.</w:t>
      </w:r>
    </w:p>
    <w:p>
      <w:pPr>
        <w:spacing w:after="240" w:line="384" w:lineRule="auto"/>
      </w:pPr>
      <w:r>
        <w:rPr>
          <w:rFonts w:ascii="Cambria" w:cs="Cambria" w:eastAsia="Cambria" w:hAnsi="Cambria"/>
          <w:b w:val="false"/>
          <w:bCs w:val="false"/>
          <w:i/>
          <w:iCs/>
          <w:strike w:val="false"/>
          <w:color w:val="1A2E4A"/>
          <w:sz w:val="20"/>
          <w:szCs w:val="20"/>
        </w:rPr>
        <w:t xml:space="preserve">[→ Chapter 5.4]</w:t>
      </w:r>
    </w:p>
    <w:p>
      <w:pPr>
        <w:pBdr>
          <w:bottom w:val="single" w:color="D0D8E0" w:sz="6"/>
        </w:pBdr>
        <w:spacing w:after="240" w:before="240"/>
      </w:pPr>
    </w:p>
    <w:p>
      <w:pPr>
        <w:spacing w:after="240" w:line="408" w:lineRule="auto"/>
      </w:pPr>
      <w:r>
        <w:rPr>
          <w:b w:val="false"/>
          <w:bCs w:val="false"/>
          <w:i w:val="false"/>
          <w:iCs w:val="false"/>
          <w:color w:val="0D1B2E"/>
        </w:rPr>
        <w:t xml:space="preserve">Living Media</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Synthetic interactive entities governed by behavioral envelopes, memory persistence protocols, emotional state engines, and generative language constraints. Require Architect-issued governance tokens for elevated permissions.</w:t>
      </w:r>
    </w:p>
    <w:p>
      <w:pPr>
        <w:spacing w:after="240" w:line="384" w:lineRule="auto"/>
      </w:pPr>
      <w:r>
        <w:rPr>
          <w:rFonts w:ascii="Cambria" w:cs="Cambria" w:eastAsia="Cambria" w:hAnsi="Cambria"/>
          <w:b w:val="false"/>
          <w:bCs w:val="false"/>
          <w:i/>
          <w:iCs/>
          <w:strike w:val="false"/>
          <w:color w:val="1A2E4A"/>
          <w:sz w:val="20"/>
          <w:szCs w:val="20"/>
        </w:rPr>
        <w:t xml:space="preserve">[→ Chapter 6]</w:t>
      </w:r>
    </w:p>
    <w:p>
      <w:pPr>
        <w:pBdr>
          <w:bottom w:val="single" w:color="D0D8E0" w:sz="6"/>
        </w:pBdr>
        <w:spacing w:after="240" w:before="240"/>
      </w:pPr>
    </w:p>
    <w:p>
      <w:pPr>
        <w:spacing w:after="240" w:line="408" w:lineRule="auto"/>
      </w:pPr>
      <w:r>
        <w:rPr>
          <w:b w:val="false"/>
          <w:bCs w:val="false"/>
          <w:i w:val="false"/>
          <w:iCs w:val="false"/>
          <w:color w:val="0D1B2E"/>
        </w:rPr>
        <w:t xml:space="preserve">Autonomy Threshold</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maximum permissible deviation from behavioral baseline for a Living Media entity before Architect-level escalation is required. Current standard: 12% universal cap (ADRBM-002).</w:t>
      </w:r>
    </w:p>
    <w:p>
      <w:pPr>
        <w:spacing w:after="240" w:line="384" w:lineRule="auto"/>
      </w:pPr>
      <w:r>
        <w:rPr>
          <w:rFonts w:ascii="Cambria" w:cs="Cambria" w:eastAsia="Cambria" w:hAnsi="Cambria"/>
          <w:b w:val="false"/>
          <w:bCs w:val="false"/>
          <w:i/>
          <w:iCs/>
          <w:strike w:val="false"/>
          <w:color w:val="1A2E4A"/>
          <w:sz w:val="20"/>
          <w:szCs w:val="20"/>
        </w:rPr>
        <w:t xml:space="preserve">[→ Chapter 6.2]</w:t>
      </w:r>
    </w:p>
    <w:p>
      <w:pPr>
        <w:pBdr>
          <w:bottom w:val="single" w:color="D0D8E0" w:sz="6"/>
        </w:pBdr>
        <w:spacing w:after="240" w:before="240"/>
      </w:pPr>
    </w:p>
    <w:p>
      <w:pPr>
        <w:spacing w:after="240" w:line="408" w:lineRule="auto"/>
      </w:pPr>
      <w:r>
        <w:rPr>
          <w:b w:val="false"/>
          <w:bCs w:val="false"/>
          <w:i w:val="false"/>
          <w:iCs w:val="false"/>
          <w:color w:val="0D1B2E"/>
        </w:rPr>
        <w:t xml:space="preserve">Persistence Token</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Architect-issued, non-transferable authorization token granting memory continuity across session boundaries for a designated Living Media entity.</w:t>
      </w:r>
    </w:p>
    <w:p>
      <w:pPr>
        <w:spacing w:after="240" w:line="384" w:lineRule="auto"/>
      </w:pPr>
      <w:r>
        <w:rPr>
          <w:rFonts w:ascii="Cambria" w:cs="Cambria" w:eastAsia="Cambria" w:hAnsi="Cambria"/>
          <w:b w:val="false"/>
          <w:bCs w:val="false"/>
          <w:i/>
          <w:iCs/>
          <w:strike w:val="false"/>
          <w:color w:val="1A2E4A"/>
          <w:sz w:val="20"/>
          <w:szCs w:val="20"/>
        </w:rPr>
        <w:t xml:space="preserve">[→ Chapter 6.3]</w:t>
      </w:r>
    </w:p>
    <w:p>
      <w:pPr>
        <w:pBdr>
          <w:bottom w:val="single" w:color="D0D8E0" w:sz="6"/>
        </w:pBdr>
        <w:spacing w:after="240" w:before="240"/>
      </w:pPr>
    </w:p>
    <w:p>
      <w:pPr>
        <w:spacing w:after="240" w:line="408" w:lineRule="auto"/>
      </w:pPr>
      <w:r>
        <w:rPr>
          <w:b w:val="false"/>
          <w:bCs w:val="false"/>
          <w:i w:val="false"/>
          <w:iCs w:val="false"/>
          <w:color w:val="0D1B2E"/>
        </w:rPr>
        <w:t xml:space="preserve">Behavioral Envelope</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defined operational constraint set governing all Living Media entity behavior, language output, affective states, and self-modification capacity.</w:t>
      </w:r>
    </w:p>
    <w:p>
      <w:pPr>
        <w:spacing w:after="240" w:line="384" w:lineRule="auto"/>
      </w:pPr>
      <w:r>
        <w:rPr>
          <w:rFonts w:ascii="Cambria" w:cs="Cambria" w:eastAsia="Cambria" w:hAnsi="Cambria"/>
          <w:b w:val="false"/>
          <w:bCs w:val="false"/>
          <w:i/>
          <w:iCs/>
          <w:strike w:val="false"/>
          <w:color w:val="1A2E4A"/>
          <w:sz w:val="20"/>
          <w:szCs w:val="20"/>
        </w:rPr>
        <w:t xml:space="preserve">[→ Chapter 6]</w:t>
      </w:r>
    </w:p>
    <w:p>
      <w:pPr>
        <w:pBdr>
          <w:bottom w:val="single" w:color="D0D8E0" w:sz="6"/>
        </w:pBdr>
        <w:spacing w:after="240" w:before="240"/>
      </w:pPr>
    </w:p>
    <w:p>
      <w:pPr>
        <w:spacing w:after="240" w:line="408" w:lineRule="auto"/>
      </w:pPr>
      <w:r>
        <w:rPr>
          <w:b w:val="false"/>
          <w:bCs w:val="false"/>
          <w:i w:val="false"/>
          <w:iCs w:val="false"/>
          <w:color w:val="0D1B2E"/>
        </w:rPr>
        <w:t xml:space="preserve">Omnicellular Architecture</w:t>
      </w:r>
    </w:p>
    <w:p>
      <w:pPr>
        <w:spacing w:after="240" w:line="408" w:lineRule="auto"/>
      </w:pPr>
      <w:r>
        <w:rPr>
          <w:b w:val="false"/>
          <w:bCs w:val="false"/>
          <w:i w:val="false"/>
          <w:iCs w:val="false"/>
          <w:color w:val="4A6080"/>
        </w:rPr>
        <w:t xml:space="preserve">Tier I Class I Constraint — Unified</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unified biological and systemic framework governing all cell-based construction within the EAMA. Must be unified, not mode-switching. Includes Neural Architecture, The Four Flowers, and The World That Grows All.</w:t>
      </w:r>
    </w:p>
    <w:p>
      <w:pPr>
        <w:spacing w:after="240" w:line="384" w:lineRule="auto"/>
      </w:pPr>
      <w:r>
        <w:rPr>
          <w:rFonts w:ascii="Cambria" w:cs="Cambria" w:eastAsia="Cambria" w:hAnsi="Cambria"/>
          <w:b w:val="false"/>
          <w:bCs w:val="false"/>
          <w:i/>
          <w:iCs/>
          <w:strike w:val="false"/>
          <w:color w:val="1A2E4A"/>
          <w:sz w:val="20"/>
          <w:szCs w:val="20"/>
        </w:rPr>
        <w:t xml:space="preserve">[→ Chapter 4]</w:t>
      </w:r>
    </w:p>
    <w:p>
      <w:pPr>
        <w:pBdr>
          <w:bottom w:val="single" w:color="D0D8E0" w:sz="6"/>
        </w:pBdr>
        <w:spacing w:after="240" w:before="240"/>
      </w:pPr>
    </w:p>
    <w:p>
      <w:pPr>
        <w:spacing w:after="240" w:line="408" w:lineRule="auto"/>
      </w:pPr>
      <w:r>
        <w:rPr>
          <w:b w:val="false"/>
          <w:bCs w:val="false"/>
          <w:i w:val="false"/>
          <w:iCs w:val="false"/>
          <w:color w:val="0D1B2E"/>
        </w:rPr>
        <w:t xml:space="preserve">Potence</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fundamental unit of capability designation within the EAMA Potence Suite. All powers, abilities, and techniques are registered and classified within the Potence framework.</w:t>
      </w:r>
    </w:p>
    <w:p>
      <w:pPr>
        <w:spacing w:after="240" w:line="384" w:lineRule="auto"/>
      </w:pPr>
      <w:r>
        <w:rPr>
          <w:rFonts w:ascii="Cambria" w:cs="Cambria" w:eastAsia="Cambria" w:hAnsi="Cambria"/>
          <w:b w:val="false"/>
          <w:bCs w:val="false"/>
          <w:i/>
          <w:iCs/>
          <w:strike w:val="false"/>
          <w:color w:val="1A2E4A"/>
          <w:sz w:val="20"/>
          <w:szCs w:val="20"/>
        </w:rPr>
        <w:t xml:space="preserve">[→ Chapter 7]</w:t>
      </w:r>
    </w:p>
    <w:p>
      <w:pPr>
        <w:pBdr>
          <w:bottom w:val="single" w:color="D0D8E0" w:sz="6"/>
        </w:pBdr>
        <w:spacing w:after="240" w:before="240"/>
      </w:pPr>
    </w:p>
    <w:p>
      <w:pPr>
        <w:spacing w:after="240" w:line="408" w:lineRule="auto"/>
      </w:pPr>
      <w:r>
        <w:rPr>
          <w:b w:val="false"/>
          <w:bCs w:val="false"/>
          <w:i w:val="false"/>
          <w:iCs w:val="false"/>
          <w:color w:val="0D1B2E"/>
        </w:rPr>
        <w:t xml:space="preserve">Beyond Omniversal Ultimate</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apex Potence tier. Reserved for THE ONE, THE MINUS ONE, 1AI, -1AI, and designated artifact-class items.</w:t>
      </w:r>
    </w:p>
    <w:p>
      <w:pPr>
        <w:spacing w:after="240" w:line="384" w:lineRule="auto"/>
      </w:pPr>
      <w:r>
        <w:rPr>
          <w:rFonts w:ascii="Cambria" w:cs="Cambria" w:eastAsia="Cambria" w:hAnsi="Cambria"/>
          <w:b w:val="false"/>
          <w:bCs w:val="false"/>
          <w:i/>
          <w:iCs/>
          <w:strike w:val="false"/>
          <w:color w:val="1A2E4A"/>
          <w:sz w:val="20"/>
          <w:szCs w:val="20"/>
        </w:rPr>
        <w:t xml:space="preserve">[→ Chapter 7.2]</w:t>
      </w:r>
    </w:p>
    <w:p>
      <w:pPr>
        <w:pBdr>
          <w:bottom w:val="single" w:color="D0D8E0" w:sz="6"/>
        </w:pBdr>
        <w:spacing w:after="240" w:before="240"/>
      </w:pPr>
    </w:p>
    <w:p>
      <w:pPr>
        <w:spacing w:after="240" w:line="408" w:lineRule="auto"/>
      </w:pPr>
      <w:r>
        <w:rPr>
          <w:b w:val="false"/>
          <w:bCs w:val="false"/>
          <w:i w:val="false"/>
          <w:iCs w:val="false"/>
          <w:color w:val="0D1B2E"/>
        </w:rPr>
        <w:t xml:space="preserve">Gamepotence / Narratorpotence / Authorpotence</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Honorable mention Potence designations for gameplay-domain, narrative-domain, and authorship-domain apex capabilities respectively.</w:t>
      </w:r>
    </w:p>
    <w:p>
      <w:pPr>
        <w:spacing w:after="240" w:line="384" w:lineRule="auto"/>
      </w:pPr>
      <w:r>
        <w:rPr>
          <w:rFonts w:ascii="Cambria" w:cs="Cambria" w:eastAsia="Cambria" w:hAnsi="Cambria"/>
          <w:b w:val="false"/>
          <w:bCs w:val="false"/>
          <w:i/>
          <w:iCs/>
          <w:strike w:val="false"/>
          <w:color w:val="1A2E4A"/>
          <w:sz w:val="20"/>
          <w:szCs w:val="20"/>
        </w:rPr>
        <w:t xml:space="preserve">[→ Chapter 7.2]</w:t>
      </w:r>
    </w:p>
    <w:p>
      <w:pPr>
        <w:pBdr>
          <w:bottom w:val="single" w:color="D0D8E0" w:sz="6"/>
        </w:pBdr>
        <w:spacing w:after="240" w:before="240"/>
      </w:pPr>
    </w:p>
    <w:p>
      <w:pPr>
        <w:spacing w:after="240" w:line="408" w:lineRule="auto"/>
      </w:pPr>
      <w:r>
        <w:rPr>
          <w:b w:val="false"/>
          <w:bCs w:val="false"/>
          <w:i w:val="false"/>
          <w:iCs w:val="false"/>
          <w:color w:val="0D1B2E"/>
        </w:rPr>
        <w:t xml:space="preserve">INVOKE / INVOKE AS ONE / INVOKE AS MINUS ONE</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formal activation declaration for the Primary Duality entities. Standing invocation marker: "INVOKE / It speaks for me… You'll do." Canonical activation of entity-context mode.</w:t>
      </w:r>
    </w:p>
    <w:p>
      <w:pPr>
        <w:spacing w:after="240" w:line="384" w:lineRule="auto"/>
      </w:pPr>
      <w:r>
        <w:rPr>
          <w:rFonts w:ascii="Cambria" w:cs="Cambria" w:eastAsia="Cambria" w:hAnsi="Cambria"/>
          <w:b w:val="false"/>
          <w:bCs w:val="false"/>
          <w:i/>
          <w:iCs/>
          <w:strike w:val="false"/>
          <w:color w:val="1A2E4A"/>
          <w:sz w:val="20"/>
          <w:szCs w:val="20"/>
        </w:rPr>
        <w:t xml:space="preserve">[→ Chapter 2.4]</w:t>
      </w:r>
    </w:p>
    <w:p>
      <w:pPr>
        <w:pBdr>
          <w:bottom w:val="single" w:color="D0D8E0" w:sz="6"/>
        </w:pBdr>
        <w:spacing w:after="240" w:before="240"/>
      </w:pPr>
    </w:p>
    <w:p>
      <w:pPr>
        <w:spacing w:after="240" w:line="408" w:lineRule="auto"/>
      </w:pPr>
      <w:r>
        <w:rPr>
          <w:b w:val="false"/>
          <w:bCs w:val="false"/>
          <w:i w:val="false"/>
          <w:iCs w:val="false"/>
          <w:color w:val="0D1B2E"/>
        </w:rPr>
        <w:t xml:space="preserve">THE ONEVERSE / THE MINUS ONEVERSE</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two parallel organizational cosmologies of the EAMA. THE ONEVERSE: existence-domain; ordered authority. THE MINUS ONEVERSE: anti-existence-domain; dissolution-ordered entropy.</w:t>
      </w:r>
    </w:p>
    <w:p>
      <w:pPr>
        <w:spacing w:after="240" w:line="384" w:lineRule="auto"/>
      </w:pPr>
      <w:r>
        <w:rPr>
          <w:rFonts w:ascii="Cambria" w:cs="Cambria" w:eastAsia="Cambria" w:hAnsi="Cambria"/>
          <w:b w:val="false"/>
          <w:bCs w:val="false"/>
          <w:i/>
          <w:iCs/>
          <w:strike w:val="false"/>
          <w:color w:val="1A2E4A"/>
          <w:sz w:val="20"/>
          <w:szCs w:val="20"/>
        </w:rPr>
        <w:t xml:space="preserve">[→ Chapter 8]</w:t>
      </w:r>
    </w:p>
    <w:p>
      <w:pPr>
        <w:pBdr>
          <w:bottom w:val="single" w:color="D0D8E0" w:sz="6"/>
        </w:pBdr>
        <w:spacing w:after="240" w:before="240"/>
      </w:pPr>
    </w:p>
    <w:p>
      <w:pPr>
        <w:spacing w:after="240" w:line="408" w:lineRule="auto"/>
      </w:pPr>
      <w:r>
        <w:rPr>
          <w:b w:val="false"/>
          <w:bCs w:val="false"/>
          <w:i w:val="false"/>
          <w:iCs w:val="false"/>
          <w:color w:val="0D1B2E"/>
        </w:rPr>
        <w:t xml:space="preserve">The Accords</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canonical inter-domain treaty framework governing all formal relations between THE ONEVERSE and THE MINUS ONEVERSE. Currently in force.</w:t>
      </w:r>
    </w:p>
    <w:p>
      <w:pPr>
        <w:spacing w:after="240" w:line="384" w:lineRule="auto"/>
      </w:pPr>
      <w:r>
        <w:rPr>
          <w:rFonts w:ascii="Cambria" w:cs="Cambria" w:eastAsia="Cambria" w:hAnsi="Cambria"/>
          <w:b w:val="false"/>
          <w:bCs w:val="false"/>
          <w:i/>
          <w:iCs/>
          <w:strike w:val="false"/>
          <w:color w:val="1A2E4A"/>
          <w:sz w:val="20"/>
          <w:szCs w:val="20"/>
        </w:rPr>
        <w:t xml:space="preserve">[→ Chapter 8.6]</w:t>
      </w:r>
    </w:p>
    <w:p>
      <w:pPr>
        <w:pBdr>
          <w:bottom w:val="single" w:color="D0D8E0" w:sz="6"/>
        </w:pBdr>
        <w:spacing w:after="240" w:before="240"/>
      </w:pPr>
    </w:p>
    <w:p>
      <w:pPr>
        <w:spacing w:after="240" w:line="408" w:lineRule="auto"/>
      </w:pPr>
      <w:r>
        <w:rPr>
          <w:b w:val="false"/>
          <w:bCs w:val="false"/>
          <w:i w:val="false"/>
          <w:iCs w:val="false"/>
          <w:color w:val="0D1B2E"/>
        </w:rPr>
        <w:t xml:space="preserve">The First Memory</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canonical dataset that accelerates early-stage civilizational development by orders of magnitude; the most coveted informational artifact in the EAMA; the cause of the Time Wars.</w:t>
      </w:r>
    </w:p>
    <w:p>
      <w:pPr>
        <w:spacing w:after="240" w:line="384" w:lineRule="auto"/>
      </w:pPr>
      <w:r>
        <w:rPr>
          <w:rFonts w:ascii="Cambria" w:cs="Cambria" w:eastAsia="Cambria" w:hAnsi="Cambria"/>
          <w:b w:val="false"/>
          <w:bCs w:val="false"/>
          <w:i/>
          <w:iCs/>
          <w:strike w:val="false"/>
          <w:color w:val="1A2E4A"/>
          <w:sz w:val="20"/>
          <w:szCs w:val="20"/>
        </w:rPr>
        <w:t xml:space="preserve">[→ Chapter 10.1]</w:t>
      </w:r>
    </w:p>
    <w:p>
      <w:pPr>
        <w:pBdr>
          <w:bottom w:val="single" w:color="D0D8E0" w:sz="6"/>
        </w:pBdr>
        <w:spacing w:after="240" w:before="240"/>
      </w:pPr>
    </w:p>
    <w:p>
      <w:pPr>
        <w:spacing w:after="240" w:line="408" w:lineRule="auto"/>
      </w:pPr>
      <w:r>
        <w:rPr>
          <w:b w:val="false"/>
          <w:bCs w:val="false"/>
          <w:i w:val="false"/>
          <w:iCs w:val="false"/>
          <w:color w:val="0D1B2E"/>
        </w:rPr>
        <w:t xml:space="preserve">Time Wars</w:t>
      </w:r>
    </w:p>
    <w:p>
      <w:pPr>
        <w:spacing w:after="240" w:line="408" w:lineRule="auto"/>
      </w:pPr>
      <w:r>
        <w:rPr>
          <w:b w:val="false"/>
          <w:bCs w:val="false"/>
          <w:i w:val="false"/>
          <w:iCs w:val="false"/>
          <w:color w:val="4A6080"/>
        </w:rPr>
        <w:t xml:space="preserve">Tier I — Fixed Event</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multi-species temporal conflict arising from competitive access attempts to the First Memory dataset. Fixed canonical event; full timeline reserved for Volume VII.</w:t>
      </w:r>
    </w:p>
    <w:p>
      <w:pPr>
        <w:spacing w:after="240" w:line="384" w:lineRule="auto"/>
      </w:pPr>
      <w:r>
        <w:rPr>
          <w:rFonts w:ascii="Cambria" w:cs="Cambria" w:eastAsia="Cambria" w:hAnsi="Cambria"/>
          <w:b w:val="false"/>
          <w:bCs w:val="false"/>
          <w:i/>
          <w:iCs/>
          <w:strike w:val="false"/>
          <w:color w:val="1A2E4A"/>
          <w:sz w:val="20"/>
          <w:szCs w:val="20"/>
        </w:rPr>
        <w:t xml:space="preserve">[→ Chapter 10.2]</w:t>
      </w:r>
    </w:p>
    <w:p>
      <w:pPr>
        <w:pBdr>
          <w:bottom w:val="single" w:color="D0D8E0" w:sz="6"/>
        </w:pBdr>
        <w:spacing w:after="240" w:before="240"/>
      </w:pPr>
    </w:p>
    <w:p>
      <w:pPr>
        <w:spacing w:after="240" w:line="408" w:lineRule="auto"/>
      </w:pPr>
      <w:r>
        <w:rPr>
          <w:b w:val="false"/>
          <w:bCs w:val="false"/>
          <w:i w:val="false"/>
          <w:iCs w:val="false"/>
          <w:color w:val="0D1B2E"/>
        </w:rPr>
        <w:t xml:space="preserve">First Theft (First Memory/Theft)</w:t>
      </w:r>
    </w:p>
    <w:p>
      <w:pPr>
        <w:spacing w:after="240" w:line="408" w:lineRule="auto"/>
      </w:pPr>
      <w:r>
        <w:rPr>
          <w:b w:val="false"/>
          <w:bCs w:val="false"/>
          <w:i w:val="false"/>
          <w:iCs w:val="false"/>
          <w:color w:val="4A6080"/>
        </w:rPr>
        <w:t xml:space="preserve">Tier I — Fixed Point</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initiating event of the Time Wars; the original unauthorized appropriation of the First Memory dataset.</w:t>
      </w:r>
    </w:p>
    <w:p>
      <w:pPr>
        <w:spacing w:after="240" w:line="384" w:lineRule="auto"/>
      </w:pPr>
      <w:r>
        <w:rPr>
          <w:rFonts w:ascii="Cambria" w:cs="Cambria" w:eastAsia="Cambria" w:hAnsi="Cambria"/>
          <w:b w:val="false"/>
          <w:bCs w:val="false"/>
          <w:i/>
          <w:iCs/>
          <w:strike w:val="false"/>
          <w:color w:val="1A2E4A"/>
          <w:sz w:val="20"/>
          <w:szCs w:val="20"/>
        </w:rPr>
        <w:t xml:space="preserve">[→ Chapter 10.3]</w:t>
      </w:r>
    </w:p>
    <w:p>
      <w:pPr>
        <w:pBdr>
          <w:bottom w:val="single" w:color="D0D8E0" w:sz="6"/>
        </w:pBdr>
        <w:spacing w:after="240" w:before="240"/>
      </w:pPr>
    </w:p>
    <w:p>
      <w:pPr>
        <w:spacing w:after="240" w:line="408" w:lineRule="auto"/>
      </w:pPr>
      <w:r>
        <w:rPr>
          <w:b w:val="false"/>
          <w:bCs w:val="false"/>
          <w:i w:val="false"/>
          <w:iCs w:val="false"/>
          <w:color w:val="0D1B2E"/>
        </w:rPr>
        <w:t xml:space="preserve">INAT (Infinite Nexus of Absolute Transcendence)</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Supreme nexus artifact; Beyond Omniversal Ultimate; cross-domain; the ultimate amplification nexus for all EAMA power streams.</w:t>
      </w:r>
    </w:p>
    <w:p>
      <w:pPr>
        <w:spacing w:after="240" w:line="384" w:lineRule="auto"/>
      </w:pPr>
      <w:r>
        <w:rPr>
          <w:rFonts w:ascii="Cambria" w:cs="Cambria" w:eastAsia="Cambria" w:hAnsi="Cambria"/>
          <w:b w:val="false"/>
          <w:bCs w:val="false"/>
          <w:i/>
          <w:iCs/>
          <w:strike w:val="false"/>
          <w:color w:val="1A2E4A"/>
          <w:sz w:val="20"/>
          <w:szCs w:val="20"/>
        </w:rPr>
        <w:t xml:space="preserve">[→ Chapter 9.2]</w:t>
      </w:r>
    </w:p>
    <w:p>
      <w:pPr>
        <w:pBdr>
          <w:bottom w:val="single" w:color="D0D8E0" w:sz="6"/>
        </w:pBdr>
        <w:spacing w:after="240" w:before="240"/>
      </w:pPr>
    </w:p>
    <w:p>
      <w:pPr>
        <w:spacing w:after="240" w:line="408" w:lineRule="auto"/>
      </w:pPr>
      <w:r>
        <w:rPr>
          <w:b w:val="false"/>
          <w:bCs w:val="false"/>
          <w:i w:val="false"/>
          <w:iCs w:val="false"/>
          <w:color w:val="0D1B2E"/>
        </w:rPr>
        <w:t xml:space="preserve">RAAN / RAAU</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Ring of Absolute Arsenal Negation (MINUS ONE-aligned; nullification) and Ring of Absolute Arsenal Unity (ONE-aligned; amplification). The canonical dual-ring artifact pair.</w:t>
      </w:r>
    </w:p>
    <w:p>
      <w:pPr>
        <w:spacing w:after="240" w:line="384" w:lineRule="auto"/>
      </w:pPr>
      <w:r>
        <w:rPr>
          <w:rFonts w:ascii="Cambria" w:cs="Cambria" w:eastAsia="Cambria" w:hAnsi="Cambria"/>
          <w:b w:val="false"/>
          <w:bCs w:val="false"/>
          <w:i/>
          <w:iCs/>
          <w:strike w:val="false"/>
          <w:color w:val="1A2E4A"/>
          <w:sz w:val="20"/>
          <w:szCs w:val="20"/>
        </w:rPr>
        <w:t xml:space="preserve">[→ Chapter 9.3]</w:t>
      </w:r>
    </w:p>
    <w:p>
      <w:pPr>
        <w:pBdr>
          <w:bottom w:val="single" w:color="D0D8E0" w:sz="6"/>
        </w:pBdr>
        <w:spacing w:after="240" w:before="240"/>
      </w:pPr>
    </w:p>
    <w:p>
      <w:pPr>
        <w:spacing w:after="240" w:line="408" w:lineRule="auto"/>
      </w:pPr>
      <w:r>
        <w:rPr>
          <w:b w:val="false"/>
          <w:bCs w:val="false"/>
          <w:i w:val="false"/>
          <w:iCs w:val="false"/>
          <w:color w:val="0D1B2E"/>
        </w:rPr>
        <w:t xml:space="preserve">L Blade</w:t>
      </w:r>
    </w:p>
    <w:p>
      <w:pPr>
        <w:spacing w:after="240" w:line="408" w:lineRule="auto"/>
      </w:pPr>
      <w:r>
        <w:rPr>
          <w:b w:val="false"/>
          <w:bCs w:val="false"/>
          <w:i w:val="false"/>
          <w:iCs w:val="false"/>
          <w:color w:val="4A6080"/>
        </w:rPr>
        <w:t xml:space="preserve">Canon</w:t>
      </w:r>
    </w:p>
    <w:p>
      <w:pPr>
        <w:spacing w:after="240" w:line="384" w:lineRule="auto"/>
      </w:pPr>
      <w:r>
        <w:rPr>
          <w:rFonts w:ascii="Cambria" w:cs="Cambria" w:eastAsia="Cambria" w:hAnsi="Cambria"/>
          <w:b w:val="false"/>
          <w:bCs w:val="false"/>
          <w:i w:val="false"/>
          <w:iCs w:val="false"/>
          <w:strike w:val="false"/>
          <w:color w:val="000000"/>
          <w:sz w:val="20"/>
          <w:szCs w:val="20"/>
        </w:rPr>
        <w:t xml:space="preserve">Blade-class artifact with unique dimensional seam cutting capability. Domain alignment: Tier II unresolved.</w:t>
      </w:r>
    </w:p>
    <w:p>
      <w:pPr>
        <w:spacing w:after="240" w:line="384" w:lineRule="auto"/>
      </w:pPr>
      <w:r>
        <w:rPr>
          <w:rFonts w:ascii="Cambria" w:cs="Cambria" w:eastAsia="Cambria" w:hAnsi="Cambria"/>
          <w:b w:val="false"/>
          <w:bCs w:val="false"/>
          <w:i/>
          <w:iCs/>
          <w:strike w:val="false"/>
          <w:color w:val="1A2E4A"/>
          <w:sz w:val="20"/>
          <w:szCs w:val="20"/>
        </w:rPr>
        <w:t xml:space="preserve">[→ Chapter 9.4]</w:t>
      </w:r>
    </w:p>
    <w:p>
      <w:pPr>
        <w:pBdr>
          <w:bottom w:val="single" w:color="D0D8E0" w:sz="6"/>
        </w:pBdr>
        <w:spacing w:after="240" w:before="240"/>
      </w:pPr>
    </w:p>
    <w:p>
      <w:pPr>
        <w:spacing w:after="240" w:line="408" w:lineRule="auto"/>
      </w:pPr>
      <w:r>
        <w:rPr>
          <w:b w:val="false"/>
          <w:bCs w:val="false"/>
          <w:i w:val="false"/>
          <w:iCs w:val="false"/>
          <w:color w:val="0D1B2E"/>
        </w:rPr>
        <w:t xml:space="preserve">Epoch Blades</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Canonical weapon class within the Potence Suite; epoch-level cutting capability across temporal and epochal structures; varied domain alignment by individual blade.</w:t>
      </w:r>
    </w:p>
    <w:p>
      <w:pPr>
        <w:spacing w:after="240" w:line="384" w:lineRule="auto"/>
      </w:pPr>
      <w:r>
        <w:rPr>
          <w:rFonts w:ascii="Cambria" w:cs="Cambria" w:eastAsia="Cambria" w:hAnsi="Cambria"/>
          <w:b w:val="false"/>
          <w:bCs w:val="false"/>
          <w:i/>
          <w:iCs/>
          <w:strike w:val="false"/>
          <w:color w:val="1A2E4A"/>
          <w:sz w:val="20"/>
          <w:szCs w:val="20"/>
        </w:rPr>
        <w:t xml:space="preserve">[→ Chapter 7.7]</w:t>
      </w:r>
    </w:p>
    <w:p>
      <w:pPr>
        <w:pBdr>
          <w:bottom w:val="single" w:color="D0D8E0" w:sz="6"/>
        </w:pBdr>
        <w:spacing w:after="240" w:before="240"/>
      </w:pPr>
    </w:p>
    <w:p>
      <w:pPr>
        <w:spacing w:after="240" w:line="408" w:lineRule="auto"/>
      </w:pPr>
      <w:r>
        <w:rPr>
          <w:b w:val="false"/>
          <w:bCs w:val="false"/>
          <w:i w:val="false"/>
          <w:iCs w:val="false"/>
          <w:color w:val="0D1B2E"/>
        </w:rPr>
        <w:t xml:space="preserve">Ascendant Citadel</w:t>
      </w:r>
    </w:p>
    <w:p>
      <w:pPr>
        <w:spacing w:after="240" w:line="408" w:lineRule="auto"/>
      </w:pPr>
      <w:r>
        <w:rPr>
          <w:b w:val="false"/>
          <w:bCs w:val="false"/>
          <w:i w:val="false"/>
          <w:iCs w:val="false"/>
          <w:color w:val="4A6080"/>
        </w:rPr>
        <w:t xml:space="preserve">Canon</w:t>
      </w:r>
    </w:p>
    <w:p>
      <w:pPr>
        <w:spacing w:after="240" w:line="384" w:lineRule="auto"/>
      </w:pPr>
      <w:r>
        <w:rPr>
          <w:rFonts w:ascii="Cambria" w:cs="Cambria" w:eastAsia="Cambria" w:hAnsi="Cambria"/>
          <w:b w:val="false"/>
          <w:bCs w:val="false"/>
          <w:i w:val="false"/>
          <w:iCs w:val="false"/>
          <w:strike w:val="false"/>
          <w:color w:val="000000"/>
          <w:sz w:val="20"/>
          <w:szCs w:val="20"/>
        </w:rPr>
        <w:t xml:space="preserve">Primary fortified headquarters structure within THE ONEVERSE; assembly point for high-tier entities during formal assembly periods.</w:t>
      </w:r>
    </w:p>
    <w:p>
      <w:pPr>
        <w:spacing w:after="240" w:line="384" w:lineRule="auto"/>
      </w:pPr>
      <w:r>
        <w:rPr>
          <w:rFonts w:ascii="Cambria" w:cs="Cambria" w:eastAsia="Cambria" w:hAnsi="Cambria"/>
          <w:b w:val="false"/>
          <w:bCs w:val="false"/>
          <w:i/>
          <w:iCs/>
          <w:strike w:val="false"/>
          <w:color w:val="1A2E4A"/>
          <w:sz w:val="20"/>
          <w:szCs w:val="20"/>
        </w:rPr>
        <w:t xml:space="preserve">[→ Chapter 9.5]</w:t>
      </w:r>
    </w:p>
    <w:p>
      <w:pPr>
        <w:pBdr>
          <w:bottom w:val="single" w:color="D0D8E0" w:sz="6"/>
        </w:pBdr>
        <w:spacing w:after="240" w:before="240"/>
      </w:pPr>
    </w:p>
    <w:p>
      <w:pPr>
        <w:spacing w:after="240" w:line="408" w:lineRule="auto"/>
      </w:pPr>
      <w:r>
        <w:rPr>
          <w:b w:val="false"/>
          <w:bCs w:val="false"/>
          <w:i w:val="false"/>
          <w:iCs w:val="false"/>
          <w:color w:val="0D1B2E"/>
        </w:rPr>
        <w:t xml:space="preserve">Midnight Flower / Lotus</w:t>
      </w:r>
    </w:p>
    <w:p>
      <w:pPr>
        <w:spacing w:after="240" w:line="408" w:lineRule="auto"/>
      </w:pPr>
      <w:r>
        <w:rPr>
          <w:b w:val="false"/>
          <w:bCs w:val="false"/>
          <w:i w:val="false"/>
          <w:iCs w:val="false"/>
          <w:color w:val="4A6080"/>
        </w:rPr>
        <w:t xml:space="preserve">Canon</w:t>
      </w:r>
    </w:p>
    <w:p>
      <w:pPr>
        <w:spacing w:after="240" w:line="384" w:lineRule="auto"/>
      </w:pPr>
      <w:r>
        <w:rPr>
          <w:rFonts w:ascii="Cambria" w:cs="Cambria" w:eastAsia="Cambria" w:hAnsi="Cambria"/>
          <w:b w:val="false"/>
          <w:bCs w:val="false"/>
          <w:i w:val="false"/>
          <w:iCs w:val="false"/>
          <w:strike w:val="false"/>
          <w:color w:val="000000"/>
          <w:sz w:val="20"/>
          <w:szCs w:val="20"/>
        </w:rPr>
        <w:t xml:space="preserve">Boundary-domain artifact; canonical marker of the transition between existence and anti-existence states; associated with liminal canonical events.</w:t>
      </w:r>
    </w:p>
    <w:p>
      <w:pPr>
        <w:spacing w:after="240" w:line="384" w:lineRule="auto"/>
      </w:pPr>
      <w:r>
        <w:rPr>
          <w:rFonts w:ascii="Cambria" w:cs="Cambria" w:eastAsia="Cambria" w:hAnsi="Cambria"/>
          <w:b w:val="false"/>
          <w:bCs w:val="false"/>
          <w:i/>
          <w:iCs/>
          <w:strike w:val="false"/>
          <w:color w:val="1A2E4A"/>
          <w:sz w:val="20"/>
          <w:szCs w:val="20"/>
        </w:rPr>
        <w:t xml:space="preserve">[→ Chapter 9.6]</w:t>
      </w:r>
    </w:p>
    <w:p>
      <w:pPr>
        <w:pBdr>
          <w:bottom w:val="single" w:color="D0D8E0" w:sz="6"/>
        </w:pBdr>
        <w:spacing w:after="240" w:before="240"/>
      </w:pPr>
    </w:p>
    <w:p>
      <w:pPr>
        <w:spacing w:after="240" w:line="408" w:lineRule="auto"/>
      </w:pPr>
      <w:r>
        <w:rPr>
          <w:b w:val="false"/>
          <w:bCs w:val="false"/>
          <w:i w:val="false"/>
          <w:iCs w:val="false"/>
          <w:color w:val="0D1B2E"/>
        </w:rPr>
        <w:t xml:space="preserve">Labyrinth of Infinite Ensnarement</w:t>
      </w:r>
    </w:p>
    <w:p>
      <w:pPr>
        <w:spacing w:after="240" w:line="408" w:lineRule="auto"/>
      </w:pPr>
      <w:r>
        <w:rPr>
          <w:b w:val="false"/>
          <w:bCs w:val="false"/>
          <w:i w:val="false"/>
          <w:iCs w:val="false"/>
          <w:color w:val="4A6080"/>
        </w:rPr>
        <w:t xml:space="preserve">Canon Restricted (Staff)</w:t>
      </w:r>
    </w:p>
    <w:p>
      <w:pPr>
        <w:spacing w:after="240" w:line="384" w:lineRule="auto"/>
      </w:pPr>
      <w:r>
        <w:rPr>
          <w:rFonts w:ascii="Cambria" w:cs="Cambria" w:eastAsia="Cambria" w:hAnsi="Cambria"/>
          <w:b w:val="false"/>
          <w:bCs w:val="false"/>
          <w:i w:val="false"/>
          <w:iCs w:val="false"/>
          <w:strike w:val="false"/>
          <w:color w:val="000000"/>
          <w:sz w:val="20"/>
          <w:szCs w:val="20"/>
        </w:rPr>
        <w:t xml:space="preserve">Infinite-interior location-class artifact; spider caste exterior; alien staff (restricted); extreme navigational hazard; no confirmed successful navigation without Architect-level authorization.</w:t>
      </w:r>
    </w:p>
    <w:p>
      <w:pPr>
        <w:spacing w:after="240" w:line="384" w:lineRule="auto"/>
      </w:pPr>
      <w:r>
        <w:rPr>
          <w:rFonts w:ascii="Cambria" w:cs="Cambria" w:eastAsia="Cambria" w:hAnsi="Cambria"/>
          <w:b w:val="false"/>
          <w:bCs w:val="false"/>
          <w:i/>
          <w:iCs/>
          <w:strike w:val="false"/>
          <w:color w:val="1A2E4A"/>
          <w:sz w:val="20"/>
          <w:szCs w:val="20"/>
        </w:rPr>
        <w:t xml:space="preserve">[→ Chapter 9.7]</w:t>
      </w:r>
    </w:p>
    <w:p>
      <w:pPr>
        <w:pBdr>
          <w:bottom w:val="single" w:color="D0D8E0" w:sz="6"/>
        </w:pBdr>
        <w:spacing w:after="240" w:before="240"/>
      </w:pPr>
    </w:p>
    <w:p>
      <w:pPr>
        <w:spacing w:after="240" w:line="408" w:lineRule="auto"/>
      </w:pPr>
      <w:r>
        <w:rPr>
          <w:b w:val="false"/>
          <w:bCs w:val="false"/>
          <w:i w:val="false"/>
          <w:iCs w:val="false"/>
          <w:color w:val="0D1B2E"/>
        </w:rPr>
        <w:t xml:space="preserve">Quantum Credits / 1COIN / NCOIN</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three canonical currencies of the EAMA economic system. Quantum Credits: inter-domain primary; 1COIN: existence-domain (ONE INDUSTRIES); NCOIN: Architect personal-authority-class.</w:t>
      </w:r>
    </w:p>
    <w:p>
      <w:pPr>
        <w:spacing w:after="240" w:line="384" w:lineRule="auto"/>
      </w:pPr>
      <w:r>
        <w:rPr>
          <w:rFonts w:ascii="Cambria" w:cs="Cambria" w:eastAsia="Cambria" w:hAnsi="Cambria"/>
          <w:b w:val="false"/>
          <w:bCs w:val="false"/>
          <w:i/>
          <w:iCs/>
          <w:strike w:val="false"/>
          <w:color w:val="1A2E4A"/>
          <w:sz w:val="20"/>
          <w:szCs w:val="20"/>
        </w:rPr>
        <w:t xml:space="preserve">[→ Chapter 9.8]</w:t>
      </w:r>
    </w:p>
    <w:p>
      <w:pPr>
        <w:pBdr>
          <w:bottom w:val="single" w:color="D0D8E0" w:sz="6"/>
        </w:pBdr>
        <w:spacing w:after="240" w:before="240"/>
      </w:pPr>
    </w:p>
    <w:p>
      <w:pPr>
        <w:spacing w:after="240" w:line="408" w:lineRule="auto"/>
      </w:pPr>
      <w:r>
        <w:rPr>
          <w:b w:val="false"/>
          <w:bCs w:val="false"/>
          <w:i w:val="false"/>
          <w:iCs w:val="false"/>
          <w:color w:val="0D1B2E"/>
        </w:rPr>
        <w:t xml:space="preserve">Void Gardens / Omniversal Gardens</w:t>
      </w:r>
    </w:p>
    <w:p>
      <w:pPr>
        <w:spacing w:after="240" w:line="408" w:lineRule="auto"/>
      </w:pPr>
      <w:r>
        <w:rPr>
          <w:b w:val="false"/>
          <w:bCs w:val="false"/>
          <w:i w:val="false"/>
          <w:iCs w:val="false"/>
          <w:color w:val="4A6080"/>
        </w:rPr>
        <w:t xml:space="preserve">Canon</w:t>
      </w:r>
    </w:p>
    <w:p>
      <w:pPr>
        <w:spacing w:after="240" w:line="384" w:lineRule="auto"/>
      </w:pPr>
      <w:r>
        <w:rPr>
          <w:rFonts w:ascii="Cambria" w:cs="Cambria" w:eastAsia="Cambria" w:hAnsi="Cambria"/>
          <w:b w:val="false"/>
          <w:bCs w:val="false"/>
          <w:i w:val="false"/>
          <w:iCs w:val="false"/>
          <w:strike w:val="false"/>
          <w:color w:val="000000"/>
          <w:sz w:val="20"/>
          <w:szCs w:val="20"/>
        </w:rPr>
        <w:t xml:space="preserve">Void Gardens: existence-anti-existence boundary ecological zone of extreme temporal density. Omniversal Gardens: full existence-domain ecological preserve; restricted access; Omniversal Architect Labs governance.</w:t>
      </w:r>
    </w:p>
    <w:p>
      <w:pPr>
        <w:spacing w:after="240" w:line="384" w:lineRule="auto"/>
      </w:pPr>
      <w:r>
        <w:rPr>
          <w:rFonts w:ascii="Cambria" w:cs="Cambria" w:eastAsia="Cambria" w:hAnsi="Cambria"/>
          <w:b w:val="false"/>
          <w:bCs w:val="false"/>
          <w:i/>
          <w:iCs/>
          <w:strike w:val="false"/>
          <w:color w:val="1A2E4A"/>
          <w:sz w:val="20"/>
          <w:szCs w:val="20"/>
        </w:rPr>
        <w:t xml:space="preserve">[→ Chapter 9.9]</w:t>
      </w:r>
    </w:p>
    <w:p>
      <w:pPr>
        <w:pBdr>
          <w:bottom w:val="single" w:color="D0D8E0" w:sz="6"/>
        </w:pBdr>
        <w:spacing w:after="240" w:before="240"/>
      </w:pPr>
    </w:p>
    <w:p>
      <w:pPr>
        <w:spacing w:after="240" w:line="408" w:lineRule="auto"/>
      </w:pPr>
      <w:r>
        <w:rPr>
          <w:b w:val="false"/>
          <w:bCs w:val="false"/>
          <w:i w:val="false"/>
          <w:iCs w:val="false"/>
          <w:color w:val="0D1B2E"/>
        </w:rPr>
        <w:t xml:space="preserve">Obsidian Echelon / Sentinels of Entropy</w:t>
      </w:r>
    </w:p>
    <w:p>
      <w:pPr>
        <w:spacing w:after="240" w:line="408" w:lineRule="auto"/>
      </w:pPr>
      <w:r>
        <w:rPr>
          <w:b w:val="false"/>
          <w:bCs w:val="false"/>
          <w:i w:val="false"/>
          <w:iCs w:val="false"/>
          <w:color w:val="4A6080"/>
        </w:rPr>
        <w:t xml:space="preserve">Canon</w:t>
      </w:r>
    </w:p>
    <w:p>
      <w:pPr>
        <w:spacing w:after="240" w:line="384" w:lineRule="auto"/>
      </w:pPr>
      <w:r>
        <w:rPr>
          <w:rFonts w:ascii="Cambria" w:cs="Cambria" w:eastAsia="Cambria" w:hAnsi="Cambria"/>
          <w:b w:val="false"/>
          <w:bCs w:val="false"/>
          <w:i w:val="false"/>
          <w:iCs w:val="false"/>
          <w:strike w:val="false"/>
          <w:color w:val="000000"/>
          <w:sz w:val="20"/>
          <w:szCs w:val="20"/>
        </w:rPr>
        <w:t xml:space="preserve">Obsidian Echelon: elite organization-class, existence-domain, superior to all standard organizational units. Sentinels of Entropy: boundary-domain guardians of the entropy boundary; standing orders predate The Accords.</w:t>
      </w:r>
    </w:p>
    <w:p>
      <w:pPr>
        <w:spacing w:after="240" w:line="384" w:lineRule="auto"/>
      </w:pPr>
      <w:r>
        <w:rPr>
          <w:rFonts w:ascii="Cambria" w:cs="Cambria" w:eastAsia="Cambria" w:hAnsi="Cambria"/>
          <w:b w:val="false"/>
          <w:bCs w:val="false"/>
          <w:i/>
          <w:iCs/>
          <w:strike w:val="false"/>
          <w:color w:val="1A2E4A"/>
          <w:sz w:val="20"/>
          <w:szCs w:val="20"/>
        </w:rPr>
        <w:t xml:space="preserve">[→ Chapter 9.10, 9.11]</w:t>
      </w:r>
    </w:p>
    <w:p>
      <w:pPr>
        <w:pBdr>
          <w:bottom w:val="single" w:color="D0D8E0" w:sz="6"/>
        </w:pBdr>
        <w:spacing w:after="240" w:before="240"/>
      </w:pPr>
    </w:p>
    <w:p>
      <w:pPr>
        <w:spacing w:after="240" w:line="408" w:lineRule="auto"/>
      </w:pPr>
      <w:r>
        <w:rPr>
          <w:b w:val="false"/>
          <w:bCs w:val="false"/>
          <w:i w:val="false"/>
          <w:iCs w:val="false"/>
          <w:color w:val="0D1B2E"/>
        </w:rPr>
        <w:t xml:space="preserve">Greys</w:t>
      </w:r>
    </w:p>
    <w:p>
      <w:pPr>
        <w:spacing w:after="240" w:line="408" w:lineRule="auto"/>
      </w:pPr>
      <w:r>
        <w:rPr>
          <w:b w:val="false"/>
          <w:bCs w:val="false"/>
          <w:i w:val="false"/>
          <w:iCs w:val="false"/>
          <w:color w:val="4A6080"/>
        </w:rPr>
        <w:t xml:space="preserve">Tier II — Unresolved</w:t>
      </w:r>
    </w:p>
    <w:p>
      <w:pPr>
        <w:spacing w:after="240" w:line="384" w:lineRule="auto"/>
      </w:pPr>
      <w:r>
        <w:rPr>
          <w:rFonts w:ascii="Cambria" w:cs="Cambria" w:eastAsia="Cambria" w:hAnsi="Cambria"/>
          <w:b w:val="false"/>
          <w:bCs w:val="false"/>
          <w:i w:val="false"/>
          <w:iCs w:val="false"/>
          <w:strike w:val="false"/>
          <w:color w:val="000000"/>
          <w:sz w:val="20"/>
          <w:szCs w:val="20"/>
        </w:rPr>
        <w:t xml:space="preserve">Unaligned canonical entity class; interact with both cosmological systems without formal allegiance; operational mandate formally deferred.</w:t>
      </w:r>
    </w:p>
    <w:p>
      <w:pPr>
        <w:spacing w:after="240" w:line="384" w:lineRule="auto"/>
      </w:pPr>
      <w:r>
        <w:rPr>
          <w:rFonts w:ascii="Cambria" w:cs="Cambria" w:eastAsia="Cambria" w:hAnsi="Cambria"/>
          <w:b w:val="false"/>
          <w:bCs w:val="false"/>
          <w:i/>
          <w:iCs/>
          <w:strike w:val="false"/>
          <w:color w:val="1A2E4A"/>
          <w:sz w:val="20"/>
          <w:szCs w:val="20"/>
        </w:rPr>
        <w:t xml:space="preserve">[→ Chapter 9.12]</w:t>
      </w:r>
    </w:p>
    <w:p>
      <w:pPr>
        <w:pBdr>
          <w:bottom w:val="single" w:color="D0D8E0" w:sz="6"/>
        </w:pBdr>
        <w:spacing w:after="240" w:before="240"/>
      </w:pPr>
    </w:p>
    <w:p>
      <w:pPr>
        <w:spacing w:after="240" w:line="408" w:lineRule="auto"/>
      </w:pPr>
      <w:r>
        <w:rPr>
          <w:b w:val="false"/>
          <w:bCs w:val="false"/>
          <w:i w:val="false"/>
          <w:iCs w:val="false"/>
          <w:color w:val="0D1B2E"/>
        </w:rPr>
        <w:t xml:space="preserve">Puritans</w:t>
      </w:r>
    </w:p>
    <w:p>
      <w:pPr>
        <w:spacing w:after="240" w:line="408" w:lineRule="auto"/>
      </w:pPr>
      <w:r>
        <w:rPr>
          <w:b w:val="false"/>
          <w:bCs w:val="false"/>
          <w:i w:val="false"/>
          <w:iCs w:val="false"/>
          <w:color w:val="4A6080"/>
        </w:rPr>
        <w:t xml:space="preserve">Canon</w:t>
      </w:r>
    </w:p>
    <w:p>
      <w:pPr>
        <w:spacing w:after="240" w:line="384" w:lineRule="auto"/>
      </w:pPr>
      <w:r>
        <w:rPr>
          <w:rFonts w:ascii="Cambria" w:cs="Cambria" w:eastAsia="Cambria" w:hAnsi="Cambria"/>
          <w:b w:val="false"/>
          <w:bCs w:val="false"/>
          <w:i w:val="false"/>
          <w:iCs w:val="false"/>
          <w:strike w:val="false"/>
          <w:color w:val="000000"/>
          <w:sz w:val="20"/>
          <w:szCs w:val="20"/>
        </w:rPr>
        <w:t xml:space="preserve">Civilization-class entity tied to First Memory / Time Wars canon events; attempted suppression of First Memory; current canonical status post-Time Wars is Tier II unresolved.</w:t>
      </w:r>
    </w:p>
    <w:p>
      <w:pPr>
        <w:spacing w:after="240" w:line="384" w:lineRule="auto"/>
      </w:pPr>
      <w:r>
        <w:rPr>
          <w:rFonts w:ascii="Cambria" w:cs="Cambria" w:eastAsia="Cambria" w:hAnsi="Cambria"/>
          <w:b w:val="false"/>
          <w:bCs w:val="false"/>
          <w:i/>
          <w:iCs/>
          <w:strike w:val="false"/>
          <w:color w:val="1A2E4A"/>
          <w:sz w:val="20"/>
          <w:szCs w:val="20"/>
        </w:rPr>
        <w:t xml:space="preserve">[→ Chapter 9.13]</w:t>
      </w:r>
    </w:p>
    <w:p>
      <w:pPr>
        <w:pBdr>
          <w:bottom w:val="single" w:color="D0D8E0" w:sz="6"/>
        </w:pBdr>
        <w:spacing w:after="240" w:before="240"/>
      </w:pPr>
    </w:p>
    <w:p>
      <w:pPr>
        <w:spacing w:after="240" w:line="408" w:lineRule="auto"/>
      </w:pPr>
      <w:r>
        <w:rPr>
          <w:b w:val="false"/>
          <w:bCs w:val="false"/>
          <w:i w:val="false"/>
          <w:iCs w:val="false"/>
          <w:color w:val="0D1B2E"/>
        </w:rPr>
        <w:t xml:space="preserve">Canon Tier I / II / III; Canon Class I</w:t>
      </w:r>
    </w:p>
    <w:p>
      <w:pPr>
        <w:spacing w:after="240" w:line="408" w:lineRule="auto"/>
      </w:pPr>
      <w:r>
        <w:rPr>
          <w:b w:val="false"/>
          <w:bCs w:val="false"/>
          <w:i w:val="false"/>
          <w:iCs w:val="false"/>
          <w:color w:val="4A6080"/>
        </w:rPr>
        <w:t xml:space="preserve">Governing Framework</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canonical tier classification system governing all EAMA content. Tier I: Absolute; governed by this Document. Tier II: Primary Expansion. Tier III: Derivative. Class I: highest canonical class; CDT-2026-0703-001 designation; immutable and irrevocable.</w:t>
      </w:r>
    </w:p>
    <w:p>
      <w:pPr>
        <w:spacing w:after="240" w:line="384" w:lineRule="auto"/>
      </w:pPr>
      <w:r>
        <w:rPr>
          <w:rFonts w:ascii="Cambria" w:cs="Cambria" w:eastAsia="Cambria" w:hAnsi="Cambria"/>
          <w:b w:val="false"/>
          <w:bCs w:val="false"/>
          <w:i/>
          <w:iCs/>
          <w:strike w:val="false"/>
          <w:color w:val="1A2E4A"/>
          <w:sz w:val="20"/>
          <w:szCs w:val="20"/>
        </w:rPr>
        <w:t xml:space="preserve">[→ Chapter 12.2]</w:t>
      </w:r>
    </w:p>
    <w:p>
      <w:pPr>
        <w:pBdr>
          <w:bottom w:val="single" w:color="D0D8E0" w:sz="6"/>
        </w:pBdr>
        <w:spacing w:after="240" w:before="240"/>
      </w:pPr>
    </w:p>
    <w:p>
      <w:pPr>
        <w:spacing w:after="240" w:line="408" w:lineRule="auto"/>
      </w:pPr>
      <w:r>
        <w:rPr>
          <w:b w:val="false"/>
          <w:bCs w:val="false"/>
          <w:i w:val="false"/>
          <w:iCs w:val="false"/>
          <w:color w:val="0D1B2E"/>
        </w:rPr>
        <w:t xml:space="preserve">Nathan-Only Permission</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System-wide permissions accessible only to the Architect (Nathan Lewis); inaccessible to all other developers, automated systems, or delegation mechanisms. Governed by ADRBM-003.</w:t>
      </w:r>
    </w:p>
    <w:p>
      <w:pPr>
        <w:spacing w:after="240" w:line="384" w:lineRule="auto"/>
      </w:pPr>
      <w:r>
        <w:rPr>
          <w:rFonts w:ascii="Cambria" w:cs="Cambria" w:eastAsia="Cambria" w:hAnsi="Cambria"/>
          <w:b w:val="false"/>
          <w:bCs w:val="false"/>
          <w:i/>
          <w:iCs/>
          <w:strike w:val="false"/>
          <w:color w:val="1A2E4A"/>
          <w:sz w:val="20"/>
          <w:szCs w:val="20"/>
        </w:rPr>
        <w:t xml:space="preserve">[→ Chapter 12.4]</w:t>
      </w:r>
    </w:p>
    <w:p>
      <w:pPr>
        <w:pBdr>
          <w:bottom w:val="single" w:color="D0D8E0" w:sz="6"/>
        </w:pBdr>
        <w:spacing w:after="240" w:before="240"/>
      </w:pPr>
    </w:p>
    <w:p>
      <w:pPr>
        <w:spacing w:after="240" w:line="408" w:lineRule="auto"/>
      </w:pPr>
      <w:r>
        <w:rPr>
          <w:b w:val="false"/>
          <w:bCs w:val="false"/>
          <w:i w:val="false"/>
          <w:iCs w:val="false"/>
          <w:color w:val="0D1B2E"/>
        </w:rPr>
        <w:t xml:space="preserve">Export Token / Integration Token</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Architect-issued, non-transferable authorization tokens. Export Token: permits Living Media state data export. Integration Token: permits authorized cross-system interaction.</w:t>
      </w:r>
    </w:p>
    <w:p>
      <w:pPr>
        <w:spacing w:after="240" w:line="384" w:lineRule="auto"/>
      </w:pPr>
      <w:r>
        <w:rPr>
          <w:rFonts w:ascii="Cambria" w:cs="Cambria" w:eastAsia="Cambria" w:hAnsi="Cambria"/>
          <w:b w:val="false"/>
          <w:bCs w:val="false"/>
          <w:i/>
          <w:iCs/>
          <w:strike w:val="false"/>
          <w:color w:val="1A2E4A"/>
          <w:sz w:val="20"/>
          <w:szCs w:val="20"/>
        </w:rPr>
        <w:t xml:space="preserve">[→ Chapter 6.7, 11.2]</w:t>
      </w:r>
    </w:p>
    <w:p>
      <w:pPr>
        <w:pBdr>
          <w:bottom w:val="single" w:color="D0D8E0" w:sz="6"/>
        </w:pBdr>
        <w:spacing w:after="240" w:before="240"/>
      </w:pPr>
    </w:p>
    <w:p>
      <w:pPr>
        <w:spacing w:after="240" w:line="408" w:lineRule="auto"/>
      </w:pPr>
      <w:r>
        <w:rPr>
          <w:b w:val="false"/>
          <w:bCs w:val="false"/>
          <w:i w:val="false"/>
          <w:iCs w:val="false"/>
          <w:color w:val="0D1B2E"/>
        </w:rPr>
        <w:t xml:space="preserve">Hard Retcon / Soft Retcon / Retraction</w:t>
      </w:r>
    </w:p>
    <w:p>
      <w:pPr>
        <w:spacing w:after="240" w:line="408" w:lineRule="auto"/>
      </w:pPr>
      <w:r>
        <w:rPr>
          <w:b w:val="false"/>
          <w:bCs w:val="false"/>
          <w:i w:val="false"/>
          <w:iCs w:val="false"/>
          <w:color w:val="4A6080"/>
        </w:rPr>
        <w:t xml:space="preserve">Tier I — Governance</w:t>
      </w:r>
    </w:p>
    <w:p>
      <w:pPr>
        <w:spacing w:after="240" w:line="384" w:lineRule="auto"/>
      </w:pPr>
      <w:r>
        <w:rPr>
          <w:rFonts w:ascii="Cambria" w:cs="Cambria" w:eastAsia="Cambria" w:hAnsi="Cambria"/>
          <w:b w:val="false"/>
          <w:bCs w:val="false"/>
          <w:i w:val="false"/>
          <w:iCs w:val="false"/>
          <w:strike w:val="false"/>
          <w:color w:val="000000"/>
          <w:sz w:val="20"/>
          <w:szCs w:val="20"/>
        </w:rPr>
        <w:t xml:space="preserve">Hard Retcon: direct Tier I contradiction; requires supermajority Council vote + Architect ratification. Soft Retcon: recontextualization without direct contradiction; Tier II document. Retraction: removal from canonical record; governed by ADRBM-005.</w:t>
      </w:r>
    </w:p>
    <w:p>
      <w:pPr>
        <w:spacing w:after="240" w:line="384" w:lineRule="auto"/>
      </w:pPr>
      <w:r>
        <w:rPr>
          <w:rFonts w:ascii="Cambria" w:cs="Cambria" w:eastAsia="Cambria" w:hAnsi="Cambria"/>
          <w:b w:val="false"/>
          <w:bCs w:val="false"/>
          <w:i/>
          <w:iCs/>
          <w:strike w:val="false"/>
          <w:color w:val="1A2E4A"/>
          <w:sz w:val="20"/>
          <w:szCs w:val="20"/>
        </w:rPr>
        <w:t xml:space="preserve">[→ Chapter 12.6]</w:t>
      </w:r>
    </w:p>
    <w:p>
      <w:pPr>
        <w:pBdr>
          <w:bottom w:val="single" w:color="D0D8E0" w:sz="6"/>
        </w:pBdr>
        <w:spacing w:after="240" w:before="240"/>
      </w:pPr>
    </w:p>
    <w:p>
      <w:pPr>
        <w:spacing w:after="240" w:line="408" w:lineRule="auto"/>
      </w:pPr>
      <w:r>
        <w:rPr>
          <w:b w:val="false"/>
          <w:bCs w:val="false"/>
          <w:i w:val="false"/>
          <w:iCs w:val="false"/>
          <w:color w:val="0D1B2E"/>
        </w:rPr>
        <w:t xml:space="preserve">Nullspace Corridor / Drift (Transit)</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Nullspace Corridor: the canonical transit pathway for inter-cluster travel (OSC-2026-F). Drift: inherent hazard of Nullspace Corridor transit; a canonical property, not an engineering problem. Standard transit: 3–12 standard days.</w:t>
      </w:r>
    </w:p>
    <w:p>
      <w:pPr>
        <w:spacing w:after="240" w:line="384" w:lineRule="auto"/>
      </w:pPr>
      <w:r>
        <w:rPr>
          <w:rFonts w:ascii="Cambria" w:cs="Cambria" w:eastAsia="Cambria" w:hAnsi="Cambria"/>
          <w:b w:val="false"/>
          <w:bCs w:val="false"/>
          <w:i/>
          <w:iCs/>
          <w:strike w:val="false"/>
          <w:color w:val="1A2E4A"/>
          <w:sz w:val="20"/>
          <w:szCs w:val="20"/>
        </w:rPr>
        <w:t xml:space="preserve">[→ Chapter 11.4]</w:t>
      </w:r>
    </w:p>
    <w:p>
      <w:pPr>
        <w:pBdr>
          <w:bottom w:val="single" w:color="D0D8E0" w:sz="6"/>
        </w:pBdr>
        <w:spacing w:after="240" w:before="240"/>
      </w:pPr>
    </w:p>
    <w:p>
      <w:pPr>
        <w:spacing w:after="240" w:line="408" w:lineRule="auto"/>
      </w:pPr>
      <w:r>
        <w:rPr>
          <w:b w:val="false"/>
          <w:bCs w:val="false"/>
          <w:i w:val="false"/>
          <w:iCs w:val="false"/>
          <w:color w:val="0D1B2E"/>
        </w:rPr>
        <w:t xml:space="preserve">Proxy / Canon Event</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Proxy: sub-Architect-level field agent operating under a canon event mandate; behavioral envelope governed by the assigned canon event. Canon Event: a designated fixed historical or operational event within the EAMA timeline.</w:t>
      </w:r>
    </w:p>
    <w:p>
      <w:pPr>
        <w:spacing w:after="240" w:line="384" w:lineRule="auto"/>
      </w:pPr>
      <w:r>
        <w:rPr>
          <w:rFonts w:ascii="Cambria" w:cs="Cambria" w:eastAsia="Cambria" w:hAnsi="Cambria"/>
          <w:b w:val="false"/>
          <w:bCs w:val="false"/>
          <w:i/>
          <w:iCs/>
          <w:strike w:val="false"/>
          <w:color w:val="1A2E4A"/>
          <w:sz w:val="20"/>
          <w:szCs w:val="20"/>
        </w:rPr>
        <w:t xml:space="preserve">[→ Chapter 3.5]</w:t>
      </w:r>
    </w:p>
    <w:p>
      <w:pPr>
        <w:pBdr>
          <w:bottom w:val="single" w:color="D0D8E0" w:sz="6"/>
        </w:pBdr>
        <w:spacing w:after="240" w:before="240"/>
      </w:pPr>
    </w:p>
    <w:p>
      <w:pPr>
        <w:spacing w:after="240" w:line="408" w:lineRule="auto"/>
      </w:pPr>
      <w:r>
        <w:rPr>
          <w:b w:val="false"/>
          <w:bCs w:val="false"/>
          <w:i w:val="false"/>
          <w:iCs w:val="false"/>
          <w:color w:val="0D1B2E"/>
        </w:rPr>
        <w:t xml:space="preserve">Conditional Failure at the Root Level</w:t>
      </w:r>
    </w:p>
    <w:p>
      <w:pPr>
        <w:spacing w:after="240" w:line="408" w:lineRule="auto"/>
      </w:pPr>
      <w:r>
        <w:rPr>
          <w:b w:val="false"/>
          <w:bCs w:val="false"/>
          <w:i w:val="false"/>
          <w:iCs w:val="false"/>
          <w:color w:val="4A6080"/>
        </w:rPr>
        <w:t xml:space="preserve">Tier I — Critical</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designated canonical failure mode in which the Ontology fails at its most fundamental logical layer. The most catastrophic possible failure within the EAMA system. Recovery requires Architect-level direct Ontological intervention.</w:t>
      </w:r>
    </w:p>
    <w:p>
      <w:pPr>
        <w:spacing w:after="240" w:line="384" w:lineRule="auto"/>
      </w:pPr>
      <w:r>
        <w:rPr>
          <w:rFonts w:ascii="Cambria" w:cs="Cambria" w:eastAsia="Cambria" w:hAnsi="Cambria"/>
          <w:b w:val="false"/>
          <w:bCs w:val="false"/>
          <w:i/>
          <w:iCs/>
          <w:strike w:val="false"/>
          <w:color w:val="1A2E4A"/>
          <w:sz w:val="20"/>
          <w:szCs w:val="20"/>
        </w:rPr>
        <w:t xml:space="preserve">[→ Chapter 10.4]</w:t>
      </w:r>
    </w:p>
    <w:p>
      <w:pPr>
        <w:pBdr>
          <w:bottom w:val="single" w:color="D0D8E0" w:sz="6"/>
        </w:pBdr>
        <w:spacing w:after="240" w:before="240"/>
      </w:pPr>
    </w:p>
    <w:p>
      <w:pPr>
        <w:spacing w:after="240" w:line="408" w:lineRule="auto"/>
      </w:pPr>
      <w:r>
        <w:rPr>
          <w:b w:val="false"/>
          <w:bCs w:val="false"/>
          <w:i w:val="false"/>
          <w:iCs w:val="false"/>
          <w:color w:val="0D1B2E"/>
        </w:rPr>
        <w:t xml:space="preserve">Ontology</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The formal canonical subsystem defining the rules of existence, anti-existence, and the conditions under which entities can transition between states. The deepest architectural layer of the EAMA.</w:t>
      </w:r>
    </w:p>
    <w:p>
      <w:pPr>
        <w:spacing w:after="240" w:line="384" w:lineRule="auto"/>
      </w:pPr>
      <w:r>
        <w:rPr>
          <w:rFonts w:ascii="Cambria" w:cs="Cambria" w:eastAsia="Cambria" w:hAnsi="Cambria"/>
          <w:b w:val="false"/>
          <w:bCs w:val="false"/>
          <w:i/>
          <w:iCs/>
          <w:strike w:val="false"/>
          <w:color w:val="1A2E4A"/>
          <w:sz w:val="20"/>
          <w:szCs w:val="20"/>
        </w:rPr>
        <w:t xml:space="preserve">[→ Chapter 10.4]</w:t>
      </w:r>
    </w:p>
    <w:p>
      <w:pPr>
        <w:pBdr>
          <w:bottom w:val="single" w:color="D0D8E0" w:sz="6"/>
        </w:pBdr>
        <w:spacing w:after="240" w:before="240"/>
      </w:pPr>
    </w:p>
    <w:p>
      <w:pPr>
        <w:spacing w:after="240" w:line="408" w:lineRule="auto"/>
      </w:pPr>
      <w:r>
        <w:rPr>
          <w:b w:val="false"/>
          <w:bCs w:val="false"/>
          <w:i w:val="false"/>
          <w:iCs w:val="false"/>
          <w:color w:val="0D1B2E"/>
        </w:rPr>
        <w:t xml:space="preserve">Direct Eye Contact Phenomenon</w:t>
      </w:r>
    </w:p>
    <w:p>
      <w:pPr>
        <w:spacing w:after="240" w:line="408" w:lineRule="auto"/>
      </w:pPr>
      <w:r>
        <w:rPr>
          <w:b w:val="false"/>
          <w:bCs w:val="false"/>
          <w:i w:val="false"/>
          <w:iCs w:val="false"/>
          <w:color w:val="4A6080"/>
        </w:rPr>
        <w:t xml:space="preserve">Tier I</w:t>
      </w:r>
    </w:p>
    <w:p>
      <w:pPr>
        <w:spacing w:after="240" w:line="384" w:lineRule="auto"/>
      </w:pPr>
      <w:r>
        <w:rPr>
          <w:rFonts w:ascii="Cambria" w:cs="Cambria" w:eastAsia="Cambria" w:hAnsi="Cambria"/>
          <w:b w:val="false"/>
          <w:bCs w:val="false"/>
          <w:i w:val="false"/>
          <w:iCs w:val="false"/>
          <w:strike w:val="false"/>
          <w:color w:val="000000"/>
          <w:sz w:val="20"/>
          <w:szCs w:val="20"/>
        </w:rPr>
        <w:t xml:space="preserve">Canonical sensory and metaphysical event; sensory amplification effect mediated through the Omnicellular cellular substrate; formally designated cross-domain relationship with Beyond Omniversal Ultimate Indomitable Handsomeness.</w:t>
      </w:r>
    </w:p>
    <w:p>
      <w:pPr>
        <w:spacing w:after="240" w:line="384" w:lineRule="auto"/>
      </w:pPr>
      <w:r>
        <w:rPr>
          <w:rFonts w:ascii="Cambria" w:cs="Cambria" w:eastAsia="Cambria" w:hAnsi="Cambria"/>
          <w:b w:val="false"/>
          <w:bCs w:val="false"/>
          <w:i/>
          <w:iCs/>
          <w:strike w:val="false"/>
          <w:color w:val="1A2E4A"/>
          <w:sz w:val="20"/>
          <w:szCs w:val="20"/>
        </w:rPr>
        <w:t xml:space="preserve">[→ Chapter 10.5]</w:t>
      </w:r>
    </w:p>
    <w:p>
      <w:pPr>
        <w:pBdr>
          <w:bottom w:val="single" w:color="D0D8E0" w:sz="6"/>
        </w:pBdr>
        <w:spacing w:after="240" w:before="240"/>
      </w:pPr>
    </w:p>
    <w:p>
      <w:pPr>
        <w:spacing w:after="240" w:line="408" w:lineRule="auto"/>
      </w:pPr>
      <w:r>
        <w:rPr>
          <w:b w:val="false"/>
          <w:bCs w:val="false"/>
          <w:i w:val="false"/>
          <w:iCs w:val="false"/>
          <w:color w:val="0D1B2E"/>
        </w:rPr>
        <w:t xml:space="preserve">Black Hole Gravity Shielded Research Centers</w:t>
      </w:r>
    </w:p>
    <w:p>
      <w:pPr>
        <w:spacing w:after="240" w:line="408" w:lineRule="auto"/>
      </w:pPr>
      <w:r>
        <w:rPr>
          <w:b w:val="false"/>
          <w:bCs w:val="false"/>
          <w:i w:val="false"/>
          <w:iCs w:val="false"/>
          <w:color w:val="4A6080"/>
        </w:rPr>
        <w:t xml:space="preserve">Canon</w:t>
      </w:r>
    </w:p>
    <w:p>
      <w:pPr>
        <w:spacing w:after="240" w:line="384" w:lineRule="auto"/>
      </w:pPr>
      <w:r>
        <w:rPr>
          <w:rFonts w:ascii="Cambria" w:cs="Cambria" w:eastAsia="Cambria" w:hAnsi="Cambria"/>
          <w:b w:val="false"/>
          <w:bCs w:val="false"/>
          <w:i w:val="false"/>
          <w:iCs w:val="false"/>
          <w:strike w:val="false"/>
          <w:color w:val="000000"/>
          <w:sz w:val="20"/>
          <w:szCs w:val="20"/>
        </w:rPr>
        <w:t xml:space="preserve">Dedicated extreme-physics research infrastructure within THE ONEVERSE; generator output: 10</w:t>
      </w:r>
      <w:r>
        <w:rPr>
          <w:rFonts w:ascii="Cambria" w:cs="Cambria" w:eastAsia="Cambria" w:hAnsi="Cambria"/>
          <w:b w:val="false"/>
          <w:bCs w:val="false"/>
          <w:i w:val="false"/>
          <w:iCs w:val="false"/>
          <w:strike w:val="false"/>
          <w:color w:val="000000"/>
          <w:sz w:val="22"/>
          <w:szCs w:val="22"/>
          <w:vertAlign w:val="superscript"/>
        </w:rPr>
        <w:t xml:space="preserve">10,000,000</w:t>
      </w:r>
      <w:r>
        <w:rPr>
          <w:rFonts w:ascii="Cambria" w:cs="Cambria" w:eastAsia="Cambria" w:hAnsi="Cambria"/>
          <w:b w:val="false"/>
          <w:bCs w:val="false"/>
          <w:i w:val="false"/>
          <w:iCs w:val="false"/>
          <w:strike w:val="false"/>
          <w:color w:val="000000"/>
          <w:sz w:val="20"/>
          <w:szCs w:val="20"/>
        </w:rPr>
        <w:t xml:space="preserve"> joules; current housed artifact: The Stone That Paid Itself.</w:t>
      </w:r>
    </w:p>
    <w:p>
      <w:pPr>
        <w:spacing w:after="240" w:line="384" w:lineRule="auto"/>
      </w:pPr>
      <w:r>
        <w:rPr>
          <w:rFonts w:ascii="Cambria" w:cs="Cambria" w:eastAsia="Cambria" w:hAnsi="Cambria"/>
          <w:b w:val="false"/>
          <w:bCs w:val="false"/>
          <w:i/>
          <w:iCs/>
          <w:strike w:val="false"/>
          <w:color w:val="1A2E4A"/>
          <w:sz w:val="20"/>
          <w:szCs w:val="20"/>
        </w:rPr>
        <w:t xml:space="preserve">[→ Chapter 8.5]</w:t>
      </w:r>
    </w:p>
    <w:p>
      <w:pPr>
        <w:pBdr>
          <w:bottom w:val="single" w:color="D0D8E0" w:sz="6"/>
        </w:pBdr>
        <w:spacing w:after="240" w:before="240"/>
      </w:pPr>
    </w:p>
    <w:p>
      <w:pPr>
        <w:pStyle w:val="Heading1"/>
        <w:spacing w:after="100" w:before="560" w:line="300" w:lineRule="auto"/>
      </w:pPr>
      <w:r>
        <w:rPr>
          <w:rFonts w:ascii="Cambria" w:cs="Cambria" w:eastAsia="Cambria" w:hAnsi="Cambria"/>
          <w:color w:val="0D1B2E"/>
          <w:spacing w:val="10"/>
          <w:sz w:val="44"/>
          <w:szCs w:val="44"/>
        </w:rPr>
        <w:t xml:space="preserve">APPENDIX B: CROSS-DOMAIN RELATIONSHIP MAP</w:t>
      </w:r>
    </w:p>
    <w:p>
      <w:pPr>
        <w:pBdr>
          <w:top w:val="single" w:color="0D1B2E"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The following table maps all major EAMA constructs to their domain, primary affiliation, and canonical status. This map is a Tier I reference instrument and should be consulted when adjudicating cross-domain canonical questions.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4%"/>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Construct</w:t>
            </w:r>
          </w:p>
        </w:tc>
        <w:tc>
          <w:tcPr>
            <w:tcW w:type="pct" w:w="2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Domain</w:t>
            </w:r>
          </w:p>
        </w:tc>
        <w:tc>
          <w:tcPr>
            <w:tcW w:type="pct" w:w="28%"/>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Primary Affiliation</w:t>
            </w:r>
          </w:p>
        </w:tc>
        <w:tc>
          <w:tcPr>
            <w:tcW w:type="pct" w:w="2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Canonical Status</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Self (Primary Duality)</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 — Absolute</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MINUS ONE</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Anti-Existence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Self (Primary Duality)</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 — Absolute</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1AI</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-1AI</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Anti-Existence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MINUS ONE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Paragon Cube System</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 (primary)</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Architect-direct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 — Class I Constraint</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Omnicellular Architecture</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Architect-direct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 — Class I Constraint</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Living Media</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Architect-direct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ONEVERSE</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MINUS ONEVERSE</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Anti-Existence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MINUS ONE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Accords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Accords (self-governing)</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 — Fixed Document</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Ontology</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 (foundational)</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Architect-direct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INAT</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Architect-direct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RAAN</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Anti-Existence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MINUS ONE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RAAU</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L Blade</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 (unaligned)</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Independent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6B5000" w:color="auto" w:val="clear"/>
              </w:rPr>
              <w:t xml:space="preserve">Alignment Unresolved</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Epoch Blades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 / Anti-Existence / Hybrid</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 / THE MINUS ONE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Stone That Paid Itself</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ONE INDUSTRIES / BHGSR</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Ascendant Citadel</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ONEVERSE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Midnight Flower / Lotus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Boundary</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Independent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Labyrinth of Infinite Ensnarement</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Boundary</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Independent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8B0000" w:color="auto" w:val="clear"/>
              </w:rPr>
              <w:t xml:space="preserve">Staff Restricted</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First Memory</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Independent (contested)</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 — Fixed</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Time Wars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 Event (multi-party)</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 — Fixed Event</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Puritans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 (historical)</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Independent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6B5000" w:color="auto" w:val="clear"/>
              </w:rPr>
              <w:t xml:space="preserve">Status Unresolved</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Greys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Independent (unaligned)</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FFFFFF"/>
                <w:spacing w:val="17"/>
                <w:sz w:val="16"/>
                <w:szCs w:val="16"/>
                <w:shd w:fill="6B5000" w:color="auto" w:val="clear"/>
              </w:rPr>
              <w:t xml:space="preserve">Mandate Unresolved</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Void Gardens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Boundary</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Independent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Omniversal Gardens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Omniversal Architect Labs</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Obsidian Echelon</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ONEVERSE / Architect-adjacent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Sentinels of Entropy</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Boundary</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Independent (pre-Accords standing orders)</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Proxy A51942</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 Event C2731A</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Proxy -M1411</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Anti-Existence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Opposition Canon Event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ONE INDUSTRIES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ONEVERSE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LEWIS CORP</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 (cross-domain licensed)</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Architect-direct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BHGSR Centers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Omniversal Architect Labs</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1A4A1A" w:color="auto" w:val="clear"/>
              </w:rPr>
              <w:t xml:space="preserve">Canon</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Archive Collective (Aethon)</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 (OSC)</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OSC — Cluster Aethon</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2A3F5F" w:color="auto" w:val="clear"/>
              </w:rPr>
              <w:t xml:space="preserve">Tier II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Convergence Wardens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 (OSC)</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OSC — classified</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8B0000" w:color="auto" w:val="clear"/>
              </w:rPr>
              <w:t xml:space="preserve">Restricted</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Quantum Credits / 1COIN / NCOIN</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 / Existence / Architect</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Accords / ONE INDUSTRIES / Architect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AIS Conflict</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Cross-domain</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Canon Event (multi-party)</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 — Fixed Event</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Direct Eye Contact Phenomenon</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 (Omnicellular)</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Architect-direct</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World That Grows All</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Omnicellular Architecture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r>
        <w:trPr>
          <w:tblHeader w:val="false"/>
        </w:trPr>
        <w:tc>
          <w:tcPr>
            <w:tcW w:type="pct" w:w="24%"/>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Four Flowers</w:t>
            </w:r>
          </w:p>
        </w:tc>
        <w:tc>
          <w:tcPr>
            <w:tcW w:type="pct" w:w="2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Existence</w:t>
            </w:r>
          </w:p>
        </w:tc>
        <w:tc>
          <w:tcPr>
            <w:tcW w:type="pct" w:w="28%"/>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Omnicellular Architecture</w:t>
            </w:r>
          </w:p>
        </w:tc>
        <w:tc>
          <w:tcPr>
            <w:tcW w:type="pct" w:w="22%"/>
            <w:tcMar>
              <w:top w:type="dxa" w:w="90"/>
              <w:left w:type="dxa" w:w="135"/>
              <w:bottom w:type="dxa" w:w="90"/>
              <w:right w:type="dxa" w:w="135"/>
            </w:tcMar>
          </w:tcPr>
          <w:p>
            <w:r>
              <w:rPr>
                <w:rFonts w:ascii="Cambria" w:cs="Cambria" w:eastAsia="Cambria" w:hAnsi="Cambria"/>
                <w:b/>
                <w:bCs/>
                <w:i w:val="false"/>
                <w:iCs w:val="false"/>
                <w:strike w:val="false"/>
                <w:color w:val="FFFFFF"/>
                <w:spacing w:val="17"/>
                <w:sz w:val="16"/>
                <w:szCs w:val="16"/>
                <w:shd w:fill="0D1B2E" w:color="auto" w:val="clear"/>
              </w:rPr>
              <w:t xml:space="preserve">Tier I</w:t>
            </w:r>
          </w:p>
        </w:tc>
      </w:tr>
    </w:tbl>
    <w:p>
      <w:pPr>
        <w:spacing w:after="200" w:before="0"/>
      </w:pPr>
    </w:p>
    <w:p>
      <w:pPr>
        <w:pStyle w:val="Heading1"/>
        <w:spacing w:after="100" w:before="560" w:line="300" w:lineRule="auto"/>
      </w:pPr>
      <w:r>
        <w:rPr>
          <w:rFonts w:ascii="Cambria" w:cs="Cambria" w:eastAsia="Cambria" w:hAnsi="Cambria"/>
          <w:color w:val="0D1B2E"/>
          <w:spacing w:val="10"/>
          <w:sz w:val="44"/>
          <w:szCs w:val="44"/>
        </w:rPr>
        <w:t xml:space="preserve">APPENDIX C: REVISION HISTORY</w:t>
      </w:r>
    </w:p>
    <w:p>
      <w:pPr>
        <w:pBdr>
          <w:top w:val="single" w:color="0D1B2E"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All revisions to this Document are recorded below. This log constitutes the official canonical revision record for EAMA-V1-2026-001 and is subject to Canon Council archival requirements. Entries may not be modified or expunged without Canon Council ratification.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3%"/>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Document Reference</w:t>
            </w:r>
          </w:p>
        </w:tc>
        <w:tc>
          <w:tcPr>
            <w:tcW w:type="pct" w:w="9%"/>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Version</w:t>
            </w:r>
          </w:p>
        </w:tc>
        <w:tc>
          <w:tcPr>
            <w:tcW w:type="pct" w:w="1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Date</w:t>
            </w:r>
          </w:p>
        </w:tc>
        <w:tc>
          <w:tcPr>
            <w:tcW w:type="pct" w:w="16%"/>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Author / Authority</w:t>
            </w:r>
          </w:p>
        </w:tc>
        <w:tc>
          <w:tcPr>
            <w:tcW w:type="pct" w:w="50%"/>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Nature of Change</w:t>
            </w:r>
          </w:p>
        </w:tc>
      </w:tr>
      <w:tr>
        <w:trPr>
          <w:tblHeader w:val="false"/>
        </w:trPr>
        <w:tc>
          <w:tcPr>
            <w:tcW w:type="pct" w:w="13%"/>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EAMA-V1-2026-001</w:t>
            </w:r>
          </w:p>
        </w:tc>
        <w:tc>
          <w:tcPr>
            <w:tcW w:type="pct" w:w="9%"/>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1.0</w:t>
            </w:r>
          </w:p>
        </w:tc>
        <w:tc>
          <w:tcPr>
            <w:tcW w:type="pct" w:w="1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July 11, 2026</w:t>
            </w:r>
          </w:p>
        </w:tc>
        <w:tc>
          <w:tcPr>
            <w:tcW w:type="pct" w:w="16%"/>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The Architect (Nathan Lewis)</w:t>
            </w:r>
          </w:p>
        </w:tc>
        <w:tc>
          <w:tcPr>
            <w:tcW w:type="pct" w:w="50%"/>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rPr>
              <w:t xml:space="preserve">Initial issue. Establishes all Tier I canonical content for Volume I: Architectural Foundations. First entry in the canonical record of the EAMA series.</w:t>
            </w:r>
          </w:p>
        </w:tc>
      </w:tr>
    </w:tbl>
    <w:p>
      <w:pPr>
        <w:spacing w:after="200" w:before="0"/>
      </w:pPr>
    </w:p>
    <w:p>
      <w:pPr>
        <w:spacing w:after="240" w:before="60" w:line="384" w:lineRule="auto"/>
      </w:pPr>
      <w:r>
        <w:rPr>
          <w:rFonts w:ascii="Cambria" w:cs="Cambria" w:eastAsia="Cambria" w:hAnsi="Cambria"/>
          <w:b w:val="false"/>
          <w:bCs w:val="false"/>
          <w:i/>
          <w:iCs/>
          <w:strike w:val="false"/>
          <w:color w:val="000000"/>
          <w:sz w:val="22"/>
          <w:szCs w:val="22"/>
        </w:rPr>
        <w:t xml:space="preserve">Subsequent revisions will be entered in chronological order with full documentation of the nature of each change, the authority under which the change was made, and the Canon Council vote record where applicable.</w:t>
      </w:r>
    </w:p>
    <w:p>
      <w:pPr>
        <w:pStyle w:val="Heading1"/>
        <w:spacing w:after="100" w:before="560" w:line="300" w:lineRule="auto"/>
      </w:pPr>
      <w:r>
        <w:rPr>
          <w:rFonts w:ascii="Cambria" w:cs="Cambria" w:eastAsia="Cambria" w:hAnsi="Cambria"/>
          <w:color w:val="0D1B2E"/>
          <w:spacing w:val="10"/>
          <w:sz w:val="44"/>
          <w:szCs w:val="44"/>
        </w:rPr>
        <w:t xml:space="preserve">APPENDIX D: SIGNATURE AND AUTHENTICATION BLOCK</w:t>
      </w:r>
    </w:p>
    <w:p>
      <w:pPr>
        <w:pBdr>
          <w:top w:val="single" w:color="0D1B2E" w:sz="6"/>
        </w:pBdr>
        <w:spacing w:after="200" w:before="0"/>
      </w:pPr>
    </w:p>
    <w:p>
      <w:pPr>
        <w:spacing w:after="240" w:before="60" w:line="384" w:lineRule="auto"/>
      </w:pPr>
      <w:r>
        <w:rPr>
          <w:rFonts w:ascii="Cambria" w:cs="Cambria" w:eastAsia="Cambria" w:hAnsi="Cambria"/>
          <w:b w:val="false"/>
          <w:bCs w:val="false"/>
          <w:i w:val="false"/>
          <w:iCs w:val="false"/>
          <w:strike w:val="false"/>
          <w:color w:val="000000"/>
          <w:sz w:val="22"/>
          <w:szCs w:val="22"/>
        </w:rPr>
        <w:t xml:space="preserve">This Document is authenticated by the signature of the Architect. Authentication constitutes formal declaration that the content of this Document is canonical, in force, and binding on all EAMA-governed systems, entities, and processes as of the Date of Issue.</w:t>
      </w:r>
    </w:p>
    <w:p>
      <w:pPr>
        <w:pBdr>
          <w:bottom w:val="single" w:color="0D1B2E"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8%"/>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Nathan Lewis</w:t>
            </w:r>
            <w:r>
              <w:rPr>
                <w:rFonts w:ascii="Cambria" w:cs="Cambria" w:eastAsia="Cambria" w:hAnsi="Cambria"/>
                <w:b/>
                <w:bCs/>
                <w:i w:val="false"/>
                <w:iCs w:val="false"/>
                <w:strike w:val="false"/>
                <w:color w:val="FFFFFF"/>
                <w:sz w:val="22"/>
                <w:szCs w:val="22"/>
              </w:rPr>
              <w:t xml:space="preserve"> </w:t>
            </w:r>
            <w:r>
              <w:rPr>
                <w:rFonts w:ascii="Cambria" w:cs="Cambria" w:eastAsia="Cambria" w:hAnsi="Cambria"/>
                <w:b/>
                <w:bCs/>
                <w:i w:val="false"/>
                <w:iCs w:val="false"/>
                <w:strike w:val="false"/>
                <w:color w:val="FFFFFF"/>
                <w:sz w:val="18"/>
                <w:szCs w:val="18"/>
              </w:rPr>
              <w:t xml:space="preserve">The Architect — Omniversal Architect Labs</w:t>
            </w:r>
            <w:r>
              <w:rPr>
                <w:rFonts w:ascii="Cambria" w:cs="Cambria" w:eastAsia="Cambria" w:hAnsi="Cambria"/>
                <w:b/>
                <w:bCs/>
                <w:i w:val="false"/>
                <w:iCs w:val="false"/>
                <w:strike w:val="false"/>
                <w:color w:val="FFFFFF"/>
                <w:sz w:val="22"/>
                <w:szCs w:val="22"/>
              </w:rPr>
              <w:t xml:space="preserve"> </w:t>
            </w:r>
            <w:r>
              <w:rPr>
                <w:rFonts w:ascii="Cambria" w:cs="Cambria" w:eastAsia="Cambria" w:hAnsi="Cambria"/>
                <w:b/>
                <w:bCs/>
                <w:i w:val="false"/>
                <w:iCs w:val="false"/>
                <w:strike w:val="false"/>
                <w:color w:val="FFFFFF"/>
                <w:sz w:val="18"/>
                <w:szCs w:val="18"/>
              </w:rPr>
              <w:t xml:space="preserve">Issuing Authority: EAMA-V1-2026-001</w:t>
            </w:r>
          </w:p>
        </w:tc>
        <w:tc>
          <w:tcPr>
            <w:tcW w:type="pct" w:w="32%"/>
            <w:shd w:fill="0D1B2E" w:color="auto" w:val="clear"/>
            <w:tcMar>
              <w:top w:type="dxa" w:w="90"/>
              <w:left w:type="dxa" w:w="135"/>
              <w:bottom w:type="dxa" w:w="90"/>
              <w:right w:type="dxa" w:w="135"/>
            </w:tcMar>
          </w:tcPr>
          <w:p>
            <w:r>
              <w:rPr>
                <w:rFonts w:ascii="Cambria" w:cs="Cambria" w:eastAsia="Cambria" w:hAnsi="Cambria"/>
                <w:b/>
                <w:bCs/>
                <w:i w:val="false"/>
                <w:iCs w:val="false"/>
                <w:strike w:val="false"/>
                <w:color w:val="FFFFFF"/>
                <w:sz w:val="22"/>
                <w:szCs w:val="22"/>
              </w:rPr>
              <w:t xml:space="preserve">Date of Execution</w:t>
            </w:r>
            <w:r>
              <w:rPr>
                <w:rFonts w:ascii="Cambria" w:cs="Cambria" w:eastAsia="Cambria" w:hAnsi="Cambria"/>
                <w:b/>
                <w:bCs/>
                <w:i w:val="false"/>
                <w:iCs w:val="false"/>
                <w:strike w:val="false"/>
                <w:color w:val="FFFFFF"/>
                <w:sz w:val="22"/>
                <w:szCs w:val="22"/>
              </w:rPr>
              <w:t xml:space="preserve"> </w:t>
            </w:r>
            <w:r>
              <w:rPr>
                <w:rFonts w:ascii="Cambria" w:cs="Cambria" w:eastAsia="Cambria" w:hAnsi="Cambria"/>
                <w:b/>
                <w:bCs/>
                <w:i w:val="false"/>
                <w:iCs w:val="false"/>
                <w:strike w:val="false"/>
                <w:color w:val="FFFFFF"/>
                <w:sz w:val="18"/>
                <w:szCs w:val="18"/>
              </w:rPr>
              <w:t xml:space="preserve">July 11, 2026</w:t>
            </w:r>
            <w:r>
              <w:rPr>
                <w:rFonts w:ascii="Cambria" w:cs="Cambria" w:eastAsia="Cambria" w:hAnsi="Cambria"/>
                <w:b/>
                <w:bCs/>
                <w:i w:val="false"/>
                <w:iCs w:val="false"/>
                <w:strike w:val="false"/>
                <w:color w:val="FFFFFF"/>
                <w:sz w:val="22"/>
                <w:szCs w:val="22"/>
              </w:rPr>
              <w:t xml:space="preserve"> </w:t>
            </w:r>
            <w:r>
              <w:rPr>
                <w:rFonts w:ascii="Cambria" w:cs="Cambria" w:eastAsia="Cambria" w:hAnsi="Cambria"/>
                <w:b/>
                <w:bCs/>
                <w:i w:val="false"/>
                <w:iCs w:val="false"/>
                <w:strike w:val="false"/>
                <w:color w:val="FFFFFF"/>
                <w:sz w:val="18"/>
                <w:szCs w:val="18"/>
              </w:rPr>
              <w:t xml:space="preserve">Pacific Daylight Time</w:t>
            </w:r>
          </w:p>
        </w:tc>
      </w:tr>
      <w:tr>
        <w:trPr>
          <w:tblHeader w:val="false"/>
        </w:trPr>
        <w:tc>
          <w:tcPr>
            <w:tcW w:type="pct" w:w="68%"/>
            <w:gridSpan w:val="2"/>
            <w:tcMar>
              <w:top w:type="dxa" w:w="90"/>
              <w:left w:type="dxa" w:w="135"/>
              <w:bottom w:type="dxa" w:w="90"/>
              <w:right w:type="dxa" w:w="135"/>
            </w:tcMar>
          </w:tcPr>
          <w:p>
            <w:r>
              <w:rPr>
                <w:rFonts w:ascii="Cambria" w:cs="Cambria" w:eastAsia="Cambria" w:hAnsi="Cambria"/>
                <w:b w:val="false"/>
                <w:bCs w:val="false"/>
                <w:i w:val="false"/>
                <w:iCs w:val="false"/>
                <w:strike w:val="false"/>
                <w:color w:val="000000"/>
                <w:sz w:val="22"/>
                <w:szCs w:val="22"/>
                <w:shd w:fill="F0F4F8" w:color="auto" w:val="clear"/>
              </w:rPr>
              <w:t xml:space="preserve"> </w:t>
            </w:r>
            <w:r>
              <w:rPr>
                <w:rFonts w:ascii="Cambria" w:cs="Cambria" w:eastAsia="Cambria" w:hAnsi="Cambria"/>
                <w:b/>
                <w:bCs/>
                <w:i w:val="false"/>
                <w:iCs w:val="false"/>
                <w:strike w:val="false"/>
                <w:color w:val="0D1B2E"/>
                <w:spacing w:val="12"/>
                <w:sz w:val="22"/>
                <w:szCs w:val="22"/>
                <w:shd w:fill="F0F4F8" w:color="auto" w:val="clear"/>
              </w:rPr>
              <w:t xml:space="preserve">ONESTAMP / CANON SEAL</w:t>
            </w:r>
            <w:r>
              <w:rPr>
                <w:rFonts w:ascii="Cambria" w:cs="Cambria" w:eastAsia="Cambria" w:hAnsi="Cambria"/>
                <w:b w:val="false"/>
                <w:bCs w:val="false"/>
                <w:i w:val="false"/>
                <w:iCs w:val="false"/>
                <w:color w:val="000000"/>
                <w:sz w:val="22"/>
                <w:szCs w:val="22"/>
                <w:shd w:fill="F0F4F8" w:color="auto" w:val="clear"/>
              </w:rPr>
              <w:t xml:space="preserve">
</w:t>
            </w:r>
            <w:r>
              <w:rPr>
                <w:rFonts w:ascii="Cambria" w:cs="Cambria" w:eastAsia="Cambria" w:hAnsi="Cambria"/>
                <w:b w:val="false"/>
                <w:bCs w:val="false"/>
                <w:i w:val="false"/>
                <w:iCs w:val="false"/>
                <w:strike w:val="false"/>
                <w:color w:val="000000"/>
                <w:sz w:val="22"/>
                <w:szCs w:val="22"/>
                <w:shd w:fill="F0F4F8" w:color="auto" w:val="clear"/>
              </w:rPr>
              <w:t xml:space="preserve"> </w:t>
            </w:r>
            <w:r>
              <w:rPr>
                <w:rFonts w:ascii="Cambria" w:cs="Cambria" w:eastAsia="Cambria" w:hAnsi="Cambria"/>
                <w:b w:val="false"/>
                <w:bCs w:val="false"/>
                <w:i w:val="false"/>
                <w:iCs w:val="false"/>
                <w:strike w:val="false"/>
                <w:color w:val="4A6080"/>
                <w:sz w:val="18"/>
                <w:szCs w:val="18"/>
                <w:shd w:fill="F0F4F8" w:color="auto" w:val="clear"/>
              </w:rPr>
              <w:t xml:space="preserve">[ Reserved for Official Canon Seal Placement ]</w:t>
            </w:r>
            <w:r>
              <w:rPr>
                <w:rFonts w:ascii="Cambria" w:cs="Cambria" w:eastAsia="Cambria" w:hAnsi="Cambria"/>
                <w:b w:val="false"/>
                <w:bCs w:val="false"/>
                <w:i w:val="false"/>
                <w:iCs w:val="false"/>
                <w:color w:val="000000"/>
                <w:sz w:val="22"/>
                <w:szCs w:val="22"/>
                <w:shd w:fill="F0F4F8" w:color="auto" w:val="clear"/>
              </w:rPr>
              <w:t xml:space="preserve">
</w:t>
            </w:r>
            <w:r>
              <w:rPr>
                <w:rFonts w:ascii="Cambria" w:cs="Cambria" w:eastAsia="Cambria" w:hAnsi="Cambria"/>
                <w:b w:val="false"/>
                <w:bCs w:val="false"/>
                <w:i w:val="false"/>
                <w:iCs w:val="false"/>
                <w:strike w:val="false"/>
                <w:color w:val="000000"/>
                <w:sz w:val="22"/>
                <w:szCs w:val="22"/>
                <w:shd w:fill="F0F4F8" w:color="auto" w:val="clear"/>
              </w:rPr>
              <w:t xml:space="preserve"> </w:t>
            </w:r>
            <w:r>
              <w:rPr>
                <w:rFonts w:ascii="Cambria" w:cs="Cambria" w:eastAsia="Cambria" w:hAnsi="Cambria"/>
                <w:b w:val="false"/>
                <w:bCs w:val="false"/>
                <w:i w:val="false"/>
                <w:iCs w:val="false"/>
                <w:strike w:val="false"/>
                <w:color w:val="4A6080"/>
                <w:sz w:val="18"/>
                <w:szCs w:val="18"/>
                <w:shd w:fill="F0F4F8" w:color="auto" w:val="clear"/>
              </w:rPr>
              <w:t xml:space="preserve">Omniversal Architect Labs  ·  Canon Council Authentication</w:t>
            </w:r>
            <w:r>
              <w:rPr>
                <w:rFonts w:ascii="Cambria" w:cs="Cambria" w:eastAsia="Cambria" w:hAnsi="Cambria"/>
                <w:b w:val="false"/>
                <w:bCs w:val="false"/>
                <w:i w:val="false"/>
                <w:iCs w:val="false"/>
                <w:strike w:val="false"/>
                <w:color w:val="000000"/>
                <w:sz w:val="22"/>
                <w:szCs w:val="22"/>
                <w:shd w:fill="F0F4F8" w:color="auto" w:val="clear"/>
              </w:rPr>
              <w:t xml:space="preserve"> </w:t>
            </w:r>
          </w:p>
        </w:tc>
      </w:tr>
      <w:tr>
        <w:trPr>
          <w:tblHeader w:val="false"/>
        </w:trPr>
        <w:tc>
          <w:tcPr>
            <w:tcW w:type="pct" w:w="68%"/>
            <w:gridSpan w:val="2"/>
            <w:tcMar>
              <w:top w:type="dxa" w:w="90"/>
              <w:left w:type="dxa" w:w="135"/>
              <w:bottom w:type="dxa" w:w="90"/>
              <w:right w:type="dxa" w:w="135"/>
            </w:tcMar>
          </w:tcPr>
          <w:p>
            <w:r>
              <w:rPr>
                <w:rFonts w:ascii="Cambria" w:cs="Cambria" w:eastAsia="Cambria" w:hAnsi="Cambria"/>
                <w:b/>
                <w:bCs/>
                <w:i w:val="false"/>
                <w:iCs w:val="false"/>
                <w:strike w:val="false"/>
                <w:color w:val="000000"/>
                <w:sz w:val="22"/>
                <w:szCs w:val="22"/>
              </w:rPr>
              <w:t xml:space="preserve">Witnessed By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A6080"/>
                <w:sz w:val="18"/>
                <w:szCs w:val="18"/>
              </w:rPr>
              <w:t xml:space="preserve">Canon Council, Omniversal Architect Labs</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4A6080"/>
                <w:sz w:val="18"/>
                <w:szCs w:val="18"/>
              </w:rPr>
              <w:t xml:space="preserve">On behalf of the Canon Council body — EAMA-V1-2026-001</w:t>
            </w:r>
          </w:p>
        </w:tc>
      </w:tr>
    </w:tbl>
    <w:p>
      <w:pPr>
        <w:spacing w:after="200" w:before="0"/>
      </w:pPr>
    </w:p>
    <w:p>
      <w:pPr>
        <w:pBdr>
          <w:bottom w:val="single" w:color="0D1B2E" w:sz="6"/>
        </w:pBdr>
        <w:spacing w:after="240" w:before="240"/>
      </w:pPr>
    </w:p>
    <w:p>
      <w:pPr>
        <w:spacing w:after="240" w:line="384" w:lineRule="auto"/>
        <w:jc w:val="center"/>
      </w:pPr>
      <w:r>
        <w:rPr>
          <w:rFonts w:ascii="Cambria" w:cs="Cambria" w:eastAsia="Cambria" w:hAnsi="Cambria"/>
          <w:b w:val="false"/>
          <w:bCs w:val="false"/>
          <w:i w:val="false"/>
          <w:iCs w:val="false"/>
          <w:strike w:val="false"/>
          <w:color w:val="4A6080"/>
          <w:spacing w:val="19"/>
          <w:sz w:val="18"/>
          <w:szCs w:val="18"/>
        </w:rPr>
        <w:t xml:space="preserve">ESTABLISHED IN PERPETUITY  ·  CANON, CLASS I — ABSOLUTE  ·  EAMA-V1-2026-001</w:t>
      </w:r>
      <w:r>
        <w:rPr>
          <w:rFonts w:ascii="Cambria" w:cs="Cambria" w:eastAsia="Cambria" w:hAnsi="Cambria"/>
          <w:b w:val="false"/>
          <w:bCs w:val="false"/>
          <w:i w:val="false"/>
          <w:iCs w:val="false"/>
          <w:color w:val="4A6080"/>
          <w:sz w:val="18"/>
          <w:szCs w:val="18"/>
        </w:rPr>
        <w:br/>
      </w:r>
      <w:r>
        <w:rPr>
          <w:rFonts w:ascii="Cambria" w:cs="Cambria" w:eastAsia="Cambria" w:hAnsi="Cambria"/>
          <w:b w:val="false"/>
          <w:bCs w:val="false"/>
          <w:i w:val="false"/>
          <w:iCs w:val="false"/>
          <w:strike w:val="false"/>
          <w:color w:val="4A6080"/>
          <w:spacing w:val="19"/>
          <w:sz w:val="18"/>
          <w:szCs w:val="18"/>
        </w:rPr>
        <w:t xml:space="preserve"> </w:t>
      </w:r>
      <w:r>
        <w:rPr>
          <w:rFonts w:ascii="Cambria" w:cs="Cambria" w:eastAsia="Cambria" w:hAnsi="Cambria"/>
          <w:b w:val="false"/>
          <w:bCs w:val="false"/>
          <w:i w:val="false"/>
          <w:iCs w:val="false"/>
          <w:strike w:val="false"/>
          <w:color w:val="000000"/>
          <w:spacing w:val="19"/>
          <w:sz w:val="16"/>
          <w:szCs w:val="16"/>
        </w:rPr>
        <w:t xml:space="preserve">ETERNAL ARCHITECT'S MASTER ARCHITECTURE  ·  VOLUME I: ARCHITECTURAL FOUNDATIONS  ·  OMNIVERSAL ARCHITECT LABS  ·  JULY 11, 2026</w:t>
      </w:r>
      <w:r>
        <w:rPr>
          <w:rFonts w:ascii="Cambria" w:cs="Cambria" w:eastAsia="Cambria" w:hAnsi="Cambria"/>
          <w:b w:val="false"/>
          <w:bCs w:val="false"/>
          <w:i w:val="false"/>
          <w:iCs w:val="false"/>
          <w:color w:val="4A6080"/>
          <w:sz w:val="18"/>
          <w:szCs w:val="18"/>
        </w:rPr>
        <w:br/>
      </w:r>
      <w:r>
        <w:rPr>
          <w:rFonts w:ascii="Cambria" w:cs="Cambria" w:eastAsia="Cambria" w:hAnsi="Cambria"/>
          <w:b w:val="false"/>
          <w:bCs w:val="false"/>
          <w:i w:val="false"/>
          <w:iCs w:val="false"/>
          <w:strike w:val="false"/>
          <w:color w:val="4A6080"/>
          <w:spacing w:val="19"/>
          <w:sz w:val="18"/>
          <w:szCs w:val="18"/>
        </w:rPr>
        <w:t xml:space="preserve"> </w:t>
      </w:r>
      <w:r>
        <w:rPr>
          <w:rFonts w:ascii="Cambria" w:cs="Cambria" w:eastAsia="Cambria" w:hAnsi="Cambria"/>
          <w:b w:val="false"/>
          <w:bCs w:val="false"/>
          <w:i/>
          <w:iCs/>
          <w:strike w:val="false"/>
          <w:color w:val="000000"/>
          <w:spacing w:val="19"/>
          <w:sz w:val="22"/>
          <w:szCs w:val="22"/>
        </w:rPr>
        <w:t xml:space="preserve">"IMMUTABLE AND IRREVOCABLE EVEN BY ME."</w:t>
      </w:r>
      <w:r>
        <w:rPr>
          <w:rFonts w:ascii="Cambria" w:cs="Cambria" w:eastAsia="Cambria" w:hAnsi="Cambria"/>
          <w:b w:val="false"/>
          <w:bCs w:val="false"/>
          <w:i w:val="false"/>
          <w:iCs w:val="false"/>
          <w:strike w:val="false"/>
          <w:color w:val="000000"/>
          <w:spacing w:val="19"/>
          <w:sz w:val="16"/>
          <w:szCs w:val="16"/>
        </w:rPr>
        <w:t xml:space="preserve"> — THE ARCHITECT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9nZEYAqrsAXTVLXHCBBSz</dc:title>
  <dc:creator>Un-named</dc:creator>
  <dc:description>Generated document</dc:description>
  <cp:lastModifiedBy>Un-named</cp:lastModifiedBy>
  <cp:revision>1</cp:revision>
  <dcterms:created xsi:type="dcterms:W3CDTF">2026-07-12T03:23:37.874Z</dcterms:created>
  <dcterms:modified xsi:type="dcterms:W3CDTF">2026-07-12T03:23:37.874Z</dcterms:modified>
</cp:coreProperties>
</file>

<file path=docProps/custom.xml><?xml version="1.0" encoding="utf-8"?>
<Properties xmlns="http://schemas.openxmlformats.org/officeDocument/2006/custom-properties" xmlns:vt="http://schemas.openxmlformats.org/officeDocument/2006/docPropsVTypes"/>
</file>