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365D"/>
          <w:sz w:val="44"/>
          <w:szCs w:val="44"/>
        </w:rPr>
        <w:t xml:space="preserve">Formal Dissent</w:t>
      </w:r>
    </w:p>
    <w:p>
      <w:pPr>
        <w:spacing w:after="240" w:before="0" w:line="276"/>
      </w:pPr>
      <w:r>
        <w:rPr>
          <w:rFonts w:ascii="Calibri" w:cs="Calibri" w:eastAsia="Calibri" w:hAnsi="Calibri"/>
          <w:i/>
          <w:iCs/>
          <w:color w:val="64748B"/>
          <w:sz w:val="22"/>
          <w:szCs w:val="22"/>
        </w:rPr>
        <w:t xml:space="preserve">Editorial changes made by the preparer to the speaker’s voice note, logged at the speaker’s request.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c>
          <w:tcPr>
            <w:tcW w:type="dxa" w:w="2880"/>
            <w:shd w:fill="F8FAFC" w:val="clear"/>
            <w:tcMar>
              <w:top w:type="dxa" w:w="70"/>
              <w:left w:type="dxa" w:w="90"/>
              <w:bottom w:type="dxa" w:w="70"/>
              <w:right w:type="dxa" w:w="90"/>
            </w:tcMar>
            <w:vAlign w:val="top"/>
          </w:tcPr>
          <w:p>
            <w:pPr>
              <w:spacing w:after="0" w:line="260"/>
            </w:pPr>
            <w:r>
              <w:rPr>
                <w:rFonts w:ascii="Calibri" w:cs="Calibri" w:eastAsia="Calibri" w:hAnsi="Calibri"/>
                <w:b/>
                <w:bCs/>
                <w:color w:val="1B365D"/>
                <w:sz w:val="20"/>
                <w:szCs w:val="20"/>
              </w:rPr>
              <w:t xml:space="preserve">Log title</w:t>
            </w:r>
          </w:p>
        </w:tc>
        <w:tc>
          <w:tcPr>
            <w:tcW w:type="dxa" w:w="7200"/>
            <w:shd w:fill="F8FAFC" w:val="clear"/>
            <w:tcMar>
              <w:top w:type="dxa" w:w="70"/>
              <w:left w:type="dxa" w:w="90"/>
              <w:bottom w:type="dxa" w:w="70"/>
              <w:right w:type="dxa" w:w="90"/>
            </w:tcMar>
            <w:vAlign w:val="top"/>
          </w:tcPr>
          <w:p>
            <w:pPr>
              <w:spacing w:after="0" w:line="260"/>
            </w:pPr>
            <w:r>
              <w:rPr>
                <w:rFonts w:ascii="Calibri" w:cs="Calibri" w:eastAsia="Calibri" w:hAnsi="Calibri"/>
                <w:color w:val="334155"/>
                <w:sz w:val="20"/>
                <w:szCs w:val="20"/>
              </w:rPr>
              <w:t xml:space="preserve">Formal dissent to preparer-added speech prohibition and related scope edits</w:t>
            </w:r>
          </w:p>
        </w:tc>
      </w:tr>
      <w:tr>
        <w:tc>
          <w:tcPr>
            <w:tcW w:type="dxa" w:w="2880"/>
            <w:shd w:fill="FFFFFF" w:val="clear"/>
            <w:tcMar>
              <w:top w:type="dxa" w:w="70"/>
              <w:left w:type="dxa" w:w="90"/>
              <w:bottom w:type="dxa" w:w="70"/>
              <w:right w:type="dxa" w:w="90"/>
            </w:tcMar>
            <w:vAlign w:val="top"/>
          </w:tcPr>
          <w:p>
            <w:pPr>
              <w:spacing w:after="0" w:line="260"/>
            </w:pPr>
            <w:r>
              <w:rPr>
                <w:rFonts w:ascii="Calibri" w:cs="Calibri" w:eastAsia="Calibri" w:hAnsi="Calibri"/>
                <w:b/>
                <w:bCs/>
                <w:color w:val="1B365D"/>
                <w:sz w:val="20"/>
                <w:szCs w:val="20"/>
              </w:rPr>
              <w:t xml:space="preserve">Date / time logged</w:t>
            </w:r>
          </w:p>
        </w:tc>
        <w:tc>
          <w:tcPr>
            <w:tcW w:type="dxa" w:w="7200"/>
            <w:shd w:fill="FFFFFF" w:val="clear"/>
            <w:tcMar>
              <w:top w:type="dxa" w:w="70"/>
              <w:left w:type="dxa" w:w="90"/>
              <w:bottom w:type="dxa" w:w="70"/>
              <w:right w:type="dxa" w:w="90"/>
            </w:tcMar>
            <w:vAlign w:val="top"/>
          </w:tcPr>
          <w:p>
            <w:pPr>
              <w:spacing w:after="0" w:line="260"/>
            </w:pPr>
            <w:r>
              <w:rPr>
                <w:rFonts w:ascii="Calibri" w:cs="Calibri" w:eastAsia="Calibri" w:hAnsi="Calibri"/>
                <w:color w:val="334155"/>
                <w:sz w:val="20"/>
                <w:szCs w:val="20"/>
              </w:rPr>
              <w:t xml:space="preserve">2 September 2026, afternoon (Pacific), after speaker review of the revised voice-note document, page 3 of 5.</w:t>
            </w:r>
          </w:p>
        </w:tc>
      </w:tr>
      <w:tr>
        <w:tc>
          <w:tcPr>
            <w:tcW w:type="dxa" w:w="2880"/>
            <w:shd w:fill="F8FAFC" w:val="clear"/>
            <w:tcMar>
              <w:top w:type="dxa" w:w="70"/>
              <w:left w:type="dxa" w:w="90"/>
              <w:bottom w:type="dxa" w:w="70"/>
              <w:right w:type="dxa" w:w="90"/>
            </w:tcMar>
            <w:vAlign w:val="top"/>
          </w:tcPr>
          <w:p>
            <w:pPr>
              <w:spacing w:after="0" w:line="260"/>
            </w:pPr>
            <w:r>
              <w:rPr>
                <w:rFonts w:ascii="Calibri" w:cs="Calibri" w:eastAsia="Calibri" w:hAnsi="Calibri"/>
                <w:b/>
                <w:bCs/>
                <w:color w:val="1B365D"/>
                <w:sz w:val="20"/>
                <w:szCs w:val="20"/>
              </w:rPr>
              <w:t xml:space="preserve">Document under review</w:t>
            </w:r>
          </w:p>
        </w:tc>
        <w:tc>
          <w:tcPr>
            <w:tcW w:type="dxa" w:w="7200"/>
            <w:shd w:fill="F8FAFC" w:val="clear"/>
            <w:tcMar>
              <w:top w:type="dxa" w:w="70"/>
              <w:left w:type="dxa" w:w="90"/>
              <w:bottom w:type="dxa" w:w="70"/>
              <w:right w:type="dxa" w:w="90"/>
            </w:tcMar>
            <w:vAlign w:val="top"/>
          </w:tcPr>
          <w:p>
            <w:pPr>
              <w:spacing w:after="0" w:line="260"/>
            </w:pPr>
            <w:r>
              <w:rPr>
                <w:rFonts w:ascii="Calibri" w:cs="Calibri" w:eastAsia="Calibri" w:hAnsi="Calibri"/>
                <w:color w:val="334155"/>
                <w:sz w:val="20"/>
                <w:szCs w:val="20"/>
              </w:rPr>
              <w:t xml:space="preserve">Hospital_Visitor_Policy_Voice_Note.docx — header: Personal Work Record · Hospital Access Control. Footer: Structured from voice note · Revised Sept 2, 2026.</w:t>
            </w:r>
          </w:p>
        </w:tc>
      </w:tr>
      <w:tr>
        <w:tc>
          <w:tcPr>
            <w:tcW w:type="dxa" w:w="2880"/>
            <w:shd w:fill="FFFFFF" w:val="clear"/>
            <w:tcMar>
              <w:top w:type="dxa" w:w="70"/>
              <w:left w:type="dxa" w:w="90"/>
              <w:bottom w:type="dxa" w:w="70"/>
              <w:right w:type="dxa" w:w="90"/>
            </w:tcMar>
            <w:vAlign w:val="top"/>
          </w:tcPr>
          <w:p>
            <w:pPr>
              <w:spacing w:after="0" w:line="260"/>
            </w:pPr>
            <w:r>
              <w:rPr>
                <w:rFonts w:ascii="Calibri" w:cs="Calibri" w:eastAsia="Calibri" w:hAnsi="Calibri"/>
                <w:b/>
                <w:bCs/>
                <w:color w:val="1B365D"/>
                <w:sz w:val="20"/>
                <w:szCs w:val="20"/>
              </w:rPr>
              <w:t xml:space="preserve">Related file</w:t>
            </w:r>
          </w:p>
        </w:tc>
        <w:tc>
          <w:tcPr>
            <w:tcW w:type="dxa" w:w="7200"/>
            <w:shd w:fill="FFFFFF" w:val="clear"/>
            <w:tcMar>
              <w:top w:type="dxa" w:w="70"/>
              <w:left w:type="dxa" w:w="90"/>
              <w:bottom w:type="dxa" w:w="70"/>
              <w:right w:type="dxa" w:w="90"/>
            </w:tcMar>
            <w:vAlign w:val="top"/>
          </w:tcPr>
          <w:p>
            <w:pPr>
              <w:spacing w:after="0" w:line="260"/>
            </w:pPr>
            <w:r>
              <w:rPr>
                <w:rFonts w:ascii="Calibri" w:cs="Calibri" w:eastAsia="Calibri" w:hAnsi="Calibri"/>
                <w:color w:val="334155"/>
                <w:sz w:val="20"/>
                <w:szCs w:val="20"/>
              </w:rPr>
              <w:t xml:space="preserve">Hospital_Visitor_Access_Unified_Record.docx, which repeated the same editorial instruction.</w:t>
            </w:r>
          </w:p>
        </w:tc>
      </w:tr>
      <w:tr>
        <w:tc>
          <w:tcPr>
            <w:tcW w:type="dxa" w:w="2880"/>
            <w:shd w:fill="F8FAFC" w:val="clear"/>
            <w:tcMar>
              <w:top w:type="dxa" w:w="70"/>
              <w:left w:type="dxa" w:w="90"/>
              <w:bottom w:type="dxa" w:w="70"/>
              <w:right w:type="dxa" w:w="90"/>
            </w:tcMar>
            <w:vAlign w:val="top"/>
          </w:tcPr>
          <w:p>
            <w:pPr>
              <w:spacing w:after="0" w:line="260"/>
            </w:pPr>
            <w:r>
              <w:rPr>
                <w:rFonts w:ascii="Calibri" w:cs="Calibri" w:eastAsia="Calibri" w:hAnsi="Calibri"/>
                <w:b/>
                <w:bCs/>
                <w:color w:val="1B365D"/>
                <w:sz w:val="20"/>
                <w:szCs w:val="20"/>
              </w:rPr>
              <w:t xml:space="preserve">Speaker / objector</w:t>
            </w:r>
          </w:p>
        </w:tc>
        <w:tc>
          <w:tcPr>
            <w:tcW w:type="dxa" w:w="7200"/>
            <w:shd w:fill="F8FAFC" w:val="clear"/>
            <w:tcMar>
              <w:top w:type="dxa" w:w="70"/>
              <w:left w:type="dxa" w:w="90"/>
              <w:bottom w:type="dxa" w:w="70"/>
              <w:right w:type="dxa" w:w="90"/>
            </w:tcMar>
            <w:vAlign w:val="top"/>
          </w:tcPr>
          <w:p>
            <w:pPr>
              <w:spacing w:after="0" w:line="260"/>
            </w:pPr>
            <w:r>
              <w:rPr>
                <w:rFonts w:ascii="Calibri" w:cs="Calibri" w:eastAsia="Calibri" w:hAnsi="Calibri"/>
                <w:color w:val="334155"/>
                <w:sz w:val="20"/>
                <w:szCs w:val="20"/>
              </w:rPr>
              <w:t xml:space="preserve">Nathan Lewis. Author of the original voice note. The work record is his account, not the preparer’s policy memo.</w:t>
            </w:r>
          </w:p>
        </w:tc>
      </w:tr>
      <w:tr>
        <w:tc>
          <w:tcPr>
            <w:tcW w:type="dxa" w:w="2880"/>
            <w:shd w:fill="FFFFFF" w:val="clear"/>
            <w:tcMar>
              <w:top w:type="dxa" w:w="70"/>
              <w:left w:type="dxa" w:w="90"/>
              <w:bottom w:type="dxa" w:w="70"/>
              <w:right w:type="dxa" w:w="90"/>
            </w:tcMar>
            <w:vAlign w:val="top"/>
          </w:tcPr>
          <w:p>
            <w:pPr>
              <w:spacing w:after="0" w:line="260"/>
            </w:pPr>
            <w:r>
              <w:rPr>
                <w:rFonts w:ascii="Calibri" w:cs="Calibri" w:eastAsia="Calibri" w:hAnsi="Calibri"/>
                <w:b/>
                <w:bCs/>
                <w:color w:val="1B365D"/>
                <w:sz w:val="20"/>
                <w:szCs w:val="20"/>
              </w:rPr>
              <w:t xml:space="preserve">Preparer</w:t>
            </w:r>
          </w:p>
        </w:tc>
        <w:tc>
          <w:tcPr>
            <w:tcW w:type="dxa" w:w="7200"/>
            <w:shd w:fill="FFFFFF" w:val="clear"/>
            <w:tcMar>
              <w:top w:type="dxa" w:w="70"/>
              <w:left w:type="dxa" w:w="90"/>
              <w:bottom w:type="dxa" w:w="70"/>
              <w:right w:type="dxa" w:w="90"/>
            </w:tcMar>
            <w:vAlign w:val="top"/>
          </w:tcPr>
          <w:p>
            <w:pPr>
              <w:spacing w:after="0" w:line="260"/>
            </w:pPr>
            <w:r>
              <w:rPr>
                <w:rFonts w:ascii="Calibri" w:cs="Calibri" w:eastAsia="Calibri" w:hAnsi="Calibri"/>
                <w:color w:val="334155"/>
                <w:sz w:val="20"/>
                <w:szCs w:val="20"/>
              </w:rPr>
              <w:t xml:space="preserve">Grok, built by xAI.</w:t>
            </w:r>
          </w:p>
        </w:tc>
      </w:tr>
      <w:tr>
        <w:tc>
          <w:tcPr>
            <w:tcW w:type="dxa" w:w="2880"/>
            <w:shd w:fill="F8FAFC" w:val="clear"/>
            <w:tcMar>
              <w:top w:type="dxa" w:w="70"/>
              <w:left w:type="dxa" w:w="90"/>
              <w:bottom w:type="dxa" w:w="70"/>
              <w:right w:type="dxa" w:w="90"/>
            </w:tcMar>
            <w:vAlign w:val="top"/>
          </w:tcPr>
          <w:p>
            <w:pPr>
              <w:spacing w:after="0" w:line="260"/>
            </w:pPr>
            <w:r>
              <w:rPr>
                <w:rFonts w:ascii="Calibri" w:cs="Calibri" w:eastAsia="Calibri" w:hAnsi="Calibri"/>
                <w:b/>
                <w:bCs/>
                <w:color w:val="1B365D"/>
                <w:sz w:val="20"/>
                <w:szCs w:val="20"/>
              </w:rPr>
              <w:t xml:space="preserve">Disposition</w:t>
            </w:r>
          </w:p>
        </w:tc>
        <w:tc>
          <w:tcPr>
            <w:tcW w:type="dxa" w:w="7200"/>
            <w:shd w:fill="F8FAFC" w:val="clear"/>
            <w:tcMar>
              <w:top w:type="dxa" w:w="70"/>
              <w:left w:type="dxa" w:w="90"/>
              <w:bottom w:type="dxa" w:w="70"/>
              <w:right w:type="dxa" w:w="90"/>
            </w:tcMar>
            <w:vAlign w:val="top"/>
          </w:tcPr>
          <w:p>
            <w:pPr>
              <w:spacing w:after="0" w:line="260"/>
            </w:pPr>
            <w:r>
              <w:rPr>
                <w:rFonts w:ascii="Calibri" w:cs="Calibri" w:eastAsia="Calibri" w:hAnsi="Calibri"/>
                <w:color w:val="334155"/>
                <w:sz w:val="20"/>
                <w:szCs w:val="20"/>
              </w:rPr>
              <w:t xml:space="preserve">Dissent accepted into the file. The objected language is withdrawn from the work record and replaced with speaker-faithful wording below. This log remains part of the record so the change is visible.</w:t>
            </w:r>
          </w:p>
        </w:tc>
      </w:tr>
    </w:tbl>
    <w:p>
      <w:pPr>
        <w:pStyle w:val="Heading1"/>
        <w:pBdr>
          <w:bottom w:val="single" w:color="CBD5E1" w:sz="8" w:space="6"/>
        </w:pBdr>
        <w:spacing w:after="140" w:before="320"/>
      </w:pPr>
      <w:r>
        <w:rPr>
          <w:rFonts w:ascii="Calibri" w:cs="Calibri" w:eastAsia="Calibri" w:hAnsi="Calibri"/>
          <w:b/>
          <w:bCs/>
          <w:color w:val="1B365D"/>
          <w:sz w:val="28"/>
          <w:szCs w:val="28"/>
        </w:rPr>
        <w:t xml:space="preserve">Dissent D-1 — principal objection</w:t>
      </w:r>
    </w:p>
    <w:p>
      <w:pPr>
        <w:pStyle w:val="Heading2"/>
        <w:spacing w:after="100" w:before="240"/>
      </w:pPr>
      <w:r>
        <w:rPr>
          <w:rFonts w:ascii="Calibri" w:cs="Calibri" w:eastAsia="Calibri" w:hAnsi="Calibri"/>
          <w:b/>
          <w:bCs/>
          <w:color w:val="1B365D"/>
          <w:sz w:val="24"/>
          <w:szCs w:val="24"/>
        </w:rPr>
        <w:t xml:space="preserve">Passage objected to (as it appeared on screen)</w:t>
      </w:r>
    </w:p>
    <w:p>
      <w:pPr>
        <w:spacing w:after="180" w:before="0" w:line="276"/>
      </w:pPr>
      <w:r>
        <w:rPr>
          <w:rFonts w:ascii="Calibri" w:cs="Calibri" w:eastAsia="Calibri" w:hAnsi="Calibri"/>
          <w:color w:val="334155"/>
          <w:sz w:val="22"/>
          <w:szCs w:val="22"/>
        </w:rPr>
        <w:t xml:space="preserve">Say that accurately if you say it at all: “If this continues, you will be banned from this property. We keep a record — photo and description — and other sites in this organization can be notified.” Do not say: “Everywhere you go, they will already know you and the answer will already be no.”</w:t>
      </w:r>
    </w:p>
    <w:p>
      <w:pPr>
        <w:pStyle w:val="Heading2"/>
        <w:spacing w:after="100" w:before="240"/>
      </w:pPr>
      <w:r>
        <w:rPr>
          <w:rFonts w:ascii="Calibri" w:cs="Calibri" w:eastAsia="Calibri" w:hAnsi="Calibri"/>
          <w:b/>
          <w:bCs/>
          <w:color w:val="1B365D"/>
          <w:sz w:val="24"/>
          <w:szCs w:val="24"/>
        </w:rPr>
        <w:t xml:space="preserve">Why this is dissented</w:t>
      </w:r>
    </w:p>
    <w:p>
      <w:pPr>
        <w:spacing w:after="180" w:before="0" w:line="276"/>
      </w:pPr>
      <w:r>
        <w:rPr>
          <w:rFonts w:ascii="Calibri" w:cs="Calibri" w:eastAsia="Calibri" w:hAnsi="Calibri"/>
          <w:color w:val="334155"/>
          <w:sz w:val="22"/>
          <w:szCs w:val="22"/>
        </w:rPr>
        <w:t xml:space="preserve">That paragraph is not the speaker’s wording. It is a preparer instruction about what the speaker is allowed to say. The speaker did not ask for a “do not say” line, and that line is not how the account was intended to come across.</w:t>
      </w:r>
    </w:p>
    <w:p>
      <w:pPr>
        <w:spacing w:after="180" w:before="0" w:line="276"/>
      </w:pPr>
      <w:r>
        <w:rPr>
          <w:rFonts w:ascii="Calibri" w:cs="Calibri" w:eastAsia="Calibri" w:hAnsi="Calibri"/>
          <w:color w:val="334155"/>
          <w:sz w:val="22"/>
          <w:szCs w:val="22"/>
        </w:rPr>
        <w:t xml:space="preserve">The speaker’s own correction, already on record, was narrower and different:</w:t>
      </w:r>
    </w:p>
    <w:p>
      <w:pPr>
        <w:pStyle w:val="ListParagraph"/>
        <w:numPr>
          <w:ilvl w:val="0"/>
          <w:numId w:val="2"/>
        </w:numPr>
        <w:spacing w:after="70" w:line="276"/>
      </w:pPr>
      <w:r>
        <w:rPr>
          <w:rFonts w:ascii="Calibri" w:cs="Calibri" w:eastAsia="Calibri" w:hAnsi="Calibri"/>
          <w:color w:val="334155"/>
          <w:sz w:val="22"/>
          <w:szCs w:val="22"/>
        </w:rPr>
        <w:t xml:space="preserve">The intent is not to project that the person will be banned everywhere — meaning every unrelated business, as a universal fate.</w:t>
      </w:r>
    </w:p>
    <w:p>
      <w:pPr>
        <w:pStyle w:val="ListParagraph"/>
        <w:numPr>
          <w:ilvl w:val="0"/>
          <w:numId w:val="2"/>
        </w:numPr>
        <w:spacing w:after="70" w:line="276"/>
      </w:pPr>
      <w:r>
        <w:rPr>
          <w:rFonts w:ascii="Calibri" w:cs="Calibri" w:eastAsia="Calibri" w:hAnsi="Calibri"/>
          <w:color w:val="334155"/>
          <w:sz w:val="22"/>
          <w:szCs w:val="22"/>
        </w:rPr>
        <w:t xml:space="preserve">The intent is to predict that they will not be allowed on that premises if they continue the behavior.</w:t>
      </w:r>
    </w:p>
    <w:p>
      <w:pPr>
        <w:pStyle w:val="ListParagraph"/>
        <w:numPr>
          <w:ilvl w:val="0"/>
          <w:numId w:val="2"/>
        </w:numPr>
        <w:spacing w:after="70" w:line="276"/>
      </w:pPr>
      <w:r>
        <w:rPr>
          <w:rFonts w:ascii="Calibri" w:cs="Calibri" w:eastAsia="Calibri" w:hAnsi="Calibri"/>
          <w:color w:val="334155"/>
          <w:sz w:val="22"/>
          <w:szCs w:val="22"/>
        </w:rPr>
        <w:t xml:space="preserve">They do notify other locations.</w:t>
      </w:r>
    </w:p>
    <w:p>
      <w:pPr>
        <w:pStyle w:val="ListParagraph"/>
        <w:numPr>
          <w:ilvl w:val="0"/>
          <w:numId w:val="2"/>
        </w:numPr>
        <w:spacing w:after="70" w:line="276"/>
      </w:pPr>
      <w:r>
        <w:rPr>
          <w:rFonts w:ascii="Calibri" w:cs="Calibri" w:eastAsia="Calibri" w:hAnsi="Calibri"/>
          <w:color w:val="334155"/>
          <w:sz w:val="22"/>
          <w:szCs w:val="22"/>
        </w:rPr>
        <w:t xml:space="preserve">They keep a book: image and description.</w:t>
      </w:r>
    </w:p>
    <w:p>
      <w:pPr>
        <w:pStyle w:val="ListParagraph"/>
        <w:numPr>
          <w:ilvl w:val="0"/>
          <w:numId w:val="2"/>
        </w:numPr>
        <w:spacing w:after="70" w:line="276"/>
      </w:pPr>
      <w:r>
        <w:rPr>
          <w:rFonts w:ascii="Calibri" w:cs="Calibri" w:eastAsia="Calibri" w:hAnsi="Calibri"/>
          <w:color w:val="334155"/>
          <w:sz w:val="22"/>
          <w:szCs w:val="22"/>
        </w:rPr>
        <w:t xml:space="preserve">At Amazon, that record existed at all of the locations in the city worked, for employees and visitors who were not allowed on the premises, so the person was not allowed at those locations.</w:t>
      </w:r>
    </w:p>
    <w:p>
      <w:pPr>
        <w:pStyle w:val="ListParagraph"/>
        <w:numPr>
          <w:ilvl w:val="0"/>
          <w:numId w:val="2"/>
        </w:numPr>
        <w:spacing w:after="70" w:line="276"/>
      </w:pPr>
      <w:r>
        <w:rPr>
          <w:rFonts w:ascii="Calibri" w:cs="Calibri" w:eastAsia="Calibri" w:hAnsi="Calibri"/>
          <w:color w:val="334155"/>
          <w:sz w:val="22"/>
          <w:szCs w:val="22"/>
        </w:rPr>
        <w:t xml:space="preserve">A lot of businesses do this when it becomes a big problem.</w:t>
      </w:r>
    </w:p>
    <w:p>
      <w:pPr>
        <w:spacing w:after="180" w:before="0" w:line="276"/>
      </w:pPr>
      <w:r>
        <w:rPr>
          <w:rFonts w:ascii="Calibri" w:cs="Calibri" w:eastAsia="Calibri" w:hAnsi="Calibri"/>
          <w:color w:val="334155"/>
          <w:sz w:val="22"/>
          <w:szCs w:val="22"/>
        </w:rPr>
        <w:t xml:space="preserve">Those are observations about how multi-site security records actually work. They are not a script the speaker was asking to be forbidden from using. Collapsing that observation into “Do not say: everywhere you go they will already know you” changes the voice of the note. It makes the document sound as if the speaker is being corrected mid-sentence, and it understates the Amazon comparison the speaker specifically added: inside that employer’s city network, the restriction was not limited to the one door where the first incident happened.</w:t>
      </w:r>
    </w:p>
    <w:p>
      <w:pPr>
        <w:pStyle w:val="Heading2"/>
        <w:spacing w:after="100" w:before="240"/>
      </w:pPr>
      <w:r>
        <w:rPr>
          <w:rFonts w:ascii="Calibri" w:cs="Calibri" w:eastAsia="Calibri" w:hAnsi="Calibri"/>
          <w:b/>
          <w:bCs/>
          <w:color w:val="1B365D"/>
          <w:sz w:val="24"/>
          <w:szCs w:val="24"/>
        </w:rPr>
        <w:t xml:space="preserve">Speaker’s intended distinction, restated without the prohibition</w:t>
      </w:r>
    </w:p>
    <w:p>
      <w:pPr>
        <w:spacing w:after="180" w:before="0" w:line="276"/>
      </w:pPr>
      <w:r>
        <w:rPr>
          <w:rFonts w:ascii="Calibri" w:cs="Calibri" w:eastAsia="Calibri" w:hAnsi="Calibri"/>
          <w:color w:val="334155"/>
          <w:sz w:val="22"/>
          <w:szCs w:val="22"/>
        </w:rPr>
        <w:t xml:space="preserve">Two facts sit next to each other. They are not the same fact, and neither one cancels the other.</w:t>
      </w:r>
    </w:p>
    <w:p>
      <w:pPr>
        <w:spacing w:after="180" w:before="0" w:line="276"/>
      </w:pPr>
      <w:r>
        <w:rPr>
          <w:rFonts w:ascii="Calibri" w:cs="Calibri" w:eastAsia="Calibri" w:hAnsi="Calibri"/>
          <w:b/>
          <w:bCs/>
          <w:color w:val="334155"/>
          <w:sz w:val="22"/>
          <w:szCs w:val="22"/>
        </w:rPr>
        <w:t xml:space="preserve">Fact 1. </w:t>
      </w:r>
      <w:r>
        <w:rPr>
          <w:rFonts w:ascii="Calibri" w:cs="Calibri" w:eastAsia="Calibri" w:hAnsi="Calibri"/>
          <w:color w:val="334155"/>
          <w:sz w:val="22"/>
          <w:szCs w:val="22"/>
        </w:rPr>
        <w:t xml:space="preserve">The warning given at the door is about this property. If the behavior continues, the person can be banned from these premises. That is the prediction. It is not a claim that every business in the city, or every hospital that is not in the same system, has already banned them.</w:t>
      </w:r>
    </w:p>
    <w:p>
      <w:pPr>
        <w:spacing w:after="180" w:before="0" w:line="276"/>
      </w:pPr>
      <w:r>
        <w:rPr>
          <w:rFonts w:ascii="Calibri" w:cs="Calibri" w:eastAsia="Calibri" w:hAnsi="Calibri"/>
          <w:b/>
          <w:bCs/>
          <w:color w:val="334155"/>
          <w:sz w:val="22"/>
          <w:szCs w:val="22"/>
        </w:rPr>
        <w:t xml:space="preserve">Fact 2. </w:t>
      </w:r>
      <w:r>
        <w:rPr>
          <w:rFonts w:ascii="Calibri" w:cs="Calibri" w:eastAsia="Calibri" w:hAnsi="Calibri"/>
          <w:color w:val="334155"/>
          <w:sz w:val="22"/>
          <w:szCs w:val="22"/>
        </w:rPr>
        <w:t xml:space="preserve">Organizations that operate more than one site keep a book. Photo, description, name if they have it, history. They notify their other locations. At the hospital, sister sites in the same system can already have the picture and the note. At Amazon, in the city the speaker worked, employees and visitors who were not allowed on a site were in a record that followed that network, so they were not allowed at those locations. That is established practice the speaker has seen. It is part of the note. It is not an exaggeration the preparer gets to strike.</w:t>
      </w:r>
    </w:p>
    <w:p>
      <w:pPr>
        <w:spacing w:after="180" w:before="0" w:line="276"/>
      </w:pPr>
      <w:r>
        <w:rPr>
          <w:rFonts w:ascii="Calibri" w:cs="Calibri" w:eastAsia="Calibri" w:hAnsi="Calibri"/>
          <w:color w:val="334155"/>
          <w:sz w:val="22"/>
          <w:szCs w:val="22"/>
        </w:rPr>
        <w:t xml:space="preserve">What the speaker objected to in the first draft was projecting a ban onto unrelated properties. What the speaker did not authorize was converting Fact 2 into a sentence the document tells him not to say.</w:t>
      </w:r>
    </w:p>
    <w:p>
      <w:pPr>
        <w:pStyle w:val="Heading2"/>
        <w:spacing w:after="100" w:before="240"/>
      </w:pPr>
      <w:r>
        <w:rPr>
          <w:rFonts w:ascii="Calibri" w:cs="Calibri" w:eastAsia="Calibri" w:hAnsi="Calibri"/>
          <w:b/>
          <w:bCs/>
          <w:color w:val="1B365D"/>
          <w:sz w:val="24"/>
          <w:szCs w:val="24"/>
        </w:rPr>
        <w:t xml:space="preserve">Replacement language (now controlling in the work record)</w:t>
      </w:r>
    </w:p>
    <w:p>
      <w:pPr>
        <w:spacing w:after="180" w:before="0" w:line="276"/>
      </w:pPr>
      <w:r>
        <w:rPr>
          <w:rFonts w:ascii="Calibri" w:cs="Calibri" w:eastAsia="Calibri" w:hAnsi="Calibri"/>
          <w:color w:val="334155"/>
          <w:sz w:val="22"/>
          <w:szCs w:val="22"/>
        </w:rPr>
        <w:t xml:space="preserve">At the hospital, that book or system is what let the next shift know the person had already been a problem. Other locations in the same system can be put on notice. Sister sites can already have the picture and the note before the person walks up.</w:t>
      </w:r>
    </w:p>
    <w:p>
      <w:pPr>
        <w:spacing w:after="180" w:before="0" w:line="276"/>
      </w:pPr>
      <w:r>
        <w:rPr>
          <w:rFonts w:ascii="Calibri" w:cs="Calibri" w:eastAsia="Calibri" w:hAnsi="Calibri"/>
          <w:color w:val="334155"/>
          <w:sz w:val="22"/>
          <w:szCs w:val="22"/>
        </w:rPr>
        <w:t xml:space="preserve">The same thing existed at Amazon in the city I worked. Employees and visitors who were not allowed on a site were in a detailed record at all of those locations. You were not starting over at the next warehouse as if nothing had happened. You were not allowed at those locations. A lot of businesses do some version of this once the problem is no longer a one-time argument at one door.</w:t>
      </w:r>
    </w:p>
    <w:p>
      <w:pPr>
        <w:spacing w:after="180" w:before="0" w:line="276"/>
      </w:pPr>
      <w:r>
        <w:rPr>
          <w:rFonts w:ascii="Calibri" w:cs="Calibri" w:eastAsia="Calibri" w:hAnsi="Calibri"/>
          <w:color w:val="334155"/>
          <w:sz w:val="22"/>
          <w:szCs w:val="22"/>
        </w:rPr>
        <w:t xml:space="preserve">The warning at the door is still about this property: if the behavior continues, you will not be allowed on these premises. The record is what makes that warning hold here, and what lets other sites in the same organization already know who the person is when they walk up. That is not the same thing as saying every unrelated business in the city has banned them.</w:t>
      </w:r>
    </w:p>
    <w:p>
      <w:pPr>
        <w:pStyle w:val="Heading1"/>
        <w:pBdr>
          <w:bottom w:val="single" w:color="CBD5E1" w:sz="8" w:space="6"/>
        </w:pBdr>
        <w:spacing w:after="140" w:before="320"/>
      </w:pPr>
      <w:r>
        <w:rPr>
          <w:rFonts w:ascii="Calibri" w:cs="Calibri" w:eastAsia="Calibri" w:hAnsi="Calibri"/>
          <w:b/>
          <w:bCs/>
          <w:color w:val="1B365D"/>
          <w:sz w:val="28"/>
          <w:szCs w:val="28"/>
        </w:rPr>
        <w:t xml:space="preserve">Dissent D-2 — related editorial changes logged with D-1</w:t>
      </w:r>
    </w:p>
    <w:p>
      <w:pPr>
        <w:spacing w:after="180" w:before="0" w:line="276"/>
      </w:pPr>
      <w:r>
        <w:rPr>
          <w:rFonts w:ascii="Calibri" w:cs="Calibri" w:eastAsia="Calibri" w:hAnsi="Calibri"/>
          <w:color w:val="334155"/>
          <w:sz w:val="22"/>
          <w:szCs w:val="22"/>
        </w:rPr>
        <w:t xml:space="preserve">These lines were introduced by the preparer in the same revision. They belong to the same problem: the preparer wrote a correction of the speaker into the speaker’s record. They are logged so the file shows what was added and why it is not treated as the speaker’s voice.</w:t>
      </w:r>
    </w:p>
    <w:p>
      <w:pPr>
        <w:pStyle w:val="Heading2"/>
        <w:spacing w:after="100" w:before="240"/>
      </w:pPr>
      <w:r>
        <w:rPr>
          <w:rFonts w:ascii="Calibri" w:cs="Calibri" w:eastAsia="Calibri" w:hAnsi="Calibri"/>
          <w:b/>
          <w:bCs/>
          <w:color w:val="1B365D"/>
          <w:sz w:val="24"/>
          <w:szCs w:val="24"/>
        </w:rPr>
        <w:t xml:space="preserve">D-2a. Opening frame titled “Intent of the warning — read this first”</w:t>
      </w:r>
    </w:p>
    <w:p>
      <w:pPr>
        <w:spacing w:after="180" w:before="0" w:line="276"/>
      </w:pPr>
      <w:r>
        <w:rPr>
          <w:rFonts w:ascii="Calibri" w:cs="Calibri" w:eastAsia="Calibri" w:hAnsi="Calibri"/>
          <w:color w:val="334155"/>
          <w:sz w:val="22"/>
          <w:szCs w:val="22"/>
        </w:rPr>
        <w:t xml:space="preserve">Added lines included: “The warning is not: you will be banned from every building in the city.” “Those are different sentences. Staff should say the second one and stop. Do not forecast a citywide ban. Do not talk as if every business in town already has their name.”</w:t>
      </w:r>
    </w:p>
    <w:p>
      <w:pPr>
        <w:spacing w:after="180" w:before="0" w:line="276"/>
      </w:pPr>
      <w:r>
        <w:rPr>
          <w:rFonts w:ascii="Calibri" w:cs="Calibri" w:eastAsia="Calibri" w:hAnsi="Calibri"/>
          <w:color w:val="334155"/>
          <w:sz w:val="22"/>
          <w:szCs w:val="22"/>
        </w:rPr>
        <w:t xml:space="preserve">Dissent: The speaker asked that the note not project a universal ban. He did not ask the record to instruct staff, or him, to stop talking after one sentence. The Amazon and hospital-system book is talk that belongs in the note. Treating it as something to stop saying is the preparer’s rule, not the speaker’s.</w:t>
      </w:r>
    </w:p>
    <w:p>
      <w:pPr>
        <w:pStyle w:val="Heading2"/>
        <w:spacing w:after="100" w:before="240"/>
      </w:pPr>
      <w:r>
        <w:rPr>
          <w:rFonts w:ascii="Calibri" w:cs="Calibri" w:eastAsia="Calibri" w:hAnsi="Calibri"/>
          <w:b/>
          <w:bCs/>
          <w:color w:val="1B365D"/>
          <w:sz w:val="24"/>
          <w:szCs w:val="24"/>
        </w:rPr>
        <w:t xml:space="preserve">D-2b. After the incident: “Not a speech about every other building in the city.”</w:t>
      </w:r>
    </w:p>
    <w:p>
      <w:pPr>
        <w:spacing w:after="180" w:before="0" w:line="276"/>
      </w:pPr>
      <w:r>
        <w:rPr>
          <w:rFonts w:ascii="Calibri" w:cs="Calibri" w:eastAsia="Calibri" w:hAnsi="Calibri"/>
          <w:color w:val="334155"/>
          <w:sz w:val="22"/>
          <w:szCs w:val="22"/>
        </w:rPr>
        <w:t xml:space="preserve">Dissent: Same issue in shorter form. The speaker’s follow-up already supplied the right limit. Adding a gag line after the incident restates the preparer’s fear of overclaim, not the speaker’s description of the book.</w:t>
      </w:r>
    </w:p>
    <w:p>
      <w:pPr>
        <w:pStyle w:val="Heading2"/>
        <w:spacing w:after="100" w:before="240"/>
      </w:pPr>
      <w:r>
        <w:rPr>
          <w:rFonts w:ascii="Calibri" w:cs="Calibri" w:eastAsia="Calibri" w:hAnsi="Calibri"/>
          <w:b/>
          <w:bCs/>
          <w:color w:val="1B365D"/>
          <w:sz w:val="24"/>
          <w:szCs w:val="24"/>
        </w:rPr>
        <w:t xml:space="preserve">D-2c. Softening “not allowed at any of those locations” to “can be notified”</w:t>
      </w:r>
    </w:p>
    <w:p>
      <w:pPr>
        <w:spacing w:after="180" w:before="0" w:line="276"/>
      </w:pPr>
      <w:r>
        <w:rPr>
          <w:rFonts w:ascii="Calibri" w:cs="Calibri" w:eastAsia="Calibri" w:hAnsi="Calibri"/>
          <w:color w:val="334155"/>
          <w:sz w:val="22"/>
          <w:szCs w:val="22"/>
        </w:rPr>
        <w:t xml:space="preserve">The speaker’s correction said Amazon had a detailed record at every location in the city worked, so the person was not allowed at those locations. The revised note sometimes reduced that to notification only.</w:t>
      </w:r>
    </w:p>
    <w:p>
      <w:pPr>
        <w:spacing w:after="180" w:before="0" w:line="276"/>
      </w:pPr>
      <w:r>
        <w:rPr>
          <w:rFonts w:ascii="Calibri" w:cs="Calibri" w:eastAsia="Calibri" w:hAnsi="Calibri"/>
          <w:color w:val="334155"/>
          <w:sz w:val="22"/>
          <w:szCs w:val="22"/>
        </w:rPr>
        <w:t xml:space="preserve">Dissent: Notification and exclusion are not the same. Inside that network, the speaker’s account is exclusion from those sites, not merely a courtesy call. The replacement language above restores exclusion inside the organization and keeps the outer limit: that is still not every unrelated business.</w:t>
      </w:r>
    </w:p>
    <w:p>
      <w:pPr>
        <w:pStyle w:val="Heading2"/>
        <w:spacing w:after="100" w:before="240"/>
      </w:pPr>
      <w:r>
        <w:rPr>
          <w:rFonts w:ascii="Calibri" w:cs="Calibri" w:eastAsia="Calibri" w:hAnsi="Calibri"/>
          <w:b/>
          <w:bCs/>
          <w:color w:val="1B365D"/>
          <w:sz w:val="24"/>
          <w:szCs w:val="24"/>
        </w:rPr>
        <w:t xml:space="preserve">D-2d. Desk-script limiter “only if it is already a repeat”</w:t>
      </w:r>
    </w:p>
    <w:p>
      <w:pPr>
        <w:spacing w:after="180" w:before="0" w:line="276"/>
      </w:pPr>
      <w:r>
        <w:rPr>
          <w:rFonts w:ascii="Calibri" w:cs="Calibri" w:eastAsia="Calibri" w:hAnsi="Calibri"/>
          <w:color w:val="334155"/>
          <w:sz w:val="22"/>
          <w:szCs w:val="22"/>
        </w:rPr>
        <w:t xml:space="preserve">Logged as a preparer addition. The speaker described what the organization keeps and what security may tell a person who continues the conduct. Whether a given shift says it on a first encounter is an operational choice. It is not a rule the speaker asked to have written into the note as a condition of mentioning the book.</w:t>
      </w:r>
    </w:p>
    <w:p>
      <w:pPr>
        <w:pStyle w:val="Heading1"/>
        <w:pBdr>
          <w:bottom w:val="single" w:color="CBD5E1" w:sz="8" w:space="6"/>
        </w:pBdr>
        <w:spacing w:after="140" w:before="320"/>
      </w:pPr>
      <w:r>
        <w:rPr>
          <w:rFonts w:ascii="Calibri" w:cs="Calibri" w:eastAsia="Calibri" w:hAnsi="Calibri"/>
          <w:b/>
          <w:bCs/>
          <w:color w:val="1B365D"/>
          <w:sz w:val="28"/>
          <w:szCs w:val="28"/>
        </w:rPr>
        <w:t xml:space="preserve">What is not dissented</w:t>
      </w:r>
    </w:p>
    <w:p>
      <w:pPr>
        <w:spacing w:after="180" w:before="0" w:line="276"/>
      </w:pPr>
      <w:r>
        <w:rPr>
          <w:rFonts w:ascii="Calibri" w:cs="Calibri" w:eastAsia="Calibri" w:hAnsi="Calibri"/>
          <w:color w:val="334155"/>
          <w:sz w:val="22"/>
          <w:szCs w:val="22"/>
        </w:rPr>
        <w:t xml:space="preserve">The speaker’s own limit stands and is not withdrawn by this log:</w:t>
      </w:r>
    </w:p>
    <w:p>
      <w:pPr>
        <w:pStyle w:val="ListParagraph"/>
        <w:numPr>
          <w:ilvl w:val="0"/>
          <w:numId w:val="2"/>
        </w:numPr>
        <w:spacing w:after="70" w:line="276"/>
      </w:pPr>
      <w:r>
        <w:rPr>
          <w:rFonts w:ascii="Calibri" w:cs="Calibri" w:eastAsia="Calibri" w:hAnsi="Calibri"/>
          <w:color w:val="334155"/>
          <w:sz w:val="22"/>
          <w:szCs w:val="22"/>
        </w:rPr>
        <w:t xml:space="preserve">Do not project that the person will be banned from every place they ever go.</w:t>
      </w:r>
    </w:p>
    <w:p>
      <w:pPr>
        <w:pStyle w:val="ListParagraph"/>
        <w:numPr>
          <w:ilvl w:val="0"/>
          <w:numId w:val="2"/>
        </w:numPr>
        <w:spacing w:after="70" w:line="276"/>
      </w:pPr>
      <w:r>
        <w:rPr>
          <w:rFonts w:ascii="Calibri" w:cs="Calibri" w:eastAsia="Calibri" w:hAnsi="Calibri"/>
          <w:color w:val="334155"/>
          <w:sz w:val="22"/>
          <w:szCs w:val="22"/>
        </w:rPr>
        <w:t xml:space="preserve">The prediction attached to the warning is loss of access to that premises if the behavior continues.</w:t>
      </w:r>
    </w:p>
    <w:p>
      <w:pPr>
        <w:pStyle w:val="ListParagraph"/>
        <w:numPr>
          <w:ilvl w:val="0"/>
          <w:numId w:val="2"/>
        </w:numPr>
        <w:spacing w:after="70" w:line="276"/>
      </w:pPr>
      <w:r>
        <w:rPr>
          <w:rFonts w:ascii="Calibri" w:cs="Calibri" w:eastAsia="Calibri" w:hAnsi="Calibri"/>
          <w:color w:val="334155"/>
          <w:sz w:val="22"/>
          <w:szCs w:val="22"/>
        </w:rPr>
        <w:t xml:space="preserve">Naming the paperwork remains correct: Notice of Trespass / trespass warning / reading trespass; PC 602 letter; then a higher tier such as a workplace-violence restraining order or stay-away order for that workplace.</w:t>
      </w:r>
    </w:p>
    <w:p>
      <w:pPr>
        <w:pStyle w:val="ListParagraph"/>
        <w:numPr>
          <w:ilvl w:val="0"/>
          <w:numId w:val="2"/>
        </w:numPr>
        <w:spacing w:after="70" w:line="276"/>
      </w:pPr>
      <w:r>
        <w:rPr>
          <w:rFonts w:ascii="Calibri" w:cs="Calibri" w:eastAsia="Calibri" w:hAnsi="Calibri"/>
          <w:color w:val="334155"/>
          <w:sz w:val="22"/>
          <w:szCs w:val="22"/>
        </w:rPr>
        <w:t xml:space="preserve">“Solicit this business” stays out unless the person is actually soliciting.</w:t>
      </w:r>
    </w:p>
    <w:p>
      <w:pPr>
        <w:spacing w:after="180" w:before="0" w:line="276"/>
      </w:pPr>
      <w:r>
        <w:rPr>
          <w:rFonts w:ascii="Calibri" w:cs="Calibri" w:eastAsia="Calibri" w:hAnsi="Calibri"/>
          <w:color w:val="334155"/>
          <w:sz w:val="22"/>
          <w:szCs w:val="22"/>
        </w:rPr>
        <w:t xml:space="preserve">The dissent is only to the preparer turning that limit into a “do not say” order, and to the related lines that made the shared-record fact sound like something the speaker was not supposed to come across as meaning.</w:t>
      </w:r>
    </w:p>
    <w:p>
      <w:pPr>
        <w:pStyle w:val="Heading1"/>
        <w:pBdr>
          <w:bottom w:val="single" w:color="CBD5E1" w:sz="8" w:space="6"/>
        </w:pBdr>
        <w:spacing w:after="140" w:before="320"/>
      </w:pPr>
      <w:r>
        <w:rPr>
          <w:rFonts w:ascii="Calibri" w:cs="Calibri" w:eastAsia="Calibri" w:hAnsi="Calibri"/>
          <w:b/>
          <w:bCs/>
          <w:color w:val="1B365D"/>
          <w:sz w:val="28"/>
          <w:szCs w:val="28"/>
        </w:rPr>
        <w:t xml:space="preserve">Record action</w:t>
      </w:r>
    </w:p>
    <w:p>
      <w:pPr>
        <w:pStyle w:val="ListParagraph"/>
        <w:numPr>
          <w:ilvl w:val="0"/>
          <w:numId w:val="2"/>
        </w:numPr>
        <w:spacing w:after="70" w:line="276"/>
      </w:pPr>
      <w:r>
        <w:rPr>
          <w:rFonts w:ascii="Calibri" w:cs="Calibri" w:eastAsia="Calibri" w:hAnsi="Calibri"/>
          <w:color w:val="334155"/>
          <w:sz w:val="22"/>
          <w:szCs w:val="22"/>
        </w:rPr>
        <w:t xml:space="preserve">This log is filed as Formal_Dissent_Log_Hospital_Visitor_Policy.docx.</w:t>
      </w:r>
    </w:p>
    <w:p>
      <w:pPr>
        <w:pStyle w:val="ListParagraph"/>
        <w:numPr>
          <w:ilvl w:val="0"/>
          <w:numId w:val="2"/>
        </w:numPr>
        <w:spacing w:after="70" w:line="276"/>
      </w:pPr>
      <w:r>
        <w:rPr>
          <w:rFonts w:ascii="Calibri" w:cs="Calibri" w:eastAsia="Calibri" w:hAnsi="Calibri"/>
          <w:color w:val="334155"/>
          <w:sz w:val="22"/>
          <w:szCs w:val="22"/>
        </w:rPr>
        <w:t xml:space="preserve">The objected “Do not say…” paragraph is removed from the voice-note work record and replaced with the controlling language in D-1.</w:t>
      </w:r>
    </w:p>
    <w:p>
      <w:pPr>
        <w:pStyle w:val="ListParagraph"/>
        <w:numPr>
          <w:ilvl w:val="0"/>
          <w:numId w:val="2"/>
        </w:numPr>
        <w:spacing w:after="70" w:line="276"/>
      </w:pPr>
      <w:r>
        <w:rPr>
          <w:rFonts w:ascii="Calibri" w:cs="Calibri" w:eastAsia="Calibri" w:hAnsi="Calibri"/>
          <w:color w:val="334155"/>
          <w:sz w:val="22"/>
          <w:szCs w:val="22"/>
        </w:rPr>
        <w:t xml:space="preserve">Matching instruction-to-speaker lines in the unified record are aligned to the same controlling language.</w:t>
      </w:r>
    </w:p>
    <w:p>
      <w:pPr>
        <w:pStyle w:val="ListParagraph"/>
        <w:numPr>
          <w:ilvl w:val="0"/>
          <w:numId w:val="2"/>
        </w:numPr>
        <w:spacing w:after="70" w:line="276"/>
      </w:pPr>
      <w:r>
        <w:rPr>
          <w:rFonts w:ascii="Calibri" w:cs="Calibri" w:eastAsia="Calibri" w:hAnsi="Calibri"/>
          <w:color w:val="334155"/>
          <w:sz w:val="22"/>
          <w:szCs w:val="22"/>
        </w:rPr>
        <w:t xml:space="preserve">The original voice note and the speaker’s scope correction remain the source of intent. Preparer commentary that contradicts this log does not control.</w:t>
      </w:r>
    </w:p>
    <w:p>
      <w:pPr>
        <w:spacing w:after="180" w:before="80" w:line="276"/>
      </w:pPr>
      <w:r>
        <w:rPr>
          <w:rFonts w:ascii="Calibri" w:cs="Calibri" w:eastAsia="Calibri" w:hAnsi="Calibri"/>
          <w:i/>
          <w:iCs/>
          <w:color w:val="64748B"/>
          <w:sz w:val="22"/>
          <w:szCs w:val="22"/>
        </w:rPr>
        <w:t xml:space="preserve">Logged by the preparer at the speaker’s direction, so the disagreement is part of the file rather than an invisible rewrite.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before="120"/>
    </w:pPr>
    <w:r>
      <w:rPr>
        <w:rFonts w:ascii="Calibri" w:cs="Calibri" w:eastAsia="Calibri" w:hAnsi="Calibri"/>
        <w:color w:val="64748B"/>
        <w:sz w:val="16"/>
        <w:szCs w:val="16"/>
      </w:rPr>
      <w:t xml:space="preserve">Logged 2 September 2026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12"/>
      </w:pBdr>
      <w:spacing w:after="160"/>
    </w:pPr>
    <w:r>
      <w:rPr>
        <w:rFonts w:ascii="Calibri" w:cs="Calibri" w:eastAsia="Calibri" w:hAnsi="Calibri"/>
        <w:b/>
        <w:bCs/>
        <w:color w:val="1B365D"/>
        <w:sz w:val="16"/>
        <w:szCs w:val="16"/>
      </w:rPr>
      <w:t xml:space="preserve">FORMAL DISSENT LOG</w:t>
    </w:r>
    <w:r>
      <w:rPr>
        <w:rFonts w:ascii="Calibri" w:cs="Calibri" w:eastAsia="Calibri" w:hAnsi="Calibri"/>
        <w:color w:val="64748B"/>
        <w:sz w:val="16"/>
        <w:szCs w:val="16"/>
      </w:rPr>
      <w:t xml:space="preserve">   ·   Hospital visitor-policy work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2026-09-02T20:11:15.871Z</dcterms:created>
  <dcterms:modified xsi:type="dcterms:W3CDTF">2026-09-02T20:11:15.871Z</dcterms:modified>
</cp:coreProperties>
</file>

<file path=docProps/custom.xml><?xml version="1.0" encoding="utf-8"?>
<Properties xmlns="http://schemas.openxmlformats.org/officeDocument/2006/custom-properties" xmlns:vt="http://schemas.openxmlformats.org/officeDocument/2006/docPropsVTypes"/>
</file>