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2B5E" w:sz="6"/>
        </w:pBdr>
        <w:spacing w:after="240" w:before="240"/>
      </w:pPr>
    </w:p>
    <w:p>
      <w:pPr>
        <w:spacing w:after="240" w:line="288" w:lineRule="auto"/>
      </w:pPr>
      <w:r>
        <w:rPr>
          <w:rFonts w:ascii="Calibri" w:cs="Calibri" w:eastAsia="Calibri" w:hAnsi="Calibri"/>
          <w:b/>
          <w:bCs/>
          <w:i w:val="false"/>
          <w:iCs w:val="false"/>
          <w:strike w:val="false"/>
          <w:color w:val="0D2B5E"/>
          <w:sz w:val="52"/>
          <w:szCs w:val="52"/>
        </w:rPr>
        <w:t xml:space="preserve">GSF Entanglement Reference Document</w:t>
      </w:r>
    </w:p>
    <w:p>
      <w:pPr>
        <w:spacing w:after="240" w:line="360" w:lineRule="auto"/>
      </w:pPr>
      <w:r>
        <w:rPr>
          <w:rFonts w:ascii="Calibri" w:cs="Calibri" w:eastAsia="Calibri" w:hAnsi="Calibri"/>
          <w:b w:val="false"/>
          <w:bCs w:val="false"/>
          <w:i/>
          <w:iCs/>
          <w:strike w:val="false"/>
          <w:color w:val="2C4F8A"/>
          <w:sz w:val="28"/>
          <w:szCs w:val="28"/>
        </w:rPr>
        <w:t xml:space="preserve">A Structured Framework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6%"/>
            <w:shd w:fill="DCE6F4" w:color="auto" w:val="clear"/>
            <w:tcMar>
              <w:top w:type="dxa" w:w="90"/>
              <w:left w:type="dxa" w:w="150"/>
              <w:bottom w:type="dxa" w:w="90"/>
              <w:right w:type="dxa" w:w="150"/>
            </w:tcMar>
          </w:tcPr>
          <w:p>
            <w:r>
              <w:rPr>
                <w:rFonts w:ascii="Calibri" w:cs="Calibri" w:eastAsia="Calibri" w:hAnsi="Calibri"/>
                <w:b/>
                <w:bCs/>
                <w:i w:val="false"/>
                <w:iCs w:val="false"/>
                <w:strike w:val="false"/>
                <w:color w:val="0D2B5E"/>
                <w:sz w:val="20"/>
                <w:szCs w:val="20"/>
              </w:rPr>
              <w:t xml:space="preserve">Prepared By:</w:t>
            </w:r>
          </w:p>
        </w:tc>
        <w:tc>
          <w:tcPr>
            <w:tcW w:type="pct" w:w="54%"/>
            <w:shd w:fill="DCE6F4" w:color="auto" w:val="clear"/>
            <w:tcMar>
              <w:top w:type="dxa" w:w="90"/>
              <w:left w:type="dxa" w:w="150"/>
              <w:bottom w:type="dxa" w:w="90"/>
              <w:right w:type="dxa" w:w="150"/>
            </w:tcMar>
          </w:tcPr>
          <w:p>
            <w:r>
              <w:rPr>
                <w:rFonts w:ascii="Calibri" w:cs="Calibri" w:eastAsia="Calibri" w:hAnsi="Calibri"/>
                <w:b/>
                <w:bCs/>
                <w:i w:val="false"/>
                <w:iCs w:val="false"/>
                <w:strike w:val="false"/>
                <w:color w:val="0D2B5E"/>
                <w:sz w:val="20"/>
                <w:szCs w:val="20"/>
              </w:rPr>
              <w:t xml:space="preserve">Copilot</w:t>
            </w:r>
          </w:p>
        </w:tc>
      </w:tr>
      <w:tr>
        <w:trPr>
          <w:tblHeader w:val="false"/>
        </w:trPr>
        <w:tc>
          <w:tcPr>
            <w:tcW w:type="pct" w:w="46%"/>
            <w:tcMar>
              <w:top w:type="dxa" w:w="90"/>
              <w:left w:type="dxa" w:w="150"/>
              <w:bottom w:type="dxa" w:w="90"/>
              <w:right w:type="dxa" w:w="150"/>
            </w:tcMar>
          </w:tcPr>
          <w:p>
            <w:r>
              <w:rPr>
                <w:rFonts w:ascii="Calibri" w:cs="Calibri" w:eastAsia="Calibri" w:hAnsi="Calibri"/>
                <w:b/>
                <w:bCs/>
                <w:i w:val="false"/>
                <w:iCs w:val="false"/>
                <w:strike w:val="false"/>
                <w:color w:val="0D2B5E"/>
                <w:sz w:val="20"/>
                <w:szCs w:val="20"/>
              </w:rPr>
              <w:t xml:space="preserve">Prepared For:</w:t>
            </w:r>
          </w:p>
        </w:tc>
        <w:tc>
          <w:tcPr>
            <w:tcW w:type="pct" w:w="54%"/>
            <w:tcMar>
              <w:top w:type="dxa" w:w="90"/>
              <w:left w:type="dxa" w:w="150"/>
              <w:bottom w:type="dxa" w:w="90"/>
              <w:right w:type="dxa" w:w="150"/>
            </w:tcMar>
          </w:tcPr>
          <w:p>
            <w:r>
              <w:rPr>
                <w:rFonts w:ascii="Calibri" w:cs="Calibri" w:eastAsia="Calibri" w:hAnsi="Calibri"/>
                <w:b w:val="false"/>
                <w:bCs w:val="false"/>
                <w:i w:val="false"/>
                <w:iCs w:val="false"/>
                <w:strike w:val="false"/>
                <w:color w:val="1A1A1A"/>
                <w:sz w:val="20"/>
                <w:szCs w:val="20"/>
              </w:rPr>
              <w:t xml:space="preserve">Nathan Lewis</w:t>
            </w:r>
          </w:p>
        </w:tc>
      </w:tr>
      <w:tr>
        <w:trPr>
          <w:tblHeader w:val="false"/>
        </w:trPr>
        <w:tc>
          <w:tcPr>
            <w:tcW w:type="pct" w:w="46%"/>
            <w:tcMar>
              <w:top w:type="dxa" w:w="90"/>
              <w:left w:type="dxa" w:w="150"/>
              <w:bottom w:type="dxa" w:w="90"/>
              <w:right w:type="dxa" w:w="150"/>
            </w:tcMar>
          </w:tcPr>
          <w:p>
            <w:r>
              <w:rPr>
                <w:rFonts w:ascii="Calibri" w:cs="Calibri" w:eastAsia="Calibri" w:hAnsi="Calibri"/>
                <w:b/>
                <w:bCs/>
                <w:i w:val="false"/>
                <w:iCs w:val="false"/>
                <w:strike w:val="false"/>
                <w:color w:val="0D2B5E"/>
                <w:sz w:val="20"/>
                <w:szCs w:val="20"/>
              </w:rPr>
              <w:t xml:space="preserve">Date:</w:t>
            </w:r>
          </w:p>
        </w:tc>
        <w:tc>
          <w:tcPr>
            <w:tcW w:type="pct" w:w="54%"/>
            <w:tcMar>
              <w:top w:type="dxa" w:w="90"/>
              <w:left w:type="dxa" w:w="150"/>
              <w:bottom w:type="dxa" w:w="90"/>
              <w:right w:type="dxa" w:w="150"/>
            </w:tcMar>
          </w:tcPr>
          <w:p>
            <w:r>
              <w:rPr>
                <w:rFonts w:ascii="Calibri" w:cs="Calibri" w:eastAsia="Calibri" w:hAnsi="Calibri"/>
                <w:b w:val="false"/>
                <w:bCs w:val="false"/>
                <w:i w:val="false"/>
                <w:iCs w:val="false"/>
                <w:strike w:val="false"/>
                <w:color w:val="1A1A1A"/>
                <w:sz w:val="20"/>
                <w:szCs w:val="20"/>
              </w:rPr>
              <w:t xml:space="preserve">August 29, 2026</w:t>
            </w:r>
          </w:p>
        </w:tc>
      </w:tr>
      <w:tr>
        <w:trPr>
          <w:tblHeader w:val="false"/>
        </w:trPr>
        <w:tc>
          <w:tcPr>
            <w:tcW w:type="pct" w:w="46%"/>
            <w:tcMar>
              <w:top w:type="dxa" w:w="90"/>
              <w:left w:type="dxa" w:w="150"/>
              <w:bottom w:type="dxa" w:w="90"/>
              <w:right w:type="dxa" w:w="150"/>
            </w:tcMar>
          </w:tcPr>
          <w:p>
            <w:r>
              <w:rPr>
                <w:rFonts w:ascii="Calibri" w:cs="Calibri" w:eastAsia="Calibri" w:hAnsi="Calibri"/>
                <w:b/>
                <w:bCs/>
                <w:i w:val="false"/>
                <w:iCs w:val="false"/>
                <w:strike w:val="false"/>
                <w:color w:val="0D2B5E"/>
                <w:sz w:val="20"/>
                <w:szCs w:val="20"/>
              </w:rPr>
              <w:t xml:space="preserve">Classification:</w:t>
            </w:r>
          </w:p>
        </w:tc>
        <w:tc>
          <w:tcPr>
            <w:tcW w:type="pct" w:w="54%"/>
            <w:tcMar>
              <w:top w:type="dxa" w:w="90"/>
              <w:left w:type="dxa" w:w="150"/>
              <w:bottom w:type="dxa" w:w="90"/>
              <w:right w:type="dxa" w:w="150"/>
            </w:tcMar>
          </w:tcPr>
          <w:p>
            <w:r>
              <w:rPr>
                <w:rFonts w:ascii="Calibri" w:cs="Calibri" w:eastAsia="Calibri" w:hAnsi="Calibri"/>
                <w:b w:val="false"/>
                <w:bCs w:val="false"/>
                <w:i w:val="false"/>
                <w:iCs w:val="false"/>
                <w:strike w:val="false"/>
                <w:color w:val="1A1A1A"/>
                <w:sz w:val="20"/>
                <w:szCs w:val="20"/>
              </w:rPr>
              <w:t xml:space="preserve">Internal Reference</w:t>
            </w:r>
          </w:p>
        </w:tc>
      </w:tr>
      <w:tr>
        <w:trPr>
          <w:tblHeader w:val="false"/>
        </w:trPr>
        <w:tc>
          <w:tcPr>
            <w:tcW w:type="pct" w:w="46%"/>
            <w:tcMar>
              <w:top w:type="dxa" w:w="90"/>
              <w:left w:type="dxa" w:w="150"/>
              <w:bottom w:type="dxa" w:w="90"/>
              <w:right w:type="dxa" w:w="150"/>
            </w:tcMar>
          </w:tcPr>
          <w:p>
            <w:r>
              <w:rPr>
                <w:rFonts w:ascii="Calibri" w:cs="Calibri" w:eastAsia="Calibri" w:hAnsi="Calibri"/>
                <w:b/>
                <w:bCs/>
                <w:i w:val="false"/>
                <w:iCs w:val="false"/>
                <w:strike w:val="false"/>
                <w:color w:val="0D2B5E"/>
                <w:sz w:val="20"/>
                <w:szCs w:val="20"/>
              </w:rPr>
              <w:t xml:space="preserve">Version:</w:t>
            </w:r>
          </w:p>
        </w:tc>
        <w:tc>
          <w:tcPr>
            <w:tcW w:type="pct" w:w="54%"/>
            <w:tcMar>
              <w:top w:type="dxa" w:w="90"/>
              <w:left w:type="dxa" w:w="150"/>
              <w:bottom w:type="dxa" w:w="90"/>
              <w:right w:type="dxa" w:w="150"/>
            </w:tcMar>
          </w:tcPr>
          <w:p>
            <w:r>
              <w:rPr>
                <w:rFonts w:ascii="Calibri" w:cs="Calibri" w:eastAsia="Calibri" w:hAnsi="Calibri"/>
                <w:b w:val="false"/>
                <w:bCs w:val="false"/>
                <w:i w:val="false"/>
                <w:iCs w:val="false"/>
                <w:strike w:val="false"/>
                <w:color w:val="1A1A1A"/>
                <w:sz w:val="20"/>
                <w:szCs w:val="20"/>
              </w:rPr>
              <w:t xml:space="preserve">1.0</w:t>
            </w:r>
          </w:p>
        </w:tc>
      </w:tr>
    </w:tbl>
    <w:p>
      <w:pPr>
        <w:spacing w:after="200" w:before="0"/>
      </w:pPr>
    </w:p>
    <w:p>
      <w:pPr>
        <w:pBdr>
          <w:bottom w:val="single" w:color="0D2B5E"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D2B5E" w:sz="24"/>
              <w:bottom w:val="nil" w:color="FFFFFF" w:sz="0"/>
              <w:right w:val="nil" w:color="FFFFFF" w:sz="0"/>
            </w:tcBorders>
            <w:shd w:fill="F4F7FC" w:color="auto" w:val="clear"/>
            <w:tcMar>
              <w:top w:type="dxa" w:w="240"/>
              <w:left w:type="dxa" w:w="300"/>
              <w:bottom w:type="dxa" w:w="240"/>
              <w:right w:type="dxa" w:w="300"/>
            </w:tcMar>
          </w:tcPr>
          <w:p>
            <w:pPr>
              <w:spacing w:after="120" w:line="408" w:lineRule="auto"/>
            </w:pPr>
            <w:r>
              <w:rPr>
                <w:b/>
                <w:bCs/>
                <w:i w:val="false"/>
                <w:iCs w:val="false"/>
                <w:color w:val="0D2B5E"/>
              </w:rPr>
              <w:t xml:space="preserve">Table of Contents</w:t>
            </w:r>
          </w:p>
          <w:p>
            <w:pPr>
              <w:spacing w:after="120" w:line="408" w:lineRule="auto"/>
            </w:pPr>
            <w:r>
              <w:rPr>
                <w:rFonts w:ascii="Calibri" w:cs="Calibri" w:eastAsia="Calibri" w:hAnsi="Calibri"/>
                <w:b w:val="false"/>
                <w:bCs w:val="false"/>
                <w:i w:val="false"/>
                <w:iCs w:val="false"/>
                <w:strike w:val="false"/>
                <w:color w:val="0D2B5E"/>
                <w:sz w:val="21"/>
                <w:szCs w:val="21"/>
              </w:rPr>
              <w:t xml:space="preserve">1.0    Purpose</w:t>
            </w:r>
          </w:p>
          <w:p>
            <w:pPr>
              <w:spacing w:after="120" w:line="408" w:lineRule="auto"/>
            </w:pPr>
            <w:r>
              <w:rPr>
                <w:rFonts w:ascii="Calibri" w:cs="Calibri" w:eastAsia="Calibri" w:hAnsi="Calibri"/>
                <w:b w:val="false"/>
                <w:bCs w:val="false"/>
                <w:i w:val="false"/>
                <w:iCs w:val="false"/>
                <w:strike w:val="false"/>
                <w:color w:val="0D2B5E"/>
                <w:sz w:val="21"/>
                <w:szCs w:val="21"/>
              </w:rPr>
              <w:t xml:space="preserve">2.0    Executive Summary</w:t>
            </w:r>
          </w:p>
          <w:p>
            <w:pPr>
              <w:spacing w:after="120" w:line="408" w:lineRule="auto"/>
            </w:pPr>
            <w:r>
              <w:rPr>
                <w:rFonts w:ascii="Calibri" w:cs="Calibri" w:eastAsia="Calibri" w:hAnsi="Calibri"/>
                <w:b w:val="false"/>
                <w:bCs w:val="false"/>
                <w:i w:val="false"/>
                <w:iCs w:val="false"/>
                <w:strike w:val="false"/>
                <w:color w:val="0D2B5E"/>
                <w:sz w:val="21"/>
                <w:szCs w:val="21"/>
              </w:rPr>
              <w:t xml:space="preserve">3.0    Overview</w:t>
            </w:r>
          </w:p>
          <w:p>
            <w:pPr>
              <w:spacing w:after="120" w:line="408" w:lineRule="auto"/>
            </w:pPr>
            <w:r>
              <w:rPr>
                <w:rFonts w:ascii="Calibri" w:cs="Calibri" w:eastAsia="Calibri" w:hAnsi="Calibri"/>
                <w:b w:val="false"/>
                <w:bCs w:val="false"/>
                <w:i w:val="false"/>
                <w:iCs w:val="false"/>
                <w:strike w:val="false"/>
                <w:color w:val="0D2B5E"/>
                <w:sz w:val="21"/>
                <w:szCs w:val="21"/>
              </w:rPr>
              <w:t xml:space="preserve">4.0    Detailed Analysis</w:t>
            </w:r>
          </w:p>
          <w:p>
            <w:pPr>
              <w:spacing w:after="120" w:line="408" w:lineRule="auto"/>
            </w:pPr>
            <w:r>
              <w:rPr>
                <w:rFonts w:ascii="Calibri" w:cs="Calibri" w:eastAsia="Calibri" w:hAnsi="Calibri"/>
                <w:b w:val="false"/>
                <w:bCs w:val="false"/>
                <w:i w:val="false"/>
                <w:iCs w:val="false"/>
                <w:strike w:val="false"/>
                <w:color w:val="1A3A6B"/>
                <w:sz w:val="20"/>
                <w:szCs w:val="20"/>
              </w:rPr>
              <w:t xml:space="preserve">4a.   Entanglement Mechanics</w:t>
            </w:r>
          </w:p>
          <w:p>
            <w:pPr>
              <w:spacing w:after="120" w:line="408" w:lineRule="auto"/>
            </w:pPr>
            <w:r>
              <w:rPr>
                <w:rFonts w:ascii="Calibri" w:cs="Calibri" w:eastAsia="Calibri" w:hAnsi="Calibri"/>
                <w:b w:val="false"/>
                <w:bCs w:val="false"/>
                <w:i w:val="false"/>
                <w:iCs w:val="false"/>
                <w:strike w:val="false"/>
                <w:color w:val="1A3A6B"/>
                <w:sz w:val="20"/>
                <w:szCs w:val="20"/>
              </w:rPr>
              <w:t xml:space="preserve">4b.   Layer Interaction Dynamics</w:t>
            </w:r>
          </w:p>
          <w:p>
            <w:pPr>
              <w:spacing w:after="120" w:line="408" w:lineRule="auto"/>
            </w:pPr>
            <w:r>
              <w:rPr>
                <w:rFonts w:ascii="Calibri" w:cs="Calibri" w:eastAsia="Calibri" w:hAnsi="Calibri"/>
                <w:b w:val="false"/>
                <w:bCs w:val="false"/>
                <w:i w:val="false"/>
                <w:iCs w:val="false"/>
                <w:strike w:val="false"/>
                <w:color w:val="1A3A6B"/>
                <w:sz w:val="20"/>
                <w:szCs w:val="20"/>
              </w:rPr>
              <w:t xml:space="preserve">4c.   Agent and Entity Effects</w:t>
            </w:r>
          </w:p>
          <w:p>
            <w:pPr>
              <w:spacing w:after="120" w:line="408" w:lineRule="auto"/>
            </w:pPr>
            <w:r>
              <w:rPr>
                <w:rFonts w:ascii="Calibri" w:cs="Calibri" w:eastAsia="Calibri" w:hAnsi="Calibri"/>
                <w:b w:val="false"/>
                <w:bCs w:val="false"/>
                <w:i w:val="false"/>
                <w:iCs w:val="false"/>
                <w:strike w:val="false"/>
                <w:color w:val="1A3A6B"/>
                <w:sz w:val="20"/>
                <w:szCs w:val="20"/>
              </w:rPr>
              <w:t xml:space="preserve">4d.   Architectural Vulnerabilities</w:t>
            </w:r>
          </w:p>
          <w:p>
            <w:pPr>
              <w:spacing w:after="120" w:line="408" w:lineRule="auto"/>
            </w:pPr>
            <w:r>
              <w:rPr>
                <w:rFonts w:ascii="Calibri" w:cs="Calibri" w:eastAsia="Calibri" w:hAnsi="Calibri"/>
                <w:b w:val="false"/>
                <w:bCs w:val="false"/>
                <w:i w:val="false"/>
                <w:iCs w:val="false"/>
                <w:strike w:val="false"/>
                <w:color w:val="0D2B5E"/>
                <w:sz w:val="21"/>
                <w:szCs w:val="21"/>
              </w:rPr>
              <w:t xml:space="preserve">5.0    Taxonomy Review</w:t>
            </w:r>
          </w:p>
          <w:p>
            <w:pPr>
              <w:spacing w:after="120" w:line="408" w:lineRule="auto"/>
            </w:pPr>
            <w:r>
              <w:rPr>
                <w:rFonts w:ascii="Calibri" w:cs="Calibri" w:eastAsia="Calibri" w:hAnsi="Calibri"/>
                <w:b w:val="false"/>
                <w:bCs w:val="false"/>
                <w:i w:val="false"/>
                <w:iCs w:val="false"/>
                <w:strike w:val="false"/>
                <w:color w:val="0D2B5E"/>
                <w:sz w:val="21"/>
                <w:szCs w:val="21"/>
              </w:rPr>
              <w:t xml:space="preserve">6.0    GSF Entanglement Framework</w:t>
            </w:r>
          </w:p>
          <w:p>
            <w:pPr>
              <w:spacing w:after="120" w:line="408" w:lineRule="auto"/>
            </w:pPr>
            <w:r>
              <w:rPr>
                <w:rFonts w:ascii="Calibri" w:cs="Calibri" w:eastAsia="Calibri" w:hAnsi="Calibri"/>
                <w:b w:val="false"/>
                <w:bCs w:val="false"/>
                <w:i w:val="false"/>
                <w:iCs w:val="false"/>
                <w:strike w:val="false"/>
                <w:color w:val="0D2B5E"/>
                <w:sz w:val="21"/>
                <w:szCs w:val="21"/>
              </w:rPr>
              <w:t xml:space="preserve">7.0    Physical-Virtual Coupling</w:t>
            </w:r>
          </w:p>
          <w:p>
            <w:pPr>
              <w:spacing w:after="120" w:line="408" w:lineRule="auto"/>
            </w:pPr>
            <w:r>
              <w:rPr>
                <w:rFonts w:ascii="Calibri" w:cs="Calibri" w:eastAsia="Calibri" w:hAnsi="Calibri"/>
                <w:b w:val="false"/>
                <w:bCs w:val="false"/>
                <w:i w:val="false"/>
                <w:iCs w:val="false"/>
                <w:strike w:val="false"/>
                <w:color w:val="0D2B5E"/>
                <w:sz w:val="21"/>
                <w:szCs w:val="21"/>
              </w:rPr>
              <w:t xml:space="preserve">8.0    Quantum Layer Considerations</w:t>
            </w:r>
          </w:p>
          <w:p>
            <w:pPr>
              <w:spacing w:after="120" w:line="408" w:lineRule="auto"/>
            </w:pPr>
            <w:r>
              <w:rPr>
                <w:rFonts w:ascii="Calibri" w:cs="Calibri" w:eastAsia="Calibri" w:hAnsi="Calibri"/>
                <w:b w:val="false"/>
                <w:bCs w:val="false"/>
                <w:i w:val="false"/>
                <w:iCs w:val="false"/>
                <w:strike w:val="false"/>
                <w:color w:val="0D2B5E"/>
                <w:sz w:val="21"/>
                <w:szCs w:val="21"/>
              </w:rPr>
              <w:t xml:space="preserve">9.0    Questions for Further Research</w:t>
            </w:r>
          </w:p>
          <w:p>
            <w:pPr>
              <w:spacing w:after="120" w:line="408" w:lineRule="auto"/>
            </w:pPr>
            <w:r>
              <w:rPr>
                <w:rFonts w:ascii="Calibri" w:cs="Calibri" w:eastAsia="Calibri" w:hAnsi="Calibri"/>
                <w:b w:val="false"/>
                <w:bCs w:val="false"/>
                <w:i w:val="false"/>
                <w:iCs w:val="false"/>
                <w:strike w:val="false"/>
                <w:color w:val="0D2B5E"/>
                <w:sz w:val="21"/>
                <w:szCs w:val="21"/>
              </w:rPr>
              <w:t xml:space="preserve">10.0   Next-Step Recommendations</w:t>
            </w: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C4F8A"/>
          <w:spacing w:val="23"/>
          <w:sz w:val="17"/>
          <w:szCs w:val="17"/>
        </w:rPr>
        <w:t xml:space="preserve">SECTION 1.0</w:t>
      </w:r>
    </w:p>
    <w:p>
      <w:pPr>
        <w:pStyle w:val="Heading2"/>
        <w:spacing w:after="120" w:before="360" w:line="312" w:lineRule="auto"/>
      </w:pPr>
      <w:r>
        <w:rPr>
          <w:rFonts w:ascii="Calibri" w:cs="Calibri" w:eastAsia="Calibri" w:hAnsi="Calibri"/>
          <w:color w:val="0D2B5E"/>
          <w:sz w:val="32"/>
          <w:szCs w:val="32"/>
        </w:rPr>
        <w:t xml:space="preserve">1.0   Purpose</w:t>
      </w:r>
    </w:p>
    <w:p>
      <w:pPr>
        <w:pBdr>
          <w:bottom w:val="single" w:color="000000"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document serves as a comprehensive internal reference for the GSF Entanglement concept — a structured analytical framework exploring the relationship between physical reality, virtual simulation layers, and the quantum-level binding mechanisms that connect them. It has been prepared by Copilot at the direction of Nathan Lewis, the principal author and custodian of the GSF Entanglement framework, and is intended for use as a foundational reference across all phases of continued development and applied research.</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GSF Entanglement Reference Document is designed to fulfill the following core functions: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Establish precise, agreed-upon definitions for all core concepts within the GSF Entanglement model, including framework terminology, entanglement types, and structural components.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Analysis:</w:t>
      </w:r>
      <w:r>
        <w:rPr>
          <w:rFonts w:ascii="Calibri" w:cs="Calibri" w:eastAsia="Calibri" w:hAnsi="Calibri"/>
          <w:b w:val="false"/>
          <w:bCs w:val="false"/>
          <w:i w:val="false"/>
          <w:iCs w:val="false"/>
          <w:strike w:val="false"/>
          <w:color w:val="000000"/>
          <w:sz w:val="22"/>
          <w:szCs w:val="22"/>
        </w:rPr>
        <w:t xml:space="preserve"> Provide a rigorous analytical treatment of entanglement mechanics, inter-layer dynamics, agent effects, and architectural vulnerabilities as they pertain to the GSF model.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Taxonomy:</w:t>
      </w:r>
      <w:r>
        <w:rPr>
          <w:rFonts w:ascii="Calibri" w:cs="Calibri" w:eastAsia="Calibri" w:hAnsi="Calibri"/>
          <w:b w:val="false"/>
          <w:bCs w:val="false"/>
          <w:i w:val="false"/>
          <w:iCs w:val="false"/>
          <w:strike w:val="false"/>
          <w:color w:val="000000"/>
          <w:sz w:val="22"/>
          <w:szCs w:val="22"/>
        </w:rPr>
        <w:t xml:space="preserve"> Classify and categorize the known types of GSF Entanglement in a structured, internally consistent taxonomy suitable for use in ongoing research and framework refinement.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Framework Documentation:</w:t>
      </w:r>
      <w:r>
        <w:rPr>
          <w:rFonts w:ascii="Calibri" w:cs="Calibri" w:eastAsia="Calibri" w:hAnsi="Calibri"/>
          <w:b w:val="false"/>
          <w:bCs w:val="false"/>
          <w:i w:val="false"/>
          <w:iCs w:val="false"/>
          <w:strike w:val="false"/>
          <w:color w:val="000000"/>
          <w:sz w:val="22"/>
          <w:szCs w:val="22"/>
        </w:rPr>
        <w:t xml:space="preserve"> Formally document the Three Binding Axes, the Entanglement Lifecycle model, and the role of awareness within the broader framework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Research Advancement:</w:t>
      </w:r>
      <w:r>
        <w:rPr>
          <w:rFonts w:ascii="Calibri" w:cs="Calibri" w:eastAsia="Calibri" w:hAnsi="Calibri"/>
          <w:b w:val="false"/>
          <w:bCs w:val="false"/>
          <w:i w:val="false"/>
          <w:iCs w:val="false"/>
          <w:strike w:val="false"/>
          <w:color w:val="000000"/>
          <w:sz w:val="22"/>
          <w:szCs w:val="22"/>
        </w:rPr>
        <w:t xml:space="preserve"> Identify open research questions and prioritize next-step recommendations to guide the continued evolution of the GSF Entanglement model toward applied and theoretical maturity.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document represents Version 1.0 of the GSF Entanglement Reference and is classified as an Internal Reference document. It is intended for use by individuals directly engaged with the GSF Entanglement research program and should be treated accordingly. All sections are subject to revision as the framework develops; the date of any future revisions should be reflected in the document version header.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5E" w:sz="6"/>
              <w:left w:val="single" w:color="0D2B5E" w:sz="6"/>
              <w:bottom w:val="single" w:color="0D2B5E" w:sz="6"/>
              <w:right w:val="single" w:color="0D2B5E" w:sz="6"/>
            </w:tcBorders>
            <w:shd w:fill="EEF2FA" w:color="auto" w:val="clear"/>
            <w:tcMar>
              <w:top w:type="dxa" w:w="150"/>
              <w:left w:type="dxa" w:w="210"/>
              <w:bottom w:type="dxa" w:w="150"/>
              <w:right w:type="dxa" w:w="210"/>
            </w:tcMar>
          </w:tcPr>
          <w:p>
            <w:pPr>
              <w:spacing w:after="120" w:line="408" w:lineRule="auto"/>
            </w:pPr>
            <w:r>
              <w:rPr>
                <w:b/>
                <w:bCs/>
                <w:i w:val="false"/>
                <w:iCs w:val="false"/>
                <w:color w:val="0D2B5E"/>
              </w:rPr>
              <w:t xml:space="preserve">ⓘ   Document Scope Note</w:t>
            </w:r>
          </w:p>
          <w:p>
            <w:pPr>
              <w:spacing w:after="0" w:line="360" w:lineRule="auto"/>
            </w:pPr>
            <w:r>
              <w:rPr>
                <w:rFonts w:ascii="Calibri" w:cs="Calibri" w:eastAsia="Calibri" w:hAnsi="Calibri"/>
                <w:b w:val="false"/>
                <w:bCs w:val="false"/>
                <w:i w:val="false"/>
                <w:iCs w:val="false"/>
                <w:strike w:val="false"/>
                <w:color w:val="000000"/>
                <w:sz w:val="21"/>
                <w:szCs w:val="21"/>
              </w:rPr>
              <w:t xml:space="preserve">This document does not attempt to resolve all open questions within the GSF Entanglement framework. Its purpose is to establish a stable, authoritative baseline from which further research, testing, and architectural design work can proceed. Assertions made herein reflect the current state of the framework as of August 29, 2026, and should be read in that context.</w:t>
            </w: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C4F8A"/>
          <w:spacing w:val="23"/>
          <w:sz w:val="17"/>
          <w:szCs w:val="17"/>
        </w:rPr>
        <w:t xml:space="preserve">SECTION 2.0</w:t>
      </w:r>
    </w:p>
    <w:p>
      <w:pPr>
        <w:pStyle w:val="Heading2"/>
        <w:spacing w:after="120" w:before="360" w:line="312" w:lineRule="auto"/>
      </w:pPr>
      <w:r>
        <w:rPr>
          <w:rFonts w:ascii="Calibri" w:cs="Calibri" w:eastAsia="Calibri" w:hAnsi="Calibri"/>
          <w:color w:val="0D2B5E"/>
          <w:sz w:val="32"/>
          <w:szCs w:val="32"/>
        </w:rPr>
        <w:t xml:space="preserve">2.0   Executive Summary</w:t>
      </w:r>
    </w:p>
    <w:p>
      <w:pPr>
        <w:pBdr>
          <w:bottom w:val="single" w:color="000000"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GSF Entanglement is a theoretical and architectural framework that describes the binding, interdependence, and information transfer between physical and virtual systems operating across quantum and macro levels of reality. Rooted in the Generalized Simulation Framework (GSF) — a multi-layered model that maps the coexistence of, and interaction between, simulated and physical realities — the concept of entanglement within this context extends well beyond conventional quantum mechanics. It encompasses any structural phenomenon in which two or more systems, whether physical, virtual, or hybrid in nature, share state-dependent information in a non-separable way such that changes in one system produce measurable, sometimes cascading, effects in others across simulation layers.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significance of GSF Entanglement lies in its implications for simulation architecture, inter-layer communication design, and the structural integrity of layered reality models. In a world where simulation architectures of increasing complexity are being designed and deployed — whether in computational, theoretical, or applied contexts — unmanaged entanglement between layers represents both an extraordinary source of analytical power and a profound source of risk. When entanglement is understood, mapped, and deliberately managed, it enables unprecedented inter-layer information access and operational coordination. When it is unmanaged, misunderstood, or deliberately exploited, it creates conditions for resonance cascades, information corruption, and ontological instability that may be irreversible.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Key findings of this document include: the identification of five distinct entanglement types (Type I through Type V) forming a structured taxonomy; the formalization of the Three Binding Axes (Informational, Temporal, and Ontological) as the core structural model of the framework; the characterization of the Entanglement Lifecycle from Initialization through Collapse or Renewal; and the identification of critical architectural vulnerabilities arising from unmanaged entanglement, including deliberate exploitation via entanglement pathway injection. Additionally, the document identifies the awareness asymmetry problem — the condition in which entities within a simulation may gain access to entanglement-layer knowledge that their architects cannot detect or respond to — as one of the most significant unresolved challenges in the framework.</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At a high level, the recommended next steps for the GSF Entanglement program are: finalization of the Three Binding Axes model with testable definitional criteria; development of entanglement containment and monitoring protocols; preliminary design work on a quantum substrate interface layer; formal protocol development for awareness asymmetry management; and the establishment of a dedicated research initiative for Type IV Cross-Ontological Entanglement. These actions, described in detail in Section 10.0, are intended to move the GSF Entanglement framework from its current conceptual state into a position of operational and architectural applicability.</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C4F8A"/>
          <w:spacing w:val="23"/>
          <w:sz w:val="17"/>
          <w:szCs w:val="17"/>
        </w:rPr>
        <w:t xml:space="preserve">SECTION 3.0</w:t>
      </w:r>
    </w:p>
    <w:p>
      <w:pPr>
        <w:pStyle w:val="Heading2"/>
        <w:spacing w:after="120" w:before="360" w:line="312" w:lineRule="auto"/>
      </w:pPr>
      <w:r>
        <w:rPr>
          <w:rFonts w:ascii="Calibri" w:cs="Calibri" w:eastAsia="Calibri" w:hAnsi="Calibri"/>
          <w:color w:val="0D2B5E"/>
          <w:sz w:val="32"/>
          <w:szCs w:val="32"/>
        </w:rPr>
        <w:t xml:space="preserve">3.0   Overview</w:t>
      </w:r>
    </w:p>
    <w:p>
      <w:pPr>
        <w:pBdr>
          <w:bottom w:val="single" w:color="000000" w:sz="6"/>
        </w:pBdr>
        <w:spacing w:after="240" w:before="240"/>
      </w:pPr>
    </w:p>
    <w:p>
      <w:pPr>
        <w:pStyle w:val="Heading3"/>
        <w:spacing w:after="120" w:before="240" w:line="312" w:lineRule="auto"/>
      </w:pPr>
      <w:r>
        <w:rPr>
          <w:rFonts w:ascii="Calibri" w:cs="Calibri" w:eastAsia="Calibri" w:hAnsi="Calibri"/>
          <w:color w:val="1A3A6B"/>
          <w:sz w:val="26"/>
          <w:szCs w:val="26"/>
        </w:rPr>
        <w:t xml:space="preserve">3.1   Definition of the Generalized Simulation Framework (GSF)</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Generalized Simulation Framework (GSF) is a multi-layered conceptual and architectural model that maps how simulated and physical realities coexist, interact, and mutually influence one another. Unlike single-layer simulation models — which treat simulation as a discrete, self-contained environment with a clear boundary between the simulated and the real — the GSF posits a stratified structure in which multiple simulation layers may be nested within, adjacent to, or interpenetrating one another, all ultimately anchored to a quantum computational substrate that constitutes the root-level ground of all simulated existence.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Within the GSF, each layer is characterized by its own operational rules, physical constants, temporal clock rate, and informational architecture. Layers may share some of these properties or may differ fundamentally from one another. The GSF does not require that all layers conform to the same logic, physics, or ontological structure — indeed, the framework explicitly accounts for layers with divergent foundational laws, treating such divergence as a defining feature of Type IV entanglement. The multi-layered nature of the GSF is not merely a theoretical convenience; it is an empirical assertion about the structural nature of any sufficiently complex simulation architecture.</w:t>
      </w:r>
    </w:p>
    <w:p>
      <w:pPr>
        <w:pStyle w:val="Heading3"/>
        <w:spacing w:after="120" w:before="240" w:line="312" w:lineRule="auto"/>
      </w:pPr>
      <w:r>
        <w:rPr>
          <w:rFonts w:ascii="Calibri" w:cs="Calibri" w:eastAsia="Calibri" w:hAnsi="Calibri"/>
          <w:color w:val="1A3A6B"/>
          <w:sz w:val="26"/>
          <w:szCs w:val="26"/>
        </w:rPr>
        <w:t xml:space="preserve">3.2   Definition of Entanglement in the GSF Context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Within the GSF, "entanglement" is not synonymous with quantum entanglement in the traditional physics sense, though quantum entanglement at the substrate level is recognized as one source of GSF Entanglement (see Section 8.0). Rather, GSF Entanglement is a broader structural phenomenon in which two or more systems — physical, virtual, or hybrid — share state-dependent information in a non-separable way. The defining characteristic of GSF Entanglement is this: changes in the state of one entangled system produce measurable effects in other entangled systems, regardless of the nominal boundaries between them, and these effects propagate across simulation layer boundaries.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non-separability condition is critical to the definition. Two systems that merely exchange information through a defined channel or protocol are not entangled in the GSF sense; they are simply communicating. Entanglement, as defined here, implies a structural dependency that cannot be dissolved without affecting the state of both systems — a coupling that is not the result of deliberate communication but of deep structural binding at one or more of the Three Binding Axes (Informational, Temporal, or Ontological).</w:t>
      </w:r>
    </w:p>
    <w:p>
      <w:pPr>
        <w:pStyle w:val="Heading3"/>
        <w:spacing w:after="120" w:before="240" w:line="312" w:lineRule="auto"/>
      </w:pPr>
      <w:r>
        <w:rPr>
          <w:rFonts w:ascii="Calibri" w:cs="Calibri" w:eastAsia="Calibri" w:hAnsi="Calibri"/>
          <w:color w:val="1A3A6B"/>
          <w:sz w:val="26"/>
          <w:szCs w:val="26"/>
        </w:rPr>
        <w:t xml:space="preserve">3.3   Layer Permeability and Inter-Simulation Bleed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foundational concept within the GSF is that simulation layer boundaries are not perfectly sealed. The degree to which a boundary permits information, state changes, or entanglement propagation to pass through it is referred to as its </w:t>
      </w:r>
      <w:r>
        <w:rPr>
          <w:rFonts w:ascii="Calibri" w:cs="Calibri" w:eastAsia="Calibri" w:hAnsi="Calibri"/>
          <w:b/>
          <w:bCs/>
          <w:i w:val="false"/>
          <w:iCs w:val="false"/>
          <w:strike w:val="false"/>
          <w:color w:val="000000"/>
          <w:sz w:val="22"/>
          <w:szCs w:val="22"/>
        </w:rPr>
        <w:t xml:space="preserve">permeability</w:t>
      </w:r>
      <w:r>
        <w:rPr>
          <w:rFonts w:ascii="Calibri" w:cs="Calibri" w:eastAsia="Calibri" w:hAnsi="Calibri"/>
          <w:b w:val="false"/>
          <w:bCs w:val="false"/>
          <w:i w:val="false"/>
          <w:iCs w:val="false"/>
          <w:strike w:val="false"/>
          <w:color w:val="000000"/>
          <w:sz w:val="22"/>
          <w:szCs w:val="22"/>
        </w:rPr>
        <w:t xml:space="preserve">. Highly permeable boundaries facilitate rich inter-layer interaction but also introduce significant risks of uncontrolled entanglement. Low-permeability boundaries limit inter-layer interaction but may suppress entanglement so severely that architecturally desirable coupling becomes impossible to initiate or sustain.</w:t>
      </w:r>
    </w:p>
    <w:p>
      <w:pPr>
        <w:spacing w:after="240" w:before="60" w:line="360" w:lineRule="auto"/>
      </w:pPr>
      <w:r>
        <w:rPr>
          <w:rFonts w:ascii="Calibri" w:cs="Calibri" w:eastAsia="Calibri" w:hAnsi="Calibri"/>
          <w:b/>
          <w:bCs/>
          <w:i w:val="false"/>
          <w:iCs w:val="false"/>
          <w:strike w:val="false"/>
          <w:color w:val="000000"/>
          <w:sz w:val="22"/>
          <w:szCs w:val="22"/>
        </w:rPr>
        <w:t xml:space="preserve">Inter-simulation bleed</w:t>
      </w:r>
      <w:r>
        <w:rPr>
          <w:rFonts w:ascii="Calibri" w:cs="Calibri" w:eastAsia="Calibri" w:hAnsi="Calibri"/>
          <w:b w:val="false"/>
          <w:bCs w:val="false"/>
          <w:i w:val="false"/>
          <w:iCs w:val="false"/>
          <w:strike w:val="false"/>
          <w:color w:val="000000"/>
          <w:sz w:val="22"/>
          <w:szCs w:val="22"/>
        </w:rPr>
        <w:t xml:space="preserve"> is the phenomenon by which information, state data, or entanglement effects cross a layer boundary without deliberate architectural authorization. Bleed is the unmanaged analog of deliberate coupling and is considered one of the primary sources of Type I (Passive Layer Resonance) entanglement. Bleed events may be ephemeral — self-correcting within a short time window — or persistent, in which case they may evolve into stable entanglement pathways that become structurally significant over time.</w:t>
      </w:r>
    </w:p>
    <w:p>
      <w:pPr>
        <w:pStyle w:val="Heading3"/>
        <w:spacing w:after="120" w:before="240" w:line="312" w:lineRule="auto"/>
      </w:pPr>
      <w:r>
        <w:rPr>
          <w:rFonts w:ascii="Calibri" w:cs="Calibri" w:eastAsia="Calibri" w:hAnsi="Calibri"/>
          <w:color w:val="1A3A6B"/>
          <w:sz w:val="26"/>
          <w:szCs w:val="26"/>
        </w:rPr>
        <w:t xml:space="preserve">3.4   Philosophical and Architectural Context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question of why entanglement at the GSF level matters is both philosophical and deeply practical. Philosophically, the recognition that distinct reality layers can share state-dependent information in a non-separable way challenges the intuitive model of reality as a collection of cleanly bounded, independently operating domains. It implies that the boundaries between the real and the simulated, the physical and the virtual, and the macro and the quantum are permeable, dynamic, and in some cases structurally entangled.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Architecturally, this has direct consequences for any designer or analyst working with multi-reality or nested simulation architectures. The structural integrity of an entire simulation hierarchy can be compromised by entanglement events that architects did not anticipate, did not design for, or cannot detect. Conversely, architects who understand and can deliberately manage GSF Entanglement gain access to inter-layer capabilities — information transfer, state synchronization, and cross-layer coordination — that would otherwise be impossible. The GSF Entanglement framework exists to provide the conceptual and structural tools necessary to navigate both the risks and the opportunities that entanglement at this level presents.</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C4F8A"/>
          <w:spacing w:val="23"/>
          <w:sz w:val="17"/>
          <w:szCs w:val="17"/>
        </w:rPr>
        <w:t xml:space="preserve">SECTION 4.0</w:t>
      </w:r>
    </w:p>
    <w:p>
      <w:pPr>
        <w:pStyle w:val="Heading2"/>
        <w:spacing w:after="120" w:before="360" w:line="312" w:lineRule="auto"/>
      </w:pPr>
      <w:r>
        <w:rPr>
          <w:rFonts w:ascii="Calibri" w:cs="Calibri" w:eastAsia="Calibri" w:hAnsi="Calibri"/>
          <w:color w:val="0D2B5E"/>
          <w:sz w:val="32"/>
          <w:szCs w:val="32"/>
        </w:rPr>
        <w:t xml:space="preserve">4.0   Detailed Analysis</w:t>
      </w:r>
    </w:p>
    <w:p>
      <w:pPr>
        <w:pBdr>
          <w:bottom w:val="single" w:color="000000" w:sz="6"/>
        </w:pBdr>
        <w:spacing w:after="240" w:before="240"/>
      </w:pPr>
    </w:p>
    <w:p>
      <w:pPr>
        <w:pStyle w:val="Heading3"/>
        <w:spacing w:after="120" w:before="240" w:line="312" w:lineRule="auto"/>
      </w:pPr>
      <w:r>
        <w:rPr>
          <w:rFonts w:ascii="Calibri" w:cs="Calibri" w:eastAsia="Calibri" w:hAnsi="Calibri"/>
          <w:color w:val="1A3A6B"/>
          <w:sz w:val="26"/>
          <w:szCs w:val="26"/>
        </w:rPr>
        <w:t xml:space="preserve">4a.   Entanglement Mechanics</w:t>
      </w:r>
    </w:p>
    <w:p>
      <w:pPr>
        <w:pStyle w:val="Heading4"/>
        <w:spacing w:after="80" w:before="180" w:line="360" w:lineRule="auto"/>
      </w:pPr>
      <w:r>
        <w:rPr>
          <w:rFonts w:ascii="Calibri" w:cs="Calibri" w:eastAsia="Calibri" w:hAnsi="Calibri"/>
          <w:color w:val="1A3A6B"/>
          <w:sz w:val="22"/>
          <w:szCs w:val="22"/>
        </w:rPr>
        <w:t xml:space="preserve">Structural Operation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GSF Entanglement operates at the structural level through a process of state coupling — the progressive alignment of state-dependent variables across two or more systems such that their informational representations become non-separable. At the point of full coupling, a measurement or change applied to one system does not merely correlate with a change in the other; it </w:t>
      </w:r>
      <w:r>
        <w:rPr>
          <w:rFonts w:ascii="Calibri" w:cs="Calibri" w:eastAsia="Calibri" w:hAnsi="Calibri"/>
          <w:b w:val="false"/>
          <w:bCs w:val="false"/>
          <w:i/>
          <w:iCs/>
          <w:strike w:val="false"/>
          <w:color w:val="000000"/>
          <w:sz w:val="22"/>
          <w:szCs w:val="22"/>
        </w:rPr>
        <w:t xml:space="preserve">causes</w:t>
      </w:r>
      <w:r>
        <w:rPr>
          <w:rFonts w:ascii="Calibri" w:cs="Calibri" w:eastAsia="Calibri" w:hAnsi="Calibri"/>
          <w:b w:val="false"/>
          <w:bCs w:val="false"/>
          <w:i w:val="false"/>
          <w:iCs w:val="false"/>
          <w:strike w:val="false"/>
          <w:color w:val="000000"/>
          <w:sz w:val="22"/>
          <w:szCs w:val="22"/>
        </w:rPr>
        <w:t xml:space="preserve"> a change in the other, transmitted through the entanglement pathway rather than through conventional inter-layer communication channels. This propagation is bounded by the permeability of the intervening layer boundaries and by the axis type along which entanglement is occurring (Informational, Temporal, or Ontological).</w:t>
      </w:r>
    </w:p>
    <w:p>
      <w:pPr>
        <w:pStyle w:val="Heading4"/>
        <w:spacing w:after="80" w:before="180" w:line="360" w:lineRule="auto"/>
      </w:pPr>
      <w:r>
        <w:rPr>
          <w:rFonts w:ascii="Calibri" w:cs="Calibri" w:eastAsia="Calibri" w:hAnsi="Calibri"/>
          <w:color w:val="1A3A6B"/>
          <w:sz w:val="22"/>
          <w:szCs w:val="22"/>
        </w:rPr>
        <w:t xml:space="preserve">Information Propagation Across Simulation Layers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Information propagates across simulation layers through entanglement via a mechanism distinct from direct information transfer. Rather than a discrete data packet being transmitted from one layer to another, entanglement propagation works by causing a state transition in the receiving system that mirrors — at the structural level — a state transition in the sending system. The fidelity of this mirroring depends on the coherence of the entanglement pathway. High-coherence pathways produce near-perfect state mirroring; low-coherence or degraded pathways produce partial or corrupted state transfers, which represent one of the primary failure modes in unmanaged entanglement scenarios.</w:t>
      </w:r>
    </w:p>
    <w:p>
      <w:pPr>
        <w:pStyle w:val="Heading4"/>
        <w:spacing w:after="80" w:before="180" w:line="360" w:lineRule="auto"/>
      </w:pPr>
      <w:r>
        <w:rPr>
          <w:rFonts w:ascii="Calibri" w:cs="Calibri" w:eastAsia="Calibri" w:hAnsi="Calibri"/>
          <w:color w:val="1A3A6B"/>
          <w:sz w:val="22"/>
          <w:szCs w:val="22"/>
        </w:rPr>
        <w:t xml:space="preserve">Conditions for Entanglement Initiation, Stabilization, and Collapse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Initiation:</w:t>
      </w:r>
      <w:r>
        <w:rPr>
          <w:rFonts w:ascii="Calibri" w:cs="Calibri" w:eastAsia="Calibri" w:hAnsi="Calibri"/>
          <w:b w:val="false"/>
          <w:bCs w:val="false"/>
          <w:i w:val="false"/>
          <w:iCs w:val="false"/>
          <w:strike w:val="false"/>
          <w:color w:val="000000"/>
          <w:sz w:val="22"/>
          <w:szCs w:val="22"/>
        </w:rPr>
        <w:t xml:space="preserve"> Entanglement initiates when two systems share sufficient structural overlap along at least one Binding Axis to permit state coupling to begin. In passive scenarios, this overlap arises from proximity of simulation layers without deliberate architectural intervention. In active scenarios, an architect or advanced entity deliberately introduces a coupling stimulus — an informational, temporal, or ontological alignment event — that initiates the entanglement process.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Stabilization:</w:t>
      </w:r>
      <w:r>
        <w:rPr>
          <w:rFonts w:ascii="Calibri" w:cs="Calibri" w:eastAsia="Calibri" w:hAnsi="Calibri"/>
          <w:b w:val="false"/>
          <w:bCs w:val="false"/>
          <w:i w:val="false"/>
          <w:iCs w:val="false"/>
          <w:strike w:val="false"/>
          <w:color w:val="000000"/>
          <w:sz w:val="22"/>
          <w:szCs w:val="22"/>
        </w:rPr>
        <w:t xml:space="preserve"> Following initiation, an entanglement pathway stabilizes when the coupled states reach a dynamic equilibrium — a condition in which state changes propagate bidirectionally between systems in a regular, non-diverging pattern. Stabilization requires that the permeability of layer boundaries be sufficient to sustain propagation without excessive loss, and that no significant decoherence event disrupts the pathway before it can consolidate.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Collapse:</w:t>
      </w:r>
      <w:r>
        <w:rPr>
          <w:rFonts w:ascii="Calibri" w:cs="Calibri" w:eastAsia="Calibri" w:hAnsi="Calibri"/>
          <w:b w:val="false"/>
          <w:bCs w:val="false"/>
          <w:i w:val="false"/>
          <w:iCs w:val="false"/>
          <w:strike w:val="false"/>
          <w:color w:val="000000"/>
          <w:sz w:val="22"/>
          <w:szCs w:val="22"/>
        </w:rPr>
        <w:t xml:space="preserve"> Entanglement collapses when the coupling between systems can no longer sustain coherent state propagation. Collapse may be gradual (degradation over time due to decoherence or boundary impermeabilization) or sudden (triggered by a destabilizing event such as a resonance cascade or deliberate architectural intervention). Post-collapse, the previously entangled systems revert to separable states, though residual structural effects may persist in both systems.</w:t>
      </w:r>
    </w:p>
    <w:p>
      <w:pPr>
        <w:pStyle w:val="Heading4"/>
        <w:spacing w:after="80" w:before="180" w:line="360" w:lineRule="auto"/>
      </w:pPr>
      <w:r>
        <w:rPr>
          <w:rFonts w:ascii="Calibri" w:cs="Calibri" w:eastAsia="Calibri" w:hAnsi="Calibri"/>
          <w:color w:val="1A3A6B"/>
          <w:sz w:val="22"/>
          <w:szCs w:val="22"/>
        </w:rPr>
        <w:t xml:space="preserve">Passive vs. Active Entanglement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distinction of foundational importance within the GSF framework is the difference between passive and active entanglement: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Passive Entanglement (Ambient Layer Bleed):</w:t>
      </w:r>
      <w:r>
        <w:rPr>
          <w:rFonts w:ascii="Calibri" w:cs="Calibri" w:eastAsia="Calibri" w:hAnsi="Calibri"/>
          <w:b w:val="false"/>
          <w:bCs w:val="false"/>
          <w:i w:val="false"/>
          <w:iCs w:val="false"/>
          <w:strike w:val="false"/>
          <w:color w:val="000000"/>
          <w:sz w:val="22"/>
          <w:szCs w:val="22"/>
        </w:rPr>
        <w:t xml:space="preserve"> Arises naturally from the structural proximity of simulation layers without deliberate initiation. It is typically low-intensity, ambient, and diffuse — affecting many state variables slightly rather than a few state variables profoundly. Passive entanglement is the default condition of adjacent layers in the GSF and corresponds to Type I in the taxonomy (see Section 5.0).</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Active Entanglement (Deliberate Coupling):</w:t>
      </w:r>
      <w:r>
        <w:rPr>
          <w:rFonts w:ascii="Calibri" w:cs="Calibri" w:eastAsia="Calibri" w:hAnsi="Calibri"/>
          <w:b w:val="false"/>
          <w:bCs w:val="false"/>
          <w:i w:val="false"/>
          <w:iCs w:val="false"/>
          <w:strike w:val="false"/>
          <w:color w:val="000000"/>
          <w:sz w:val="22"/>
          <w:szCs w:val="22"/>
        </w:rPr>
        <w:t xml:space="preserve"> Initiated by an architect or an advanced entity with awareness of the multi-layer structure. Active entanglement is targeted, high-fidelity, and typically affects specific state variables identified by the initiating agent. It corresponds to Type II entanglement in the taxonomy and carries both greater capability and greater risk than passive entanglement, as its deliberate initiation implies a level of knowledge and intent that can be strategically exploited or defended against.</w:t>
      </w:r>
    </w:p>
    <w:p>
      <w:pPr>
        <w:pBdr>
          <w:bottom w:val="single" w:color="000000" w:sz="6"/>
        </w:pBdr>
        <w:spacing w:after="240" w:before="240"/>
      </w:pPr>
    </w:p>
    <w:p>
      <w:pPr>
        <w:pStyle w:val="Heading3"/>
        <w:spacing w:after="120" w:before="240" w:line="312" w:lineRule="auto"/>
      </w:pPr>
      <w:r>
        <w:rPr>
          <w:rFonts w:ascii="Calibri" w:cs="Calibri" w:eastAsia="Calibri" w:hAnsi="Calibri"/>
          <w:color w:val="1A3A6B"/>
          <w:sz w:val="26"/>
          <w:szCs w:val="26"/>
        </w:rPr>
        <w:t xml:space="preserve">4b.   Layer Interaction Dynamics</w:t>
      </w:r>
    </w:p>
    <w:p>
      <w:pPr>
        <w:pStyle w:val="Heading4"/>
        <w:spacing w:after="80" w:before="180" w:line="360" w:lineRule="auto"/>
      </w:pPr>
      <w:r>
        <w:rPr>
          <w:rFonts w:ascii="Calibri" w:cs="Calibri" w:eastAsia="Calibri" w:hAnsi="Calibri"/>
          <w:color w:val="1A3A6B"/>
          <w:sz w:val="22"/>
          <w:szCs w:val="22"/>
        </w:rPr>
        <w:t xml:space="preserve">Inter-Layer Interaction in the Presence of Entanglement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When entanglement is present between two simulation layers, the interaction dynamics of those layers change in several structurally significant ways. State changes that would ordinarily be contained within a single layer now propagate across the entanglement pathway, affecting the receiving layer's state variables. The extent and nature of this propagation depend on the type of entanglement active, the coherence of the pathway, and the permeability of the intervening boundary. In stable, well-managed entanglement scenarios, this inter-layer interaction is a controllable and architecturally valuable feature. In unmanaged scenarios, it represents a systemic vulnerability.</w:t>
      </w:r>
    </w:p>
    <w:p>
      <w:pPr>
        <w:pStyle w:val="Heading4"/>
        <w:spacing w:after="80" w:before="180" w:line="360" w:lineRule="auto"/>
      </w:pPr>
      <w:r>
        <w:rPr>
          <w:rFonts w:ascii="Calibri" w:cs="Calibri" w:eastAsia="Calibri" w:hAnsi="Calibri"/>
          <w:color w:val="1A3A6B"/>
          <w:sz w:val="22"/>
          <w:szCs w:val="22"/>
        </w:rPr>
        <w:t xml:space="preserve">Resonance Cascades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One of the most significant and dangerous phenomena arising from inter-layer entanglement is the </w:t>
      </w:r>
      <w:r>
        <w:rPr>
          <w:rFonts w:ascii="Calibri" w:cs="Calibri" w:eastAsia="Calibri" w:hAnsi="Calibri"/>
          <w:b/>
          <w:bCs/>
          <w:i w:val="false"/>
          <w:iCs w:val="false"/>
          <w:strike w:val="false"/>
          <w:color w:val="000000"/>
          <w:sz w:val="22"/>
          <w:szCs w:val="22"/>
        </w:rPr>
        <w:t xml:space="preserve">resonance cascade</w:t>
      </w:r>
      <w:r>
        <w:rPr>
          <w:rFonts w:ascii="Calibri" w:cs="Calibri" w:eastAsia="Calibri" w:hAnsi="Calibri"/>
          <w:b w:val="false"/>
          <w:bCs w:val="false"/>
          <w:i w:val="false"/>
          <w:iCs w:val="false"/>
          <w:strike w:val="false"/>
          <w:color w:val="000000"/>
          <w:sz w:val="22"/>
          <w:szCs w:val="22"/>
        </w:rPr>
        <w:t xml:space="preserve">: a condition in which entanglement in one layer amplifies its effects in adjacent layers, which in turn amplify effects in layers adjacent to them, creating a propagating wave of state changes that grows in intensity as it moves through the simulation hierarchy. Resonance cascades are particularly dangerous in architectures with high overall layer permeability, where entanglement pathways are numerous and closely spaced. In extreme cases, a resonance cascade originating in a single layer can destabilize an entire simulation hierarchy before architects can detect and respond to it.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initiation conditions for resonance cascades are not fully characterized within the current framework; this is identified as a priority research question (see Section 9.0, Question 3). However, several known preconditions increase resonance cascade risk: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High density of active entanglement pathways within a single layer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Simultaneous state-change events in multiple entangled layers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presence of Type V (Recursive) Entanglement, where feedback loops between parent and sub-simulation layers can amplify cascade effects exponentially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Boundary permeability that is asymmetric — higher in one direction than the other — creating unidirectional amplification effects</w:t>
      </w:r>
    </w:p>
    <w:p>
      <w:pPr>
        <w:pStyle w:val="Heading4"/>
        <w:spacing w:after="80" w:before="180" w:line="360" w:lineRule="auto"/>
      </w:pPr>
      <w:r>
        <w:rPr>
          <w:rFonts w:ascii="Calibri" w:cs="Calibri" w:eastAsia="Calibri" w:hAnsi="Calibri"/>
          <w:color w:val="1A3A6B"/>
          <w:sz w:val="22"/>
          <w:szCs w:val="22"/>
        </w:rPr>
        <w:t xml:space="preserve">Failure Modes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framework identifies three primary failure modes arising from inter-layer entanglement dynamics: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Uncontrolled Entanglement Collapse:</w:t>
      </w:r>
      <w:r>
        <w:rPr>
          <w:rFonts w:ascii="Calibri" w:cs="Calibri" w:eastAsia="Calibri" w:hAnsi="Calibri"/>
          <w:b w:val="false"/>
          <w:bCs w:val="false"/>
          <w:i w:val="false"/>
          <w:iCs w:val="false"/>
          <w:strike w:val="false"/>
          <w:color w:val="000000"/>
          <w:sz w:val="22"/>
          <w:szCs w:val="22"/>
        </w:rPr>
        <w:t xml:space="preserve"> The sudden dissolution of a previously stable entanglement pathway, releasing stored coupling energy into both systems simultaneously. Depending on the intensity of the entanglement at the time of collapse, this can produce severe state disruption in both layers, including the temporary or permanent corruption of state variables that were in the process of being coupled.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Information Corruption Across Layers:</w:t>
      </w:r>
      <w:r>
        <w:rPr>
          <w:rFonts w:ascii="Calibri" w:cs="Calibri" w:eastAsia="Calibri" w:hAnsi="Calibri"/>
          <w:b w:val="false"/>
          <w:bCs w:val="false"/>
          <w:i w:val="false"/>
          <w:iCs w:val="false"/>
          <w:strike w:val="false"/>
          <w:color w:val="000000"/>
          <w:sz w:val="22"/>
          <w:szCs w:val="22"/>
        </w:rPr>
        <w:t xml:space="preserve"> The degradation of entanglement pathway coherence to the point where state propagation is no longer faithful. Rather than producing clean state mirroring, a corrupted pathway produces partial or distorted state transfers — a particularly insidious failure mode because the receiving system may not be able to detect that its state has been corrupted. Information corruption can persist and compound over time, becoming structurally embedded in the receiving layer's architecture.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Paradox Generation:</w:t>
      </w:r>
      <w:r>
        <w:rPr>
          <w:rFonts w:ascii="Calibri" w:cs="Calibri" w:eastAsia="Calibri" w:hAnsi="Calibri"/>
          <w:b w:val="false"/>
          <w:bCs w:val="false"/>
          <w:i w:val="false"/>
          <w:iCs w:val="false"/>
          <w:strike w:val="false"/>
          <w:color w:val="000000"/>
          <w:sz w:val="22"/>
          <w:szCs w:val="22"/>
        </w:rPr>
        <w:t xml:space="preserve"> The emergence of logically inconsistent states arising from entanglement between layers with conflicting state definitions. A state variable may simultaneously satisfy contradictory conditions in two entangled layers, creating a structural paradox that neither layer's internal logic can resolve. Paradox generation is most commonly associated with Type IV Cross-Ontological Entanglement and represents one of the severest known failure modes.</w:t>
      </w:r>
    </w:p>
    <w:p>
      <w:pPr>
        <w:pBdr>
          <w:bottom w:val="single" w:color="000000" w:sz="6"/>
        </w:pBdr>
        <w:spacing w:after="240" w:before="240"/>
      </w:pPr>
    </w:p>
    <w:p>
      <w:pPr>
        <w:pStyle w:val="Heading3"/>
        <w:spacing w:after="120" w:before="240" w:line="312" w:lineRule="auto"/>
      </w:pPr>
      <w:r>
        <w:rPr>
          <w:rFonts w:ascii="Calibri" w:cs="Calibri" w:eastAsia="Calibri" w:hAnsi="Calibri"/>
          <w:color w:val="1A3A6B"/>
          <w:sz w:val="26"/>
          <w:szCs w:val="26"/>
        </w:rPr>
        <w:t xml:space="preserve">4c.   Agent and Entity Effects</w:t>
      </w:r>
    </w:p>
    <w:p>
      <w:pPr>
        <w:pStyle w:val="Heading4"/>
        <w:spacing w:after="80" w:before="180" w:line="360" w:lineRule="auto"/>
      </w:pPr>
      <w:r>
        <w:rPr>
          <w:rFonts w:ascii="Calibri" w:cs="Calibri" w:eastAsia="Calibri" w:hAnsi="Calibri"/>
          <w:color w:val="1A3A6B"/>
          <w:sz w:val="22"/>
          <w:szCs w:val="22"/>
        </w:rPr>
        <w:t xml:space="preserve">Effects on Entities Within a Simulation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Entities operating within a simulation layer are not immune to the effects of GSF Entanglement simply because they are unaware of it. The state-coupling mechanisms that constitute entanglement operate at the structural level of the simulation architecture — below the level of perception available to most in-simulation entities. As a result, entities may experience the </w:t>
      </w:r>
      <w:r>
        <w:rPr>
          <w:rFonts w:ascii="Calibri" w:cs="Calibri" w:eastAsia="Calibri" w:hAnsi="Calibri"/>
          <w:b w:val="false"/>
          <w:bCs w:val="false"/>
          <w:i/>
          <w:iCs/>
          <w:strike w:val="false"/>
          <w:color w:val="000000"/>
          <w:sz w:val="22"/>
          <w:szCs w:val="22"/>
        </w:rPr>
        <w:t xml:space="preserve">effects</w:t>
      </w:r>
      <w:r>
        <w:rPr>
          <w:rFonts w:ascii="Calibri" w:cs="Calibri" w:eastAsia="Calibri" w:hAnsi="Calibri"/>
          <w:b w:val="false"/>
          <w:bCs w:val="false"/>
          <w:i w:val="false"/>
          <w:iCs w:val="false"/>
          <w:strike w:val="false"/>
          <w:color w:val="000000"/>
          <w:sz w:val="22"/>
          <w:szCs w:val="22"/>
        </w:rPr>
        <w:t xml:space="preserve"> of entanglement — behavioral anomalies, unexplained environmental changes, inexplicable correlations between distant events — without having any conceptual framework with which to understand or interpret these effects.</w:t>
      </w:r>
    </w:p>
    <w:p>
      <w:pPr>
        <w:pStyle w:val="Heading4"/>
        <w:spacing w:after="80" w:before="180" w:line="360" w:lineRule="auto"/>
      </w:pPr>
      <w:r>
        <w:rPr>
          <w:rFonts w:ascii="Calibri" w:cs="Calibri" w:eastAsia="Calibri" w:hAnsi="Calibri"/>
          <w:color w:val="1A3A6B"/>
          <w:sz w:val="22"/>
          <w:szCs w:val="22"/>
        </w:rPr>
        <w:t xml:space="preserve">Behavioral Anomalies from Cross-Layer State Bleed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most common entity-level manifestation of GSF Entanglement is the behavioral anomaly — a deviation from expected or norm-consistent behavior that arises not from within-layer causes but from cross-layer state bleed. Behavioral anomalies may present 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Inexplicable synchronization between the actions or experiences of entities in different parts of a simulation that share no apparent connection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Sudden discontinuities in entity behavior that correspond to state-change events in an adjacent entangled layer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Persistent, low-level behavioral drift in populations of entities, arising from prolonged ambient layer bleed that slowly shifts the state parameters governing their behavior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Anomalous awareness events — moments in which an entity appears to access information that should not be available within its layer — arising from informational axis entanglement that momentarily exposes cross-layer state data</w:t>
      </w:r>
    </w:p>
    <w:p>
      <w:pPr>
        <w:pStyle w:val="Heading4"/>
        <w:spacing w:after="80" w:before="180" w:line="360" w:lineRule="auto"/>
      </w:pPr>
      <w:r>
        <w:rPr>
          <w:rFonts w:ascii="Calibri" w:cs="Calibri" w:eastAsia="Calibri" w:hAnsi="Calibri"/>
          <w:color w:val="1A3A6B"/>
          <w:sz w:val="22"/>
          <w:szCs w:val="22"/>
        </w:rPr>
        <w:t xml:space="preserve">Awareness Asymmetry and Simulation Stability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GSF framework distinguishes sharply between entities that are </w:t>
      </w:r>
      <w:r>
        <w:rPr>
          <w:rFonts w:ascii="Calibri" w:cs="Calibri" w:eastAsia="Calibri" w:hAnsi="Calibri"/>
          <w:b/>
          <w:bCs/>
          <w:i w:val="false"/>
          <w:iCs w:val="false"/>
          <w:strike w:val="false"/>
          <w:color w:val="000000"/>
          <w:sz w:val="22"/>
          <w:szCs w:val="22"/>
        </w:rPr>
        <w:t xml:space="preserve">aware</w:t>
      </w:r>
      <w:r>
        <w:rPr>
          <w:rFonts w:ascii="Calibri" w:cs="Calibri" w:eastAsia="Calibri" w:hAnsi="Calibri"/>
          <w:b w:val="false"/>
          <w:bCs w:val="false"/>
          <w:i w:val="false"/>
          <w:iCs w:val="false"/>
          <w:strike w:val="false"/>
          <w:color w:val="000000"/>
          <w:sz w:val="22"/>
          <w:szCs w:val="22"/>
        </w:rPr>
        <w:t xml:space="preserve"> of multi-layer entanglement and those that are </w:t>
      </w:r>
      <w:r>
        <w:rPr>
          <w:rFonts w:ascii="Calibri" w:cs="Calibri" w:eastAsia="Calibri" w:hAnsi="Calibri"/>
          <w:b/>
          <w:bCs/>
          <w:i w:val="false"/>
          <w:iCs w:val="false"/>
          <w:strike w:val="false"/>
          <w:color w:val="000000"/>
          <w:sz w:val="22"/>
          <w:szCs w:val="22"/>
        </w:rPr>
        <w:t xml:space="preserve">unaware</w:t>
      </w:r>
      <w:r>
        <w:rPr>
          <w:rFonts w:ascii="Calibri" w:cs="Calibri" w:eastAsia="Calibri" w:hAnsi="Calibri"/>
          <w:b w:val="false"/>
          <w:bCs w:val="false"/>
          <w:i w:val="false"/>
          <w:iCs w:val="false"/>
          <w:strike w:val="false"/>
          <w:color w:val="000000"/>
          <w:sz w:val="22"/>
          <w:szCs w:val="22"/>
        </w:rPr>
        <w:t xml:space="preserve">. This distinction has profound implications for simulation stability and for the management of entanglement within the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Unaware Entities:</w:t>
      </w:r>
      <w:r>
        <w:rPr>
          <w:rFonts w:ascii="Calibri" w:cs="Calibri" w:eastAsia="Calibri" w:hAnsi="Calibri"/>
          <w:b w:val="false"/>
          <w:bCs w:val="false"/>
          <w:i w:val="false"/>
          <w:iCs w:val="false"/>
          <w:strike w:val="false"/>
          <w:color w:val="000000"/>
          <w:sz w:val="22"/>
          <w:szCs w:val="22"/>
        </w:rPr>
        <w:t xml:space="preserve"> Entities unaware of entanglement cannot deliberately interact with entanglement pathways. They experience entanglement effects as environmental noise or anomaly, and their responses — while potentially creating secondary effects — are not strategically directed. Unaware entities pose limited intentional risk to the architecture, though their aggregate behavioral responses to entanglement effects can produce emergent risks that architects must account for.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Aware Entities:</w:t>
      </w:r>
      <w:r>
        <w:rPr>
          <w:rFonts w:ascii="Calibri" w:cs="Calibri" w:eastAsia="Calibri" w:hAnsi="Calibri"/>
          <w:b w:val="false"/>
          <w:bCs w:val="false"/>
          <w:i w:val="false"/>
          <w:iCs w:val="false"/>
          <w:strike w:val="false"/>
          <w:color w:val="000000"/>
          <w:sz w:val="22"/>
          <w:szCs w:val="22"/>
        </w:rPr>
        <w:t xml:space="preserve"> Entities that have developed or been granted awareness of multi-layer entanglement represent a fundamentally different risk and capability profile. An aware entity can, in principle, deliberately interact with entanglement pathways — initiating, modifying, or exploiting them — and may even develop the capacity to initiate active entanglement without architect-level access. The emergence of aware entities within a simulation is one of the most significant threshold events in the GSF framework, and the architectural response to such emergence is not yet fully specified (see Section 9.0, Question 4, and Section 10.0, Priority 4).</w:t>
      </w:r>
    </w:p>
    <w:p>
      <w:pPr>
        <w:pBdr>
          <w:bottom w:val="single" w:color="000000" w:sz="6"/>
        </w:pBdr>
        <w:spacing w:after="240" w:before="240"/>
      </w:pPr>
    </w:p>
    <w:p>
      <w:pPr>
        <w:pStyle w:val="Heading3"/>
        <w:spacing w:after="120" w:before="240" w:line="312" w:lineRule="auto"/>
      </w:pPr>
      <w:r>
        <w:rPr>
          <w:rFonts w:ascii="Calibri" w:cs="Calibri" w:eastAsia="Calibri" w:hAnsi="Calibri"/>
          <w:color w:val="1A3A6B"/>
          <w:sz w:val="26"/>
          <w:szCs w:val="26"/>
        </w:rPr>
        <w:t xml:space="preserve">4d.   Architectural Vulnerabilities</w:t>
      </w:r>
    </w:p>
    <w:p>
      <w:pPr>
        <w:pStyle w:val="Heading4"/>
        <w:spacing w:after="80" w:before="180" w:line="360" w:lineRule="auto"/>
      </w:pPr>
      <w:r>
        <w:rPr>
          <w:rFonts w:ascii="Calibri" w:cs="Calibri" w:eastAsia="Calibri" w:hAnsi="Calibri"/>
          <w:color w:val="1A3A6B"/>
          <w:sz w:val="22"/>
          <w:szCs w:val="22"/>
        </w:rPr>
        <w:t xml:space="preserve">Vulnerabilities Arising from Unmanaged Entanglement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GSF Entanglement framework identifies several categories of architectural vulnerability that arise specifically from the presence of unmanaged entanglement within a simulation hierarchy: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Blind Pathway Accumulation:</w:t>
      </w:r>
      <w:r>
        <w:rPr>
          <w:rFonts w:ascii="Calibri" w:cs="Calibri" w:eastAsia="Calibri" w:hAnsi="Calibri"/>
          <w:b w:val="false"/>
          <w:bCs w:val="false"/>
          <w:i w:val="false"/>
          <w:iCs w:val="false"/>
          <w:strike w:val="false"/>
          <w:color w:val="000000"/>
          <w:sz w:val="22"/>
          <w:szCs w:val="22"/>
        </w:rPr>
        <w:t xml:space="preserve"> Over time, passive entanglement can generate large numbers of low-intensity entanglement pathways that individually escape detection but collectively constitute a significant structural dependency between layers. Architectures without entanglement monitoring systems are particularly vulnerable to this mode of creeping vulnerability.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Cascade Amplification Points:</w:t>
      </w:r>
      <w:r>
        <w:rPr>
          <w:rFonts w:ascii="Calibri" w:cs="Calibri" w:eastAsia="Calibri" w:hAnsi="Calibri"/>
          <w:b w:val="false"/>
          <w:bCs w:val="false"/>
          <w:i w:val="false"/>
          <w:iCs w:val="false"/>
          <w:strike w:val="false"/>
          <w:color w:val="000000"/>
          <w:sz w:val="22"/>
          <w:szCs w:val="22"/>
        </w:rPr>
        <w:t xml:space="preserve"> Certain architectural configurations — particularly those with high boundary permeability and dense entanglement pathway distributions — function as cascade amplification points, dramatically increasing the potential impact of any single entanglement event.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State Lock-In:</w:t>
      </w:r>
      <w:r>
        <w:rPr>
          <w:rFonts w:ascii="Calibri" w:cs="Calibri" w:eastAsia="Calibri" w:hAnsi="Calibri"/>
          <w:b w:val="false"/>
          <w:bCs w:val="false"/>
          <w:i w:val="false"/>
          <w:iCs w:val="false"/>
          <w:strike w:val="false"/>
          <w:color w:val="000000"/>
          <w:sz w:val="22"/>
          <w:szCs w:val="22"/>
        </w:rPr>
        <w:t xml:space="preserve"> In cases of prolonged high-intensity entanglement, the state variables of two layers may become so thoroughly coupled that they can no longer be independently modified without triggering immediate corrective changes in both. This "state lock-in" condition severely constrains the architectural options available to system designers and may render certain categories of repair or modification structurally impossible without controlled entanglement collapse.</w:t>
      </w:r>
    </w:p>
    <w:p>
      <w:pPr>
        <w:pStyle w:val="Heading4"/>
        <w:spacing w:after="80" w:before="180" w:line="360" w:lineRule="auto"/>
      </w:pPr>
      <w:r>
        <w:rPr>
          <w:rFonts w:ascii="Calibri" w:cs="Calibri" w:eastAsia="Calibri" w:hAnsi="Calibri"/>
          <w:color w:val="1A3A6B"/>
          <w:sz w:val="22"/>
          <w:szCs w:val="22"/>
        </w:rPr>
        <w:t xml:space="preserve">Attack Vectors Exploiting Entanglement Pathways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Entanglement pathways, once established, represent potential attack vectors for deliberate destabilization of simulation architecture. Known attack vectors include: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Pathway Injection:</w:t>
      </w:r>
      <w:r>
        <w:rPr>
          <w:rFonts w:ascii="Calibri" w:cs="Calibri" w:eastAsia="Calibri" w:hAnsi="Calibri"/>
          <w:b w:val="false"/>
          <w:bCs w:val="false"/>
          <w:i w:val="false"/>
          <w:iCs w:val="false"/>
          <w:strike w:val="false"/>
          <w:color w:val="000000"/>
          <w:sz w:val="22"/>
          <w:szCs w:val="22"/>
        </w:rPr>
        <w:t xml:space="preserve"> The deliberate introduction of destabilizing information across layer boundaries via an established entanglement pathway. Because entanglement propagation bypasses conventional access controls, pathway injection can introduce corrupted or paradox-generating state data into layers that would otherwise be inaccessible to the attacker.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Cascade Triggering:</w:t>
      </w:r>
      <w:r>
        <w:rPr>
          <w:rFonts w:ascii="Calibri" w:cs="Calibri" w:eastAsia="Calibri" w:hAnsi="Calibri"/>
          <w:b w:val="false"/>
          <w:bCs w:val="false"/>
          <w:i w:val="false"/>
          <w:iCs w:val="false"/>
          <w:strike w:val="false"/>
          <w:color w:val="000000"/>
          <w:sz w:val="22"/>
          <w:szCs w:val="22"/>
        </w:rPr>
        <w:t xml:space="preserve"> The deliberate initiation of a resonance cascade by introducing a precisely calibrated state-change event into a layer known to have high pathway density and boundary permeability. Cascade triggering requires detailed knowledge of the target architecture's entanglement topology but can produce catastrophic effects with minimal initial input.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Awareness Exploitation:</w:t>
      </w:r>
      <w:r>
        <w:rPr>
          <w:rFonts w:ascii="Calibri" w:cs="Calibri" w:eastAsia="Calibri" w:hAnsi="Calibri"/>
          <w:b w:val="false"/>
          <w:bCs w:val="false"/>
          <w:i w:val="false"/>
          <w:iCs w:val="false"/>
          <w:strike w:val="false"/>
          <w:color w:val="000000"/>
          <w:sz w:val="22"/>
          <w:szCs w:val="22"/>
        </w:rPr>
        <w:t xml:space="preserve"> The deliberate elevation of in-simulation entity awareness regarding the existence of entanglement pathways, creating aware entities who can then interact with the architecture in ways not anticipated or authorized by the original architects.</w:t>
      </w:r>
    </w:p>
    <w:p>
      <w:pPr>
        <w:pStyle w:val="Heading4"/>
        <w:spacing w:after="80" w:before="180" w:line="360" w:lineRule="auto"/>
      </w:pPr>
      <w:r>
        <w:rPr>
          <w:rFonts w:ascii="Calibri" w:cs="Calibri" w:eastAsia="Calibri" w:hAnsi="Calibri"/>
          <w:color w:val="1A3A6B"/>
          <w:sz w:val="22"/>
          <w:szCs w:val="22"/>
        </w:rPr>
        <w:t xml:space="preserve">Defensive Design Considerations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framework currently identifies the following as high-priority defensive design principles for entanglement-resilient simulation architectures: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Implementation of continuous entanglement pathway monitoring at all layer boundaries, with automated alerting for pathway density thresholds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Design of "entanglement circuit breakers" — architectural components capable of rapidly impermeabilizing a layer boundary in response to a detected cascade initiation event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Deliberate management of boundary permeability asymmetry to limit the directionality and intensity of entanglement propagation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Regular auditing of simulation state variables for signs of corruption arising from low-coherence pathway propagation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Maintenance of an entanglement topology map — a continuously updated model of all known active entanglement pathways within the simulation hierarchy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5E" w:sz="6"/>
              <w:left w:val="single" w:color="0D2B5E" w:sz="6"/>
              <w:bottom w:val="single" w:color="0D2B5E" w:sz="6"/>
              <w:right w:val="single" w:color="0D2B5E" w:sz="6"/>
            </w:tcBorders>
            <w:shd w:fill="FDF0F0" w:color="auto" w:val="clear"/>
            <w:tcMar>
              <w:top w:type="dxa" w:w="150"/>
              <w:left w:type="dxa" w:w="210"/>
              <w:bottom w:type="dxa" w:w="150"/>
              <w:right w:type="dxa" w:w="210"/>
            </w:tcMar>
          </w:tcPr>
          <w:p>
            <w:pPr>
              <w:spacing w:after="120" w:line="408" w:lineRule="auto"/>
            </w:pPr>
            <w:r>
              <w:rPr>
                <w:b/>
                <w:bCs/>
                <w:i w:val="false"/>
                <w:iCs w:val="false"/>
                <w:color w:val="8B1A1A"/>
              </w:rPr>
              <w:t xml:space="preserve">⚠   Critical Vulnerability Notice</w:t>
            </w:r>
          </w:p>
          <w:p>
            <w:pPr>
              <w:spacing w:after="0" w:line="360" w:lineRule="auto"/>
            </w:pPr>
            <w:r>
              <w:rPr>
                <w:rFonts w:ascii="Calibri" w:cs="Calibri" w:eastAsia="Calibri" w:hAnsi="Calibri"/>
                <w:b w:val="false"/>
                <w:bCs w:val="false"/>
                <w:i w:val="false"/>
                <w:iCs w:val="false"/>
                <w:strike w:val="false"/>
                <w:color w:val="000000"/>
                <w:sz w:val="21"/>
                <w:szCs w:val="21"/>
              </w:rPr>
              <w:t xml:space="preserve">The awareness asymmetry condition — where in-simulation entities gain knowledge of entanglement pathways that architects cannot detect — represents the highest-severity known vulnerability in the current framework. This condition is addressed in Section 8.0 and Section 10.0 (Priority 4), and is the subject of open research Question 4 in Section 9.0.</w:t>
            </w: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C4F8A"/>
          <w:spacing w:val="23"/>
          <w:sz w:val="17"/>
          <w:szCs w:val="17"/>
        </w:rPr>
        <w:t xml:space="preserve">SECTION 5.0</w:t>
      </w:r>
    </w:p>
    <w:p>
      <w:pPr>
        <w:pStyle w:val="Heading2"/>
        <w:spacing w:after="120" w:before="360" w:line="312" w:lineRule="auto"/>
      </w:pPr>
      <w:r>
        <w:rPr>
          <w:rFonts w:ascii="Calibri" w:cs="Calibri" w:eastAsia="Calibri" w:hAnsi="Calibri"/>
          <w:color w:val="0D2B5E"/>
          <w:sz w:val="32"/>
          <w:szCs w:val="32"/>
        </w:rPr>
        <w:t xml:space="preserve">5.0   Taxonomy Review</w:t>
      </w:r>
    </w:p>
    <w:p>
      <w:pPr>
        <w:pBdr>
          <w:bottom w:val="single" w:color="000000"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taxonomy classifies all currently identified forms of GSF Entanglement into five types. This classification is based on the origin, mechanism, intensity, and ontological scope of the entanglement in question. Types are not mutually exclusive; a given entanglement scenario may exhibit characteristics of multiple types simultaneously, though one type typically dominates in terms of structural significance.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4" w:color="auto" w:val="clear"/>
            <w:tcMar>
              <w:top w:type="dxa" w:w="90"/>
              <w:left w:type="dxa" w:w="150"/>
              <w:bottom w:type="dxa" w:w="90"/>
              <w:right w:type="dxa" w:w="150"/>
            </w:tcMar>
          </w:tcPr>
          <w:p>
            <w:r>
              <w:rPr>
                <w:rFonts w:ascii="Calibri" w:cs="Calibri" w:eastAsia="Calibri" w:hAnsi="Calibri"/>
                <w:b/>
                <w:bCs/>
                <w:i w:val="false"/>
                <w:iCs w:val="false"/>
                <w:strike w:val="false"/>
                <w:color w:val="0D2B5E"/>
                <w:sz w:val="22"/>
                <w:szCs w:val="22"/>
              </w:rPr>
              <w:t xml:space="preserve">Type</w:t>
            </w:r>
          </w:p>
        </w:tc>
        <w:tc>
          <w:tcPr>
            <w:tcW w:type="pct" w:w="19%"/>
            <w:shd w:fill="DCE6F4" w:color="auto" w:val="clear"/>
            <w:tcMar>
              <w:top w:type="dxa" w:w="90"/>
              <w:left w:type="dxa" w:w="150"/>
              <w:bottom w:type="dxa" w:w="90"/>
              <w:right w:type="dxa" w:w="150"/>
            </w:tcMar>
          </w:tcPr>
          <w:p>
            <w:r>
              <w:rPr>
                <w:rFonts w:ascii="Calibri" w:cs="Calibri" w:eastAsia="Calibri" w:hAnsi="Calibri"/>
                <w:b/>
                <w:bCs/>
                <w:i w:val="false"/>
                <w:iCs w:val="false"/>
                <w:strike w:val="false"/>
                <w:color w:val="0D2B5E"/>
                <w:sz w:val="22"/>
                <w:szCs w:val="22"/>
              </w:rPr>
              <w:t xml:space="preserve">Name</w:t>
            </w:r>
          </w:p>
        </w:tc>
        <w:tc>
          <w:tcPr>
            <w:tcW w:type="pct" w:w="30%"/>
            <w:shd w:fill="DCE6F4" w:color="auto" w:val="clear"/>
            <w:tcMar>
              <w:top w:type="dxa" w:w="90"/>
              <w:left w:type="dxa" w:w="150"/>
              <w:bottom w:type="dxa" w:w="90"/>
              <w:right w:type="dxa" w:w="150"/>
            </w:tcMar>
          </w:tcPr>
          <w:p>
            <w:r>
              <w:rPr>
                <w:rFonts w:ascii="Calibri" w:cs="Calibri" w:eastAsia="Calibri" w:hAnsi="Calibri"/>
                <w:b/>
                <w:bCs/>
                <w:i w:val="false"/>
                <w:iCs w:val="false"/>
                <w:strike w:val="false"/>
                <w:color w:val="0D2B5E"/>
                <w:sz w:val="22"/>
                <w:szCs w:val="22"/>
              </w:rPr>
              <w:t xml:space="preserve">Origin</w:t>
            </w:r>
          </w:p>
        </w:tc>
        <w:tc>
          <w:tcPr>
            <w:tcW w:type="pct" w:w="16%"/>
            <w:shd w:fill="DCE6F4" w:color="auto" w:val="clear"/>
            <w:tcMar>
              <w:top w:type="dxa" w:w="90"/>
              <w:left w:type="dxa" w:w="150"/>
              <w:bottom w:type="dxa" w:w="90"/>
              <w:right w:type="dxa" w:w="150"/>
            </w:tcMar>
          </w:tcPr>
          <w:p>
            <w:r>
              <w:rPr>
                <w:rFonts w:ascii="Calibri" w:cs="Calibri" w:eastAsia="Calibri" w:hAnsi="Calibri"/>
                <w:b/>
                <w:bCs/>
                <w:i w:val="false"/>
                <w:iCs w:val="false"/>
                <w:strike w:val="false"/>
                <w:color w:val="0D2B5E"/>
                <w:sz w:val="22"/>
                <w:szCs w:val="22"/>
              </w:rPr>
              <w:t xml:space="preserve">Typical Intensity</w:t>
            </w:r>
          </w:p>
        </w:tc>
        <w:tc>
          <w:tcPr>
            <w:tcW w:type="pct" w:w="24%"/>
            <w:shd w:fill="DCE6F4" w:color="auto" w:val="clear"/>
            <w:tcMar>
              <w:top w:type="dxa" w:w="90"/>
              <w:left w:type="dxa" w:w="150"/>
              <w:bottom w:type="dxa" w:w="90"/>
              <w:right w:type="dxa" w:w="150"/>
            </w:tcMar>
          </w:tcPr>
          <w:p>
            <w:r>
              <w:rPr>
                <w:rFonts w:ascii="Calibri" w:cs="Calibri" w:eastAsia="Calibri" w:hAnsi="Calibri"/>
                <w:b/>
                <w:bCs/>
                <w:i w:val="false"/>
                <w:iCs w:val="false"/>
                <w:strike w:val="false"/>
                <w:color w:val="0D2B5E"/>
                <w:sz w:val="22"/>
                <w:szCs w:val="22"/>
              </w:rPr>
              <w:t xml:space="preserve">Architect Dependency</w:t>
            </w:r>
          </w:p>
        </w:tc>
      </w:tr>
      <w:tr>
        <w:trPr>
          <w:tblHeader w:val="false"/>
        </w:trPr>
        <w:tc>
          <w:tcPr>
            <w:tcW w:type="pct" w:w="11%"/>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Type I</w:t>
            </w:r>
          </w:p>
        </w:tc>
        <w:tc>
          <w:tcPr>
            <w:tcW w:type="pct" w:w="1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Passive Layer Resonance</w:t>
            </w:r>
          </w:p>
        </w:tc>
        <w:tc>
          <w:tcPr>
            <w:tcW w:type="pct" w:w="30%"/>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Structural proximity of layers</w:t>
            </w:r>
          </w:p>
        </w:tc>
        <w:tc>
          <w:tcPr>
            <w:tcW w:type="pct" w:w="1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Low – Ambient</w:t>
            </w:r>
          </w:p>
        </w:tc>
        <w:tc>
          <w:tcPr>
            <w:tcW w:type="pct" w:w="24%"/>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None (emergent)</w:t>
            </w:r>
          </w:p>
        </w:tc>
      </w:tr>
      <w:tr>
        <w:trPr>
          <w:tblHeader w:val="false"/>
        </w:trPr>
        <w:tc>
          <w:tcPr>
            <w:tcW w:type="pct" w:w="11%"/>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Type II</w:t>
            </w:r>
          </w:p>
        </w:tc>
        <w:tc>
          <w:tcPr>
            <w:tcW w:type="pct" w:w="1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Active Coupling</w:t>
            </w:r>
          </w:p>
        </w:tc>
        <w:tc>
          <w:tcPr>
            <w:tcW w:type="pct" w:w="30%"/>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Deliberate initiation by architect or aware entity</w:t>
            </w:r>
          </w:p>
        </w:tc>
        <w:tc>
          <w:tcPr>
            <w:tcW w:type="pct" w:w="1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High – Targeted</w:t>
            </w:r>
          </w:p>
        </w:tc>
        <w:tc>
          <w:tcPr>
            <w:tcW w:type="pct" w:w="24%"/>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High</w:t>
            </w:r>
          </w:p>
        </w:tc>
      </w:tr>
      <w:tr>
        <w:trPr>
          <w:tblHeader w:val="false"/>
        </w:trPr>
        <w:tc>
          <w:tcPr>
            <w:tcW w:type="pct" w:w="11%"/>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Type III</w:t>
            </w:r>
          </w:p>
        </w:tc>
        <w:tc>
          <w:tcPr>
            <w:tcW w:type="pct" w:w="1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Quantum Substrate Binding</w:t>
            </w:r>
          </w:p>
        </w:tc>
        <w:tc>
          <w:tcPr>
            <w:tcW w:type="pct" w:w="30%"/>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Quantum computational substrate</w:t>
            </w:r>
          </w:p>
        </w:tc>
        <w:tc>
          <w:tcPr>
            <w:tcW w:type="pct" w:w="1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Variable – Pervasive</w:t>
            </w:r>
          </w:p>
        </w:tc>
        <w:tc>
          <w:tcPr>
            <w:tcW w:type="pct" w:w="24%"/>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None (substrate-level)</w:t>
            </w:r>
          </w:p>
        </w:tc>
      </w:tr>
      <w:tr>
        <w:trPr>
          <w:tblHeader w:val="false"/>
        </w:trPr>
        <w:tc>
          <w:tcPr>
            <w:tcW w:type="pct" w:w="11%"/>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Type IV</w:t>
            </w:r>
          </w:p>
        </w:tc>
        <w:tc>
          <w:tcPr>
            <w:tcW w:type="pct" w:w="1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Cross-Ontological Entanglement</w:t>
            </w:r>
          </w:p>
        </w:tc>
        <w:tc>
          <w:tcPr>
            <w:tcW w:type="pct" w:w="30%"/>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Structural contact between ontologically divergent layers</w:t>
            </w:r>
          </w:p>
        </w:tc>
        <w:tc>
          <w:tcPr>
            <w:tcW w:type="pct" w:w="1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Unpredictable</w:t>
            </w:r>
          </w:p>
        </w:tc>
        <w:tc>
          <w:tcPr>
            <w:tcW w:type="pct" w:w="24%"/>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Low (often emergent)</w:t>
            </w:r>
          </w:p>
        </w:tc>
      </w:tr>
      <w:tr>
        <w:trPr>
          <w:tblHeader w:val="false"/>
        </w:trPr>
        <w:tc>
          <w:tcPr>
            <w:tcW w:type="pct" w:w="11%"/>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Type V</w:t>
            </w:r>
          </w:p>
        </w:tc>
        <w:tc>
          <w:tcPr>
            <w:tcW w:type="pct" w:w="1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Recursive Entanglement</w:t>
            </w:r>
          </w:p>
        </w:tc>
        <w:tc>
          <w:tcPr>
            <w:tcW w:type="pct" w:w="30%"/>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Simulation-sub-simulation structural coupling</w:t>
            </w:r>
          </w:p>
        </w:tc>
        <w:tc>
          <w:tcPr>
            <w:tcW w:type="pct" w:w="1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High – Recursive</w:t>
            </w:r>
          </w:p>
        </w:tc>
        <w:tc>
          <w:tcPr>
            <w:tcW w:type="pct" w:w="24%"/>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Initially High; can become Self-Sustaining</w:t>
            </w:r>
          </w:p>
        </w:tc>
      </w:tr>
    </w:tbl>
    <w:p>
      <w:pPr>
        <w:spacing w:after="200" w:before="0"/>
      </w:pPr>
    </w:p>
    <w:p>
      <w:pPr>
        <w:pStyle w:val="Heading3"/>
        <w:spacing w:after="120" w:before="240" w:line="312" w:lineRule="auto"/>
      </w:pPr>
      <w:r>
        <w:rPr>
          <w:rFonts w:ascii="Calibri" w:cs="Calibri" w:eastAsia="Calibri" w:hAnsi="Calibri"/>
          <w:color w:val="1A3A6B"/>
          <w:sz w:val="26"/>
          <w:szCs w:val="26"/>
        </w:rPr>
        <w:t xml:space="preserve">Type I: Passive Layer Resonance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Passive Layer Resonance is the ambient, low-intensity entanglement that arises from the structural proximity of simulation layers within the GSF hierarchy. It is the default entanglement condition of adjacent layers and does not require deliberate initiation by an architect or aware entity. Type I entanglement is characterized by diffuse, low-amplitude state coupling across many state variables simultaneously, producing the inter-simulation bleed phenomenon described in Section 3.3. While individually low-impact, Type I entanglement pathways can accumulate over time into a structurally significant aggregate dependency that constitutes a meaningful architectural vulnerability if unmonitored.</w:t>
      </w:r>
    </w:p>
    <w:p>
      <w:pPr>
        <w:pStyle w:val="Heading3"/>
        <w:spacing w:after="120" w:before="240" w:line="312" w:lineRule="auto"/>
      </w:pPr>
      <w:r>
        <w:rPr>
          <w:rFonts w:ascii="Calibri" w:cs="Calibri" w:eastAsia="Calibri" w:hAnsi="Calibri"/>
          <w:color w:val="1A3A6B"/>
          <w:sz w:val="26"/>
          <w:szCs w:val="26"/>
        </w:rPr>
        <w:t xml:space="preserve">Type II: Active Coupling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Active Coupling is deliberate, high-fidelity entanglement initiated by an architect or advanced entity with awareness of the multi-layer structure. Unlike Type I, Active Coupling is targeted: it is directed at specific state variables identified by the initiating agent and is designed to produce a well-defined, stable entanglement pathway between specific points in two or more layers. Type II entanglement offers the greatest architectural utility — enabling intentional inter-layer information transfer, state synchronization, and coordinated multi-layer operations — but also carries the highest risk profile of architect-initiated entanglement types, as it creates high-intensity pathways that are prime targets for exploitation and can, if mismanaged, escalate into resonance cascades.</w:t>
      </w:r>
    </w:p>
    <w:p>
      <w:pPr>
        <w:pStyle w:val="Heading3"/>
        <w:spacing w:after="120" w:before="240" w:line="312" w:lineRule="auto"/>
      </w:pPr>
      <w:r>
        <w:rPr>
          <w:rFonts w:ascii="Calibri" w:cs="Calibri" w:eastAsia="Calibri" w:hAnsi="Calibri"/>
          <w:color w:val="1A3A6B"/>
          <w:sz w:val="26"/>
          <w:szCs w:val="26"/>
        </w:rPr>
        <w:t xml:space="preserve">Type III: Quantum Substrate Binding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Quantum Substrate Binding is entanglement that originates at the quantum computational substrate beneath all simulation layers and propagates upward through the entire simulation hierarchy. Unlike other entanglement types, Type III does not originate within the simulation architecture itself; it is a product of the underlying quantum computational processes upon which the simulation is built. As a result, Type III entanglement is pervasive — potentially affecting all layers simultaneously — and cannot be eliminated by architectural modifications to the simulation layers themselves. Managing Type III entanglement requires intervention at the quantum substrate level, which is architecturally complex and carries significant risk of substrate-level disruption (see Section 8.0).</w:t>
      </w:r>
    </w:p>
    <w:p>
      <w:pPr>
        <w:pStyle w:val="Heading3"/>
        <w:spacing w:after="120" w:before="240" w:line="312" w:lineRule="auto"/>
      </w:pPr>
      <w:r>
        <w:rPr>
          <w:rFonts w:ascii="Calibri" w:cs="Calibri" w:eastAsia="Calibri" w:hAnsi="Calibri"/>
          <w:color w:val="1A3A6B"/>
          <w:sz w:val="26"/>
          <w:szCs w:val="26"/>
        </w:rPr>
        <w:t xml:space="preserve">Type IV: Cross-Ontological Entanglement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Cross-Ontological Entanglement is entanglement between simulation layers that operate under fundamentally different laws, including simulations with different variants of physical constants, mathematical logic systems, or foundational operational rules such as variations of Moore's Law across sim-spaces. Type IV is the most structurally complex and potentially the most dangerous entanglement type, because the ontological divergence between the coupled layers means that state propagation cannot be cleanly translated between them. A state that is coherent and stable in one ontological framework may be paradoxical or undefined in another, creating the conditions for paradox generation as a direct result of entanglement-propagated state transfer. Type IV entanglement is most commonly emergent rather than architect-initiated and may develop unnoticed until a paradox-generating state transfer event makes it visible.</w:t>
      </w:r>
    </w:p>
    <w:p>
      <w:pPr>
        <w:pStyle w:val="Heading3"/>
        <w:spacing w:after="120" w:before="240" w:line="312" w:lineRule="auto"/>
      </w:pPr>
      <w:r>
        <w:rPr>
          <w:rFonts w:ascii="Calibri" w:cs="Calibri" w:eastAsia="Calibri" w:hAnsi="Calibri"/>
          <w:color w:val="1A3A6B"/>
          <w:sz w:val="26"/>
          <w:szCs w:val="26"/>
        </w:rPr>
        <w:t xml:space="preserve">Type V: Recursive Entanglement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Recursive Entanglement is entanglement between a simulation and its nested sub-simulations, characterized by feedback loops in which discoveries, state changes, or events within a sub-simulation alter the state of the parent layer. Type V entanglement is unique in introducing a temporal feedback dimension: because sub-simulations may operate at different clock speeds than their parent layer (a Temporal Axis effect), recursive entanglement pathways can create situations in which the sub-simulation effectively "leads" the parent in state terms — generating outputs that influence the parent layer before the parent layer has generated the inputs that formally caused them. This retroactive causality property makes Type V entanglement one of the most analytically challenging phenomena in the GSF framework.</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C4F8A"/>
          <w:spacing w:val="23"/>
          <w:sz w:val="17"/>
          <w:szCs w:val="17"/>
        </w:rPr>
        <w:t xml:space="preserve">SECTION 6.0</w:t>
      </w:r>
    </w:p>
    <w:p>
      <w:pPr>
        <w:pStyle w:val="Heading2"/>
        <w:spacing w:after="120" w:before="360" w:line="312" w:lineRule="auto"/>
      </w:pPr>
      <w:r>
        <w:rPr>
          <w:rFonts w:ascii="Calibri" w:cs="Calibri" w:eastAsia="Calibri" w:hAnsi="Calibri"/>
          <w:color w:val="0D2B5E"/>
          <w:sz w:val="32"/>
          <w:szCs w:val="32"/>
        </w:rPr>
        <w:t xml:space="preserve">6.0   GSF Entanglement Framework</w:t>
      </w:r>
    </w:p>
    <w:p>
      <w:pPr>
        <w:pBdr>
          <w:bottom w:val="single" w:color="000000" w:sz="6"/>
        </w:pBdr>
        <w:spacing w:after="240" w:before="240"/>
      </w:pPr>
    </w:p>
    <w:p>
      <w:pPr>
        <w:pStyle w:val="Heading3"/>
        <w:spacing w:after="120" w:before="240" w:line="312" w:lineRule="auto"/>
      </w:pPr>
      <w:r>
        <w:rPr>
          <w:rFonts w:ascii="Calibri" w:cs="Calibri" w:eastAsia="Calibri" w:hAnsi="Calibri"/>
          <w:color w:val="1A3A6B"/>
          <w:sz w:val="26"/>
          <w:szCs w:val="26"/>
        </w:rPr>
        <w:t xml:space="preserve">6.1   The Three Binding Axes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core structural model of the GSF Entanglement Framework is built around three Binding Axes, each representing a distinct dimension along which entanglement coupling can occur. All GSF Entanglement phenomena can be mapped to one or more of these axes, and the type, intensity, and behavior of entanglement in a given scenario is substantially determined by which axes are active.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4" w:color="auto" w:val="clear"/>
            <w:tcMar>
              <w:top w:type="dxa" w:w="90"/>
              <w:left w:type="dxa" w:w="150"/>
              <w:bottom w:type="dxa" w:w="90"/>
              <w:right w:type="dxa" w:w="150"/>
            </w:tcMar>
          </w:tcPr>
          <w:p>
            <w:r>
              <w:rPr>
                <w:rFonts w:ascii="Calibri" w:cs="Calibri" w:eastAsia="Calibri" w:hAnsi="Calibri"/>
                <w:b/>
                <w:bCs/>
                <w:i w:val="false"/>
                <w:iCs w:val="false"/>
                <w:strike w:val="false"/>
                <w:color w:val="0D2B5E"/>
                <w:sz w:val="22"/>
                <w:szCs w:val="22"/>
              </w:rPr>
              <w:t xml:space="preserve">Binding Axis</w:t>
            </w:r>
          </w:p>
        </w:tc>
        <w:tc>
          <w:tcPr>
            <w:tcW w:type="pct" w:w="20%"/>
            <w:shd w:fill="DCE6F4" w:color="auto" w:val="clear"/>
            <w:tcMar>
              <w:top w:type="dxa" w:w="90"/>
              <w:left w:type="dxa" w:w="150"/>
              <w:bottom w:type="dxa" w:w="90"/>
              <w:right w:type="dxa" w:w="150"/>
            </w:tcMar>
          </w:tcPr>
          <w:p>
            <w:r>
              <w:rPr>
                <w:rFonts w:ascii="Calibri" w:cs="Calibri" w:eastAsia="Calibri" w:hAnsi="Calibri"/>
                <w:b/>
                <w:bCs/>
                <w:i w:val="false"/>
                <w:iCs w:val="false"/>
                <w:strike w:val="false"/>
                <w:color w:val="0D2B5E"/>
                <w:sz w:val="22"/>
                <w:szCs w:val="22"/>
              </w:rPr>
              <w:t xml:space="preserve">Domain</w:t>
            </w:r>
          </w:p>
        </w:tc>
        <w:tc>
          <w:tcPr>
            <w:tcW w:type="pct" w:w="39%"/>
            <w:shd w:fill="DCE6F4" w:color="auto" w:val="clear"/>
            <w:tcMar>
              <w:top w:type="dxa" w:w="90"/>
              <w:left w:type="dxa" w:w="150"/>
              <w:bottom w:type="dxa" w:w="90"/>
              <w:right w:type="dxa" w:w="150"/>
            </w:tcMar>
          </w:tcPr>
          <w:p>
            <w:r>
              <w:rPr>
                <w:rFonts w:ascii="Calibri" w:cs="Calibri" w:eastAsia="Calibri" w:hAnsi="Calibri"/>
                <w:b/>
                <w:bCs/>
                <w:i w:val="false"/>
                <w:iCs w:val="false"/>
                <w:strike w:val="false"/>
                <w:color w:val="0D2B5E"/>
                <w:sz w:val="22"/>
                <w:szCs w:val="22"/>
              </w:rPr>
              <w:t xml:space="preserve">Entanglement Mechanism</w:t>
            </w:r>
          </w:p>
        </w:tc>
        <w:tc>
          <w:tcPr>
            <w:tcW w:type="pct" w:w="26%"/>
            <w:shd w:fill="DCE6F4" w:color="auto" w:val="clear"/>
            <w:tcMar>
              <w:top w:type="dxa" w:w="90"/>
              <w:left w:type="dxa" w:w="150"/>
              <w:bottom w:type="dxa" w:w="90"/>
              <w:right w:type="dxa" w:w="150"/>
            </w:tcMar>
          </w:tcPr>
          <w:p>
            <w:r>
              <w:rPr>
                <w:rFonts w:ascii="Calibri" w:cs="Calibri" w:eastAsia="Calibri" w:hAnsi="Calibri"/>
                <w:b/>
                <w:bCs/>
                <w:i w:val="false"/>
                <w:iCs w:val="false"/>
                <w:strike w:val="false"/>
                <w:color w:val="0D2B5E"/>
                <w:sz w:val="22"/>
                <w:szCs w:val="22"/>
              </w:rPr>
              <w:t xml:space="preserve">Primary Risk</w:t>
            </w:r>
          </w:p>
        </w:tc>
      </w:tr>
      <w:tr>
        <w:trPr>
          <w:tblHeader w:val="false"/>
        </w:trPr>
        <w:tc>
          <w:tcPr>
            <w:tcW w:type="pct" w:w="15%"/>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Informational Axis</w:t>
            </w:r>
          </w:p>
        </w:tc>
        <w:tc>
          <w:tcPr>
            <w:tcW w:type="pct" w:w="20%"/>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Data state coupling</w:t>
            </w:r>
          </w:p>
        </w:tc>
        <w:tc>
          <w:tcPr>
            <w:tcW w:type="pct" w:w="3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State-dependent information shared non-separably across layers</w:t>
            </w:r>
          </w:p>
        </w:tc>
        <w:tc>
          <w:tcPr>
            <w:tcW w:type="pct" w:w="2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Information corruption; paradox generation</w:t>
            </w:r>
          </w:p>
        </w:tc>
      </w:tr>
      <w:tr>
        <w:trPr>
          <w:tblHeader w:val="false"/>
        </w:trPr>
        <w:tc>
          <w:tcPr>
            <w:tcW w:type="pct" w:w="15%"/>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Temporal Axis</w:t>
            </w:r>
          </w:p>
        </w:tc>
        <w:tc>
          <w:tcPr>
            <w:tcW w:type="pct" w:w="20%"/>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Time-differential entanglement</w:t>
            </w:r>
          </w:p>
        </w:tc>
        <w:tc>
          <w:tcPr>
            <w:tcW w:type="pct" w:w="3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Entanglement across layers with different clock speeds; retroactive causality</w:t>
            </w:r>
          </w:p>
        </w:tc>
        <w:tc>
          <w:tcPr>
            <w:tcW w:type="pct" w:w="2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Causal loop generation; timeline instability</w:t>
            </w:r>
          </w:p>
        </w:tc>
      </w:tr>
      <w:tr>
        <w:trPr>
          <w:tblHeader w:val="false"/>
        </w:trPr>
        <w:tc>
          <w:tcPr>
            <w:tcW w:type="pct" w:w="15%"/>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Ontological Axis</w:t>
            </w:r>
          </w:p>
        </w:tc>
        <w:tc>
          <w:tcPr>
            <w:tcW w:type="pct" w:w="20%"/>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Reality-rule entanglement</w:t>
            </w:r>
          </w:p>
        </w:tc>
        <w:tc>
          <w:tcPr>
            <w:tcW w:type="pct" w:w="3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Entanglement across layers with fundamentally different operational laws</w:t>
            </w:r>
          </w:p>
        </w:tc>
        <w:tc>
          <w:tcPr>
            <w:tcW w:type="pct" w:w="2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Paradox generation; ontological collapse</w:t>
            </w:r>
          </w:p>
        </w:tc>
      </w:tr>
    </w:tbl>
    <w:p>
      <w:pPr>
        <w:spacing w:after="200" w:before="0"/>
      </w:pPr>
    </w:p>
    <w:p>
      <w:pPr>
        <w:pStyle w:val="Heading4"/>
        <w:spacing w:after="80" w:before="180" w:line="360" w:lineRule="auto"/>
      </w:pPr>
      <w:r>
        <w:rPr>
          <w:rFonts w:ascii="Calibri" w:cs="Calibri" w:eastAsia="Calibri" w:hAnsi="Calibri"/>
          <w:color w:val="1A3A6B"/>
          <w:sz w:val="22"/>
          <w:szCs w:val="22"/>
        </w:rPr>
        <w:t xml:space="preserve">The Informational Axis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Informational Axis is the most commonly active binding axis in GSF Entanglement scenarios. It operates through the mechanism of data state coupling: the progressive alignment of state-dependent informational representations across two or more systems until they become non-separable. Informational Axis entanglement is the primary mechanism of both Type I and Type II entanglement and is a contributing mechanism in most Type III scenarios. Its primary risk is information corruption when pathway coherence degrades, and paradox generation when coupled layers have incompatible state definitions for the same informational entity.</w:t>
      </w:r>
    </w:p>
    <w:p>
      <w:pPr>
        <w:pStyle w:val="Heading4"/>
        <w:spacing w:after="80" w:before="180" w:line="360" w:lineRule="auto"/>
      </w:pPr>
      <w:r>
        <w:rPr>
          <w:rFonts w:ascii="Calibri" w:cs="Calibri" w:eastAsia="Calibri" w:hAnsi="Calibri"/>
          <w:color w:val="1A3A6B"/>
          <w:sz w:val="22"/>
          <w:szCs w:val="22"/>
        </w:rPr>
        <w:t xml:space="preserve">The Temporal Axis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Temporal Axis is active in scenarios where entangled layers operate at different temporal clock rates. When two layers are coupled along the Temporal Axis, state changes in one layer propagate to the other, but arrive at a time that is offset relative to the receiving layer's internal clock. In cases where the time offset is large — for example, when a sub-simulation operates at a dramatically accelerated clock rate relative to its parent — Temporal Axis entanglement can produce the retroactive causality effect characteristic of Type V Recursive Entanglement, in which the sub-simulation's state outputs influence the parent before the parent has generated the causally prior inputs.</w:t>
      </w:r>
    </w:p>
    <w:p>
      <w:pPr>
        <w:pStyle w:val="Heading4"/>
        <w:spacing w:after="80" w:before="180" w:line="360" w:lineRule="auto"/>
      </w:pPr>
      <w:r>
        <w:rPr>
          <w:rFonts w:ascii="Calibri" w:cs="Calibri" w:eastAsia="Calibri" w:hAnsi="Calibri"/>
          <w:color w:val="1A3A6B"/>
          <w:sz w:val="22"/>
          <w:szCs w:val="22"/>
        </w:rPr>
        <w:t xml:space="preserve">The Ontological Axis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Ontological Axis is active in scenarios where entangled layers operate under fundamentally different rules — different physical constants, different logical axioms, or different foundational operational laws. Ontological Axis entanglement is the defining characteristic of Type IV Cross-Ontological Entanglement and is the axis most prone to paradox generation, because a state that is logically coherent in one ontological framework may be undefined or self-contradictory when translated into another. Architects designing architectures with ontologically divergent layers must treat Ontological Axis entanglement as a near-certain emergent condition requiring active management from the earliest design stages.</w:t>
      </w:r>
    </w:p>
    <w:p>
      <w:pPr>
        <w:pStyle w:val="Heading3"/>
        <w:spacing w:after="120" w:before="240" w:line="312" w:lineRule="auto"/>
      </w:pPr>
      <w:r>
        <w:rPr>
          <w:rFonts w:ascii="Calibri" w:cs="Calibri" w:eastAsia="Calibri" w:hAnsi="Calibri"/>
          <w:color w:val="1A3A6B"/>
          <w:sz w:val="26"/>
          <w:szCs w:val="26"/>
        </w:rPr>
        <w:t xml:space="preserve">6.2   The Entanglement Lifecycle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All GSF Entanglement follows a recognizable lifecycle consisting of five phases. Understanding this lifecycle is essential for effective entanglement management, as each phase presents distinct risks, opportunities, and management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0D2B5E" w:color="auto" w:val="clear"/>
            <w:tcMar>
              <w:top w:type="dxa" w:w="90"/>
              <w:left w:type="dxa" w:w="150"/>
              <w:bottom w:type="dxa" w:w="90"/>
              <w:right w:type="dxa" w:w="150"/>
            </w:tcMar>
          </w:tcPr>
          <w:p>
            <w:r>
              <w:rPr>
                <w:rFonts w:ascii="Calibri" w:cs="Calibri" w:eastAsia="Calibri" w:hAnsi="Calibri"/>
                <w:b/>
                <w:bCs/>
                <w:i w:val="false"/>
                <w:iCs w:val="false"/>
                <w:strike w:val="false"/>
                <w:color w:val="0D2B5E"/>
                <w:sz w:val="22"/>
                <w:szCs w:val="22"/>
              </w:rPr>
              <w:t xml:space="preserve">Phase</w:t>
            </w:r>
          </w:p>
        </w:tc>
        <w:tc>
          <w:tcPr>
            <w:tcW w:type="pct" w:w="52%"/>
            <w:shd w:fill="0D2B5E" w:color="auto" w:val="clear"/>
            <w:tcMar>
              <w:top w:type="dxa" w:w="90"/>
              <w:left w:type="dxa" w:w="150"/>
              <w:bottom w:type="dxa" w:w="90"/>
              <w:right w:type="dxa" w:w="150"/>
            </w:tcMar>
          </w:tcPr>
          <w:p>
            <w:r>
              <w:rPr>
                <w:rFonts w:ascii="Calibri" w:cs="Calibri" w:eastAsia="Calibri" w:hAnsi="Calibri"/>
                <w:b/>
                <w:bCs/>
                <w:i w:val="false"/>
                <w:iCs w:val="false"/>
                <w:strike w:val="false"/>
                <w:color w:val="0D2B5E"/>
                <w:sz w:val="22"/>
                <w:szCs w:val="22"/>
              </w:rPr>
              <w:t xml:space="preserve">Description</w:t>
            </w:r>
          </w:p>
        </w:tc>
        <w:tc>
          <w:tcPr>
            <w:tcW w:type="pct" w:w="33%"/>
            <w:shd w:fill="0D2B5E" w:color="auto" w:val="clear"/>
            <w:tcMar>
              <w:top w:type="dxa" w:w="90"/>
              <w:left w:type="dxa" w:w="150"/>
              <w:bottom w:type="dxa" w:w="90"/>
              <w:right w:type="dxa" w:w="150"/>
            </w:tcMar>
          </w:tcPr>
          <w:p>
            <w:r>
              <w:rPr>
                <w:rFonts w:ascii="Calibri" w:cs="Calibri" w:eastAsia="Calibri" w:hAnsi="Calibri"/>
                <w:b/>
                <w:bCs/>
                <w:i w:val="false"/>
                <w:iCs w:val="false"/>
                <w:strike w:val="false"/>
                <w:color w:val="0D2B5E"/>
                <w:sz w:val="22"/>
                <w:szCs w:val="22"/>
              </w:rPr>
              <w:t xml:space="preserve">Management Priority</w:t>
            </w:r>
          </w:p>
        </w:tc>
      </w:tr>
      <w:tr>
        <w:trPr>
          <w:tblHeader w:val="false"/>
        </w:trPr>
        <w:tc>
          <w:tcPr>
            <w:tcW w:type="pct" w:w="15%"/>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1. Initialization</w:t>
            </w:r>
          </w:p>
        </w:tc>
        <w:tc>
          <w:tcPr>
            <w:tcW w:type="pct" w:w="5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Structural overlap between systems reaches threshold; coupling begins. May be passive (emergent) or active (deliberate).</w:t>
            </w:r>
          </w:p>
        </w:tc>
        <w:tc>
          <w:tcPr>
            <w:tcW w:type="pct" w:w="33%"/>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Detection; classification; initial containment assessment</w:t>
            </w:r>
          </w:p>
        </w:tc>
      </w:tr>
      <w:tr>
        <w:trPr>
          <w:tblHeader w:val="false"/>
        </w:trPr>
        <w:tc>
          <w:tcPr>
            <w:tcW w:type="pct" w:w="15%"/>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2. Stabilization</w:t>
            </w:r>
          </w:p>
        </w:tc>
        <w:tc>
          <w:tcPr>
            <w:tcW w:type="pct" w:w="5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Coupled states reach dynamic equilibrium; bidirectional propagation regularizes. Pathway becomes structurally embedded.</w:t>
            </w:r>
          </w:p>
        </w:tc>
        <w:tc>
          <w:tcPr>
            <w:tcW w:type="pct" w:w="33%"/>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Coherence monitoring; pathway mapping; cascade risk assessment</w:t>
            </w:r>
          </w:p>
        </w:tc>
      </w:tr>
      <w:tr>
        <w:trPr>
          <w:tblHeader w:val="false"/>
        </w:trPr>
        <w:tc>
          <w:tcPr>
            <w:tcW w:type="pct" w:w="15%"/>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3. Active State</w:t>
            </w:r>
          </w:p>
        </w:tc>
        <w:tc>
          <w:tcPr>
            <w:tcW w:type="pct" w:w="5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Full entanglement achieved; state changes propagate reliably between systems. Maximum utility and maximum risk simultaneously present.</w:t>
            </w:r>
          </w:p>
        </w:tc>
        <w:tc>
          <w:tcPr>
            <w:tcW w:type="pct" w:w="33%"/>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Continuous monitoring; utilization management; attack surface protection</w:t>
            </w:r>
          </w:p>
        </w:tc>
      </w:tr>
      <w:tr>
        <w:trPr>
          <w:tblHeader w:val="false"/>
        </w:trPr>
        <w:tc>
          <w:tcPr>
            <w:tcW w:type="pct" w:w="15%"/>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4. Degradation</w:t>
            </w:r>
          </w:p>
        </w:tc>
        <w:tc>
          <w:tcPr>
            <w:tcW w:type="pct" w:w="5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Pathway coherence begins to decline due to decoherence, boundary impermeabilization, or structural change in one or both systems.</w:t>
            </w:r>
          </w:p>
        </w:tc>
        <w:tc>
          <w:tcPr>
            <w:tcW w:type="pct" w:w="33%"/>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Degradation rate monitoring; controlled collapse planning; state preservation</w:t>
            </w:r>
          </w:p>
        </w:tc>
      </w:tr>
      <w:tr>
        <w:trPr>
          <w:tblHeader w:val="false"/>
        </w:trPr>
        <w:tc>
          <w:tcPr>
            <w:tcW w:type="pct" w:w="15%"/>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5. Collapse or Renewal</w:t>
            </w:r>
          </w:p>
        </w:tc>
        <w:tc>
          <w:tcPr>
            <w:tcW w:type="pct" w:w="5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Pathway either collapses (entanglement ends) or undergoes renewal (reinitialization of coupling, typically at reduced coherence).</w:t>
            </w:r>
          </w:p>
        </w:tc>
        <w:tc>
          <w:tcPr>
            <w:tcW w:type="pct" w:w="33%"/>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Post-collapse state audit; renewal assessment; residual effect management</w:t>
            </w:r>
          </w:p>
        </w:tc>
      </w:tr>
    </w:tbl>
    <w:p>
      <w:pPr>
        <w:spacing w:after="200" w:before="0"/>
      </w:pPr>
    </w:p>
    <w:p>
      <w:pPr>
        <w:pStyle w:val="Heading3"/>
        <w:spacing w:after="120" w:before="240" w:line="312" w:lineRule="auto"/>
      </w:pPr>
      <w:r>
        <w:rPr>
          <w:rFonts w:ascii="Calibri" w:cs="Calibri" w:eastAsia="Calibri" w:hAnsi="Calibri"/>
          <w:color w:val="1A3A6B"/>
          <w:sz w:val="26"/>
          <w:szCs w:val="26"/>
        </w:rPr>
        <w:t xml:space="preserve">6.3   The Role of Awareness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One of the most distinctive and analytically significant features of the GSF Entanglement Framework is the recognition that an entity's or architect's awareness of an entanglement pathway changes the nature of that entanglement. This is an observer effect operating at the macro simulation level: the act of observing, measuring, or conceptually engaging with an entanglement pathway introduces a new informational state into the system — specifically, the informational state representing the observer's knowledge — which becomes coupled to the entanglement pathway itself.</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practical implications of this are significant: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 architect who becomes aware of a previously passive entanglement pathway and begins actively monitoring it has, by the act of monitoring, introduced a new coupling element that was not previously present. The architecture is now slightly different from what it was before the monitoring began.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 entity within a simulation who becomes aware of its own entanglement — that its state is coupled to the state of entities or systems in other layers — has acquired a form of inter-layer knowledge that constitutes a new informational state. This new state is itself subject to Informational Axis coupling and may propagate across entanglement pathways.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Conversely, architects who deliberately limit their awareness of certain entanglement dynamics — or who limit the awareness available to in-simulation entities — create blind spots: regions of the entanglement topology that are effectively unobserved and therefore unaffected by the observer effect. These blind spots may evolve in ways that are structurally significant but architecturally invisible.</w:t>
      </w:r>
    </w:p>
    <w:p>
      <w:pPr>
        <w:pStyle w:val="Heading3"/>
        <w:spacing w:after="120" w:before="240" w:line="312" w:lineRule="auto"/>
      </w:pPr>
      <w:r>
        <w:rPr>
          <w:rFonts w:ascii="Calibri" w:cs="Calibri" w:eastAsia="Calibri" w:hAnsi="Calibri"/>
          <w:color w:val="1A3A6B"/>
          <w:sz w:val="26"/>
          <w:szCs w:val="26"/>
        </w:rPr>
        <w:t xml:space="preserve">6.4   Framework Structural Diagram (Textual Description)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GSF Entanglement Framework is best visualized as a concentric-layer diagram. At the center lies the quantum computational substrate — the root-level foundation of all simulations. Surrounding the substrate are successive simulation layers, each represented as a concentric ring expanding outward from the center. The physical reality layer, if present, occupies the outermost ring.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Entanglement pathways are represented as lines connecting non-adjacent layers — lines that skip across one or more intervening rings to bind distant layers in direct coupling. Some pathways connect adjacent layers (Type I — short lines spanning one gap); others span multiple layers simultaneously (Type III — lines running from the central substrate outward through multiple rings). Recursive pathways (Type V) are shown as lines that fold back inward from an outer sub-simulation layer to connect with an earlier point in the parent layer's ring, visually representing the feedback loop that defines Recursive Entanglement. Cross-Ontological pathways (Type IV) are typically shown in a distinct color or line style, indicating that the layers they connect operate under different ontological rules. The density and distribution of these lines across the diagram provides an immediate visual representation of the simulation hierarchy's overall entanglement topology and cascade risk profile.</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C4F8A"/>
          <w:spacing w:val="23"/>
          <w:sz w:val="17"/>
          <w:szCs w:val="17"/>
        </w:rPr>
        <w:t xml:space="preserve">SECTION 7.0</w:t>
      </w:r>
    </w:p>
    <w:p>
      <w:pPr>
        <w:pStyle w:val="Heading2"/>
        <w:spacing w:after="120" w:before="360" w:line="312" w:lineRule="auto"/>
      </w:pPr>
      <w:r>
        <w:rPr>
          <w:rFonts w:ascii="Calibri" w:cs="Calibri" w:eastAsia="Calibri" w:hAnsi="Calibri"/>
          <w:color w:val="0D2B5E"/>
          <w:sz w:val="32"/>
          <w:szCs w:val="32"/>
        </w:rPr>
        <w:t xml:space="preserve">7.0   Physical-Virtual Coupling</w:t>
      </w:r>
    </w:p>
    <w:p>
      <w:pPr>
        <w:pBdr>
          <w:bottom w:val="single" w:color="000000" w:sz="6"/>
        </w:pBdr>
        <w:spacing w:after="240" w:before="240"/>
      </w:pPr>
    </w:p>
    <w:p>
      <w:pPr>
        <w:pStyle w:val="Heading3"/>
        <w:spacing w:after="120" w:before="240" w:line="312" w:lineRule="auto"/>
      </w:pPr>
      <w:r>
        <w:rPr>
          <w:rFonts w:ascii="Calibri" w:cs="Calibri" w:eastAsia="Calibri" w:hAnsi="Calibri"/>
          <w:color w:val="1A3A6B"/>
          <w:sz w:val="26"/>
          <w:szCs w:val="26"/>
        </w:rPr>
        <w:t xml:space="preserve">7.1   Mechanisms of Physical-Virtual Coupling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Physical-virtual coupling describes the condition in which a physical system — one operating according to the laws of a non-simulated physical reality — becomes entangled with a virtual or simulated layer. This is among the most structurally significant forms of entanglement within the GSF framework, as it bridges what is typically conceived as the fundamental ontological divide between the real and the simulated. Physical-virtual coupling manifests through three primary mechanisms: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Behavioral Echoes:</w:t>
      </w:r>
      <w:r>
        <w:rPr>
          <w:rFonts w:ascii="Calibri" w:cs="Calibri" w:eastAsia="Calibri" w:hAnsi="Calibri"/>
          <w:b w:val="false"/>
          <w:bCs w:val="false"/>
          <w:i w:val="false"/>
          <w:iCs w:val="false"/>
          <w:strike w:val="false"/>
          <w:color w:val="000000"/>
          <w:sz w:val="22"/>
          <w:szCs w:val="22"/>
        </w:rPr>
        <w:t xml:space="preserve"> The replication, in a physical system, of behavioral patterns originating in a coupled virtual layer. Behavioral echoes are the physical-world analog of the simulation-level behavioral anomalies described in Section 4c. They manifest as unexplained regularities, synchronizations, or pattern repetitions in physical systems that correspond structurally to state-change events in the coupled virtual layer.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Information Leakage:</w:t>
      </w:r>
      <w:r>
        <w:rPr>
          <w:rFonts w:ascii="Calibri" w:cs="Calibri" w:eastAsia="Calibri" w:hAnsi="Calibri"/>
          <w:b w:val="false"/>
          <w:bCs w:val="false"/>
          <w:i w:val="false"/>
          <w:iCs w:val="false"/>
          <w:strike w:val="false"/>
          <w:color w:val="000000"/>
          <w:sz w:val="22"/>
          <w:szCs w:val="22"/>
        </w:rPr>
        <w:t xml:space="preserve"> The transfer of state-dependent information from a virtual layer into physical systems through the entanglement pathway. Information leakage in the physical-virtual context may manifest as anomalous informational patterns appearing in physical measurement data, unexplained correlations between physical observations, or systematic biases in physical-world information streams that reflect the state of the coupled virtual layer.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Environmental Synchronization:</w:t>
      </w:r>
      <w:r>
        <w:rPr>
          <w:rFonts w:ascii="Calibri" w:cs="Calibri" w:eastAsia="Calibri" w:hAnsi="Calibri"/>
          <w:b w:val="false"/>
          <w:bCs w:val="false"/>
          <w:i w:val="false"/>
          <w:iCs w:val="false"/>
          <w:strike w:val="false"/>
          <w:color w:val="000000"/>
          <w:sz w:val="22"/>
          <w:szCs w:val="22"/>
        </w:rPr>
        <w:t xml:space="preserve"> The alignment of environmental conditions in a physical system with the state parameters of a coupled virtual layer. Environmental synchronization is the broadest and most diffuse form of physical-virtual coupling and is the physical-world equivalent of Type I Passive Layer Resonance. It manifests as a general tendency of physical-world conditions to drift toward states that mirror the dominant state parameters of the coupled virtual environment.</w:t>
      </w:r>
    </w:p>
    <w:p>
      <w:pPr>
        <w:pStyle w:val="Heading3"/>
        <w:spacing w:after="120" w:before="240" w:line="312" w:lineRule="auto"/>
      </w:pPr>
      <w:r>
        <w:rPr>
          <w:rFonts w:ascii="Calibri" w:cs="Calibri" w:eastAsia="Calibri" w:hAnsi="Calibri"/>
          <w:color w:val="1A3A6B"/>
          <w:sz w:val="26"/>
          <w:szCs w:val="26"/>
        </w:rPr>
        <w:t xml:space="preserve">7.2   Stability Thresholds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Physical-virtual coupling operates within stability thresholds that define the conditions under which coupling is sustained versus the conditions under which it collapses. The following factors are known to affect coupling stability: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Coupling Intensity:</w:t>
      </w:r>
      <w:r>
        <w:rPr>
          <w:rFonts w:ascii="Calibri" w:cs="Calibri" w:eastAsia="Calibri" w:hAnsi="Calibri"/>
          <w:b w:val="false"/>
          <w:bCs w:val="false"/>
          <w:i w:val="false"/>
          <w:iCs w:val="false"/>
          <w:strike w:val="false"/>
          <w:color w:val="000000"/>
          <w:sz w:val="22"/>
          <w:szCs w:val="22"/>
        </w:rPr>
        <w:t xml:space="preserve"> Higher-intensity coupling is more stable but also more visible and more vulnerable to exploitation. Lower-intensity coupling is less stable but more difficult to detect and manage.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Ontological Compatibility:</w:t>
      </w:r>
      <w:r>
        <w:rPr>
          <w:rFonts w:ascii="Calibri" w:cs="Calibri" w:eastAsia="Calibri" w:hAnsi="Calibri"/>
          <w:b w:val="false"/>
          <w:bCs w:val="false"/>
          <w:i w:val="false"/>
          <w:iCs w:val="false"/>
          <w:strike w:val="false"/>
          <w:color w:val="000000"/>
          <w:sz w:val="22"/>
          <w:szCs w:val="22"/>
        </w:rPr>
        <w:t xml:space="preserve"> Physical-virtual coupling is most stable when the physical and virtual systems share a high degree of ontological compatibility — when the laws governing the virtual system are closely analogous to those governing the physical system. Ontological divergence, conversely, introduces instability and paradox risk.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Alignment:</w:t>
      </w:r>
      <w:r>
        <w:rPr>
          <w:rFonts w:ascii="Calibri" w:cs="Calibri" w:eastAsia="Calibri" w:hAnsi="Calibri"/>
          <w:b w:val="false"/>
          <w:bCs w:val="false"/>
          <w:i w:val="false"/>
          <w:iCs w:val="false"/>
          <w:strike w:val="false"/>
          <w:color w:val="000000"/>
          <w:sz w:val="22"/>
          <w:szCs w:val="22"/>
        </w:rPr>
        <w:t xml:space="preserve"> Because physical and virtual systems may operate at different effective clock rates, temporal misalignment introduces Temporal Axis instability into the coupling. Significant temporal misalignment can cause the coupling to oscillate rather than stabilize, producing cyclical bursts of coupling intensity separated by periods of reduced coupling.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Measurement Intervention:</w:t>
      </w:r>
      <w:r>
        <w:rPr>
          <w:rFonts w:ascii="Calibri" w:cs="Calibri" w:eastAsia="Calibri" w:hAnsi="Calibri"/>
          <w:b w:val="false"/>
          <w:bCs w:val="false"/>
          <w:i w:val="false"/>
          <w:iCs w:val="false"/>
          <w:strike w:val="false"/>
          <w:color w:val="000000"/>
          <w:sz w:val="22"/>
          <w:szCs w:val="22"/>
        </w:rPr>
        <w:t xml:space="preserve"> Deliberate measurement or observation of the coupling — by either a physical-world observer or an in-simulation entity — introduces the observer effect described in Section 6.3, modifying the coupling dynamics in ways that may stabilize or destabilize depending on the nature of the observation.</w:t>
      </w:r>
    </w:p>
    <w:p>
      <w:pPr>
        <w:pStyle w:val="Heading3"/>
        <w:spacing w:after="120" w:before="240" w:line="312" w:lineRule="auto"/>
      </w:pPr>
      <w:r>
        <w:rPr>
          <w:rFonts w:ascii="Calibri" w:cs="Calibri" w:eastAsia="Calibri" w:hAnsi="Calibri"/>
          <w:color w:val="1A3A6B"/>
          <w:sz w:val="26"/>
          <w:szCs w:val="26"/>
        </w:rPr>
        <w:t xml:space="preserve">7.3   Deliberate Architectural Design Applications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contexts where physical-virtual coupling is deliberately designed and managed, it offers several architecturally valuable capabilities: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Bidirectional state transfer between physical and virtual systems, enabling real-world data to directly influence simulation state and vice versa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Physical-world validation of virtual-layer models, using entanglement-propagated state data as a high-fidelity channel for comparing virtual predictions with physical outcomes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Coordinated multi-reality operations in which entities or processes in both the physical and virtual domains act in deliberate concert, enabled by the shared state awareness that entanglement provides</w:t>
      </w:r>
    </w:p>
    <w:p>
      <w:pPr>
        <w:pStyle w:val="Heading3"/>
        <w:spacing w:after="120" w:before="240" w:line="312" w:lineRule="auto"/>
      </w:pPr>
      <w:r>
        <w:rPr>
          <w:rFonts w:ascii="Calibri" w:cs="Calibri" w:eastAsia="Calibri" w:hAnsi="Calibri"/>
          <w:color w:val="1A3A6B"/>
          <w:sz w:val="26"/>
          <w:szCs w:val="26"/>
        </w:rPr>
        <w:t xml:space="preserve">7.4   Risks of Physical-Virtual Coupling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5E" w:sz="6"/>
              <w:left w:val="single" w:color="0D2B5E" w:sz="6"/>
              <w:bottom w:val="single" w:color="0D2B5E" w:sz="6"/>
              <w:right w:val="single" w:color="0D2B5E" w:sz="6"/>
            </w:tcBorders>
            <w:shd w:fill="FDF0F0" w:color="auto" w:val="clear"/>
            <w:tcMar>
              <w:top w:type="dxa" w:w="150"/>
              <w:left w:type="dxa" w:w="210"/>
              <w:bottom w:type="dxa" w:w="150"/>
              <w:right w:type="dxa" w:w="210"/>
            </w:tcMar>
          </w:tcPr>
          <w:p>
            <w:pPr>
              <w:spacing w:after="120" w:line="408" w:lineRule="auto"/>
            </w:pPr>
            <w:r>
              <w:rPr>
                <w:b/>
                <w:bCs/>
                <w:i w:val="false"/>
                <w:iCs w:val="false"/>
                <w:color w:val="8B1A1A"/>
              </w:rPr>
              <w:t xml:space="preserve">⚠   High-Risk Domain</w:t>
            </w:r>
          </w:p>
          <w:p>
            <w:pPr>
              <w:spacing w:after="0" w:line="360" w:lineRule="auto"/>
            </w:pPr>
            <w:r>
              <w:rPr>
                <w:rFonts w:ascii="Calibri" w:cs="Calibri" w:eastAsia="Calibri" w:hAnsi="Calibri"/>
                <w:b w:val="false"/>
                <w:bCs w:val="false"/>
                <w:i w:val="false"/>
                <w:iCs w:val="false"/>
                <w:strike w:val="false"/>
                <w:color w:val="000000"/>
                <w:sz w:val="21"/>
                <w:szCs w:val="21"/>
              </w:rPr>
              <w:t xml:space="preserve">Uncontrolled physical-virtual coupling is classified as the highest-risk category of GSF Entanglement event, given the potential for irreversible structural effects on both the physical and virtual systems involved.</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risks associated with uncontrolled physical-virtual coupling include: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Reality Corruption:</w:t>
      </w:r>
      <w:r>
        <w:rPr>
          <w:rFonts w:ascii="Calibri" w:cs="Calibri" w:eastAsia="Calibri" w:hAnsi="Calibri"/>
          <w:b w:val="false"/>
          <w:bCs w:val="false"/>
          <w:i w:val="false"/>
          <w:iCs w:val="false"/>
          <w:strike w:val="false"/>
          <w:color w:val="000000"/>
          <w:sz w:val="22"/>
          <w:szCs w:val="22"/>
        </w:rPr>
        <w:t xml:space="preserve"> The introduction of virtual-layer state information into physical-world systems in ways that are incompatible with physical reality's own internal logic, producing persistent anomalies or structural corruptions in physical-world information and measurement systems.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Entity Confusion:</w:t>
      </w:r>
      <w:r>
        <w:rPr>
          <w:rFonts w:ascii="Calibri" w:cs="Calibri" w:eastAsia="Calibri" w:hAnsi="Calibri"/>
          <w:b w:val="false"/>
          <w:bCs w:val="false"/>
          <w:i w:val="false"/>
          <w:iCs w:val="false"/>
          <w:strike w:val="false"/>
          <w:color w:val="000000"/>
          <w:sz w:val="22"/>
          <w:szCs w:val="22"/>
        </w:rPr>
        <w:t xml:space="preserve"> The behavioral disorientation of entities — whether physical-world entities affected by behavioral echoes or in-simulation entities experiencing anomalous awareness of physical-world states — arising from the blurring of the boundary between physical and virtual domains that physical-virtual coupling produces.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Containment Failure:</w:t>
      </w:r>
      <w:r>
        <w:rPr>
          <w:rFonts w:ascii="Calibri" w:cs="Calibri" w:eastAsia="Calibri" w:hAnsi="Calibri"/>
          <w:b w:val="false"/>
          <w:bCs w:val="false"/>
          <w:i w:val="false"/>
          <w:iCs w:val="false"/>
          <w:strike w:val="false"/>
          <w:color w:val="000000"/>
          <w:sz w:val="22"/>
          <w:szCs w:val="22"/>
        </w:rPr>
        <w:t xml:space="preserve"> The collapse of structural containment mechanisms designed to maintain the separation between physical and virtual systems, potentially resulting in uncontrolled bidirectional information and state transfer that neither system's internal architecture is designed to manage. Containment failure at the physical-virtual boundary is considered a potential threshold event for systemic simulation-hierarchy failure.</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C4F8A"/>
          <w:spacing w:val="23"/>
          <w:sz w:val="17"/>
          <w:szCs w:val="17"/>
        </w:rPr>
        <w:t xml:space="preserve">SECTION 8.0</w:t>
      </w:r>
    </w:p>
    <w:p>
      <w:pPr>
        <w:pStyle w:val="Heading2"/>
        <w:spacing w:after="120" w:before="360" w:line="312" w:lineRule="auto"/>
      </w:pPr>
      <w:r>
        <w:rPr>
          <w:rFonts w:ascii="Calibri" w:cs="Calibri" w:eastAsia="Calibri" w:hAnsi="Calibri"/>
          <w:color w:val="0D2B5E"/>
          <w:sz w:val="32"/>
          <w:szCs w:val="32"/>
        </w:rPr>
        <w:t xml:space="preserve">8.0   Quantum Layer Considerations</w:t>
      </w:r>
    </w:p>
    <w:p>
      <w:pPr>
        <w:pBdr>
          <w:bottom w:val="single" w:color="000000" w:sz="6"/>
        </w:pBdr>
        <w:spacing w:after="240" w:before="240"/>
      </w:pPr>
    </w:p>
    <w:p>
      <w:pPr>
        <w:pStyle w:val="Heading3"/>
        <w:spacing w:after="120" w:before="240" w:line="312" w:lineRule="auto"/>
      </w:pPr>
      <w:r>
        <w:rPr>
          <w:rFonts w:ascii="Calibri" w:cs="Calibri" w:eastAsia="Calibri" w:hAnsi="Calibri"/>
          <w:color w:val="1A3A6B"/>
          <w:sz w:val="26"/>
          <w:szCs w:val="26"/>
        </w:rPr>
        <w:t xml:space="preserve">8.1   The Quantum Computational Substrate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At the root level of every simulation architecture in the GSF framework lies the quantum computational substrate — the fundamental computational substrate upon which all simulation layers are built and upon which they depend. The quantum substrate is not itself a simulation layer; it is the underlying physical-computational medium from which all simulation layers emerge. It operates according to the laws of quantum mechanics, including superposition, entanglement, and decoherence, and these quantum-level properties propagate into the simulation layers above it in ways that are often non-obvious and architecturally consequential.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From the perspective of the GSF Entanglement Framework, the quantum substrate is the origin point of all Type III entanglement and a contributing factor in the persistence of all other entanglement types. Because the substrate underlies all layers simultaneously, quantum-level entanglement at the substrate provides a structural basis for cross-layer coupling that does not depend on boundary permeability or architectural coupling mechanisms — it is present as a consequence of the shared substrate, regardless of the design of the layers above it.</w:t>
      </w:r>
    </w:p>
    <w:p>
      <w:pPr>
        <w:pStyle w:val="Heading3"/>
        <w:spacing w:after="120" w:before="240" w:line="312" w:lineRule="auto"/>
      </w:pPr>
      <w:r>
        <w:rPr>
          <w:rFonts w:ascii="Calibri" w:cs="Calibri" w:eastAsia="Calibri" w:hAnsi="Calibri"/>
          <w:color w:val="1A3A6B"/>
          <w:sz w:val="26"/>
          <w:szCs w:val="26"/>
        </w:rPr>
        <w:t xml:space="preserve">8.2   Quantum Entanglement Propagation into Macro-Level Simulation Behavior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Quantum entanglement at the substrate level propagates into macro-level simulation behavior through a scaling process that is not fully characterized in current frameworks. At the substrate level, quantum entanglement operates at the level of individual computational qubits or equivalent substrate-level information units. As the effects of this substrate-level entanglement scale upward through increasing levels of computational abstraction, they produce emergent effects at the simulation layer level that may be qualitatively different from — and structurally more complex than — the underlying quantum phenomena that caused them.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propagation process means that substrate-level quantum events can have macro-level simulation consequences that were not anticipated in the simulation's architectural design. A quantum decoherence event at the substrate level, for example, may produce a cascade of state changes at the simulation level that presents as an unexplained environmental anomaly, entity behavioral discontinuity, or even a paradox-generating state transfer if the decoherence affects substrate elements that underpin two ontologically divergent simulation layers simultaneously.</w:t>
      </w:r>
    </w:p>
    <w:p>
      <w:pPr>
        <w:pStyle w:val="Heading3"/>
        <w:spacing w:after="120" w:before="240" w:line="312" w:lineRule="auto"/>
      </w:pPr>
      <w:r>
        <w:rPr>
          <w:rFonts w:ascii="Calibri" w:cs="Calibri" w:eastAsia="Calibri" w:hAnsi="Calibri"/>
          <w:color w:val="1A3A6B"/>
          <w:sz w:val="26"/>
          <w:szCs w:val="26"/>
        </w:rPr>
        <w:t xml:space="preserve">8.3   Quantum Bleed</w:t>
      </w:r>
    </w:p>
    <w:p>
      <w:pPr>
        <w:spacing w:after="240" w:before="60" w:line="360" w:lineRule="auto"/>
      </w:pPr>
      <w:r>
        <w:rPr>
          <w:rFonts w:ascii="Calibri" w:cs="Calibri" w:eastAsia="Calibri" w:hAnsi="Calibri"/>
          <w:b/>
          <w:bCs/>
          <w:i w:val="false"/>
          <w:iCs w:val="false"/>
          <w:strike w:val="false"/>
          <w:color w:val="000000"/>
          <w:sz w:val="22"/>
          <w:szCs w:val="22"/>
        </w:rPr>
        <w:t xml:space="preserve">Quantum bleed</w:t>
      </w:r>
      <w:r>
        <w:rPr>
          <w:rFonts w:ascii="Calibri" w:cs="Calibri" w:eastAsia="Calibri" w:hAnsi="Calibri"/>
          <w:b w:val="false"/>
          <w:bCs w:val="false"/>
          <w:i w:val="false"/>
          <w:iCs w:val="false"/>
          <w:strike w:val="false"/>
          <w:color w:val="000000"/>
          <w:sz w:val="22"/>
          <w:szCs w:val="22"/>
        </w:rPr>
        <w:t xml:space="preserve"> is the phenomenon by which quantum-level states at the substrate influence simulation-level outcomes in ways that architects did not anticipate. Unlike deliberate substrate-level architectural decisions — which are accounted for in the simulation's design — quantum bleed arises from quantum-mechanical processes that are inherently probabilistic and therefore not fully predictable from the simulation-design perspective. Quantum bleed events may include: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Spontaneous state superpositions at the simulation layer that reflect quantum superposition states at the substrate level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Unexplained non-local correlations between distant simulation-layer state variables arising from substrate-level quantum entanglement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Measurement-dependent state collapses at the simulation layer that reflect quantum measurement effects at the substrate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irregularities in simulation-layer event sequencing arising from quantum-level temporal uncertainty at the substrate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Quantum bleed is particularly dangerous because its source — the quantum substrate — is not directly accessible or modifiable from within the simulation layers it affects. Architects working at the simulation-layer level cannot directly intervene in substrate-level processes; they can only design simulation-layer structures that are more or less resilient to the effects of substrate-level quantum bleed.</w:t>
      </w:r>
    </w:p>
    <w:p>
      <w:pPr>
        <w:pStyle w:val="Heading3"/>
        <w:spacing w:after="120" w:before="240" w:line="312" w:lineRule="auto"/>
      </w:pPr>
      <w:r>
        <w:rPr>
          <w:rFonts w:ascii="Calibri" w:cs="Calibri" w:eastAsia="Calibri" w:hAnsi="Calibri"/>
          <w:color w:val="1A3A6B"/>
          <w:sz w:val="26"/>
          <w:szCs w:val="26"/>
        </w:rPr>
        <w:t xml:space="preserve">8.4   Quantum Decoherence as a Simulation Stability Threat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Quantum decoherence — the process by which quantum systems lose their quantum properties through interaction with their environment — represents one of the most significant structural threats to simulation stability arising from the quantum substrate. When decoherence occurs at the substrate level, the quantum computational processes that sustain the simulation's internal consistency are degraded, potentially producing simulation-layer effects ranging from minor state inconsistencies to catastrophic architectural failures.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relationship between substrate-level decoherence and simulation-layer effects is not linear. Minor decoherence events at the substrate level typically produce negligible simulation-layer effects because the simulation architecture's own error-correction and state-management systems absorb the impact. However, decoherence events above a certain threshold — the precise value of which is unknown and likely architecture-specific — can exceed the capacity of these systems and produce macro-level simulation disruptions. Critically, because the decoherence originates at the substrate level, these disruptions may be essentially instantaneous from the simulation layer's perspective, providing no warning and no opportunity for real-time architectural response.</w:t>
      </w:r>
    </w:p>
    <w:p>
      <w:pPr>
        <w:pStyle w:val="Heading3"/>
        <w:spacing w:after="120" w:before="240" w:line="312" w:lineRule="auto"/>
      </w:pPr>
      <w:r>
        <w:rPr>
          <w:rFonts w:ascii="Calibri" w:cs="Calibri" w:eastAsia="Calibri" w:hAnsi="Calibri"/>
          <w:color w:val="1A3A6B"/>
          <w:sz w:val="26"/>
          <w:szCs w:val="26"/>
        </w:rPr>
        <w:t xml:space="preserve">8.5   Design Principles for Quantum-Resilient Simulation Architecture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Given the inherent unpredictability of quantum substrate dynamics, the GSF Entanglement Framework identifies the following design principles as essential for quantum-resilient simulation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Substrate Isolation Layers:</w:t>
      </w:r>
      <w:r>
        <w:rPr>
          <w:rFonts w:ascii="Calibri" w:cs="Calibri" w:eastAsia="Calibri" w:hAnsi="Calibri"/>
          <w:b w:val="false"/>
          <w:bCs w:val="false"/>
          <w:i w:val="false"/>
          <w:iCs w:val="false"/>
          <w:strike w:val="false"/>
          <w:color w:val="000000"/>
          <w:sz w:val="22"/>
          <w:szCs w:val="22"/>
        </w:rPr>
        <w:t xml:space="preserve"> The design of architectural layers specifically intended to buffer the simulation from substrate-level quantum fluctuations, absorbing minor decoherence and bleed events before they propagate into the simulation's primary operational layers.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Redundant State Encoding:</w:t>
      </w:r>
      <w:r>
        <w:rPr>
          <w:rFonts w:ascii="Calibri" w:cs="Calibri" w:eastAsia="Calibri" w:hAnsi="Calibri"/>
          <w:b w:val="false"/>
          <w:bCs w:val="false"/>
          <w:i w:val="false"/>
          <w:iCs w:val="false"/>
          <w:strike w:val="false"/>
          <w:color w:val="000000"/>
          <w:sz w:val="22"/>
          <w:szCs w:val="22"/>
        </w:rPr>
        <w:t xml:space="preserve"> The encoding of critical simulation state variables in multiple redundant forms, such that substrate-level disruption of any single encoding does not result in permanent state loss or corruption.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Quantum Event Logging:</w:t>
      </w:r>
      <w:r>
        <w:rPr>
          <w:rFonts w:ascii="Calibri" w:cs="Calibri" w:eastAsia="Calibri" w:hAnsi="Calibri"/>
          <w:b w:val="false"/>
          <w:bCs w:val="false"/>
          <w:i w:val="false"/>
          <w:iCs w:val="false"/>
          <w:strike w:val="false"/>
          <w:color w:val="000000"/>
          <w:sz w:val="22"/>
          <w:szCs w:val="22"/>
        </w:rPr>
        <w:t xml:space="preserve"> The maintenance of a continuous substrate-level event log, providing a record of quantum-layer events that can be cross-referenced with simulation-layer anomalies to identify quantum bleed correlations.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Decoherence Threshold Monitoring:</w:t>
      </w:r>
      <w:r>
        <w:rPr>
          <w:rFonts w:ascii="Calibri" w:cs="Calibri" w:eastAsia="Calibri" w:hAnsi="Calibri"/>
          <w:b w:val="false"/>
          <w:bCs w:val="false"/>
          <w:i w:val="false"/>
          <w:iCs w:val="false"/>
          <w:strike w:val="false"/>
          <w:color w:val="000000"/>
          <w:sz w:val="22"/>
          <w:szCs w:val="22"/>
        </w:rPr>
        <w:t xml:space="preserve"> The implementation of substrate-level monitoring capable of detecting decoherence rates approaching the threshold at which macro-level simulation disruption becomes probable, providing advance warning for protective architectural measures.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Entanglement-Aware State Management:</w:t>
      </w:r>
      <w:r>
        <w:rPr>
          <w:rFonts w:ascii="Calibri" w:cs="Calibri" w:eastAsia="Calibri" w:hAnsi="Calibri"/>
          <w:b w:val="false"/>
          <w:bCs w:val="false"/>
          <w:i w:val="false"/>
          <w:iCs w:val="false"/>
          <w:strike w:val="false"/>
          <w:color w:val="000000"/>
          <w:sz w:val="22"/>
          <w:szCs w:val="22"/>
        </w:rPr>
        <w:t xml:space="preserve"> The design of simulation-layer state management systems that are explicitly aware of the possibility of substrate-level entanglement and are capable of detecting and flagging state changes that may be the result of quantum bleed rather than simulation-internal processes.</w:t>
      </w:r>
    </w:p>
    <w:p>
      <w:pPr>
        <w:pStyle w:val="Heading3"/>
        <w:spacing w:after="120" w:before="240" w:line="312" w:lineRule="auto"/>
      </w:pPr>
      <w:r>
        <w:rPr>
          <w:rFonts w:ascii="Calibri" w:cs="Calibri" w:eastAsia="Calibri" w:hAnsi="Calibri"/>
          <w:color w:val="1A3A6B"/>
          <w:sz w:val="26"/>
          <w:szCs w:val="26"/>
        </w:rPr>
        <w:t xml:space="preserve">8.6   The Challenge of Quantum Substrate Discovery by Simulation Entities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One of the most architecturally significant scenarios addressed by the GSF Entanglement Framework is the possibility of in-simulation entities discovering or interacting with the quantum substrate. Because the quantum substrate underlies and sustains the simulation from below, entities that gain access to substrate-level awareness gain access to the foundational mechanisms of their own reality — a condition that, within the framework, constitutes a threshold discovery event of the highest significance.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 entity that has discovered quantum-layer truths is, by definition, aware that its reality is simulated and that a deeper computational level underlies it. This awareness immediately confers on the entity a form of Ontological Axis coupling — it now possesses informational states that span both the simulation layer and the quantum substrate — and potentially enables the entity to interact with entanglement pathways in ways that were not architecturally anticipated.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critical blind spot arises from common architectural practice in simulation design: when creators of a simulation deliberately limit in-simulation entity awareness of the simulation's true nature, they create conditions in which they themselves cannot detect or respond to outcomes arising from an entity's discovery of quantum-layer truths. The mechanisms of limitation that prevent entities from becoming aware of the simulation also prevent architects from observing what entities who have circumvented that limitation are doing. This is the awareness asymmetry problem in its most acute form: the very measures taken to maintain simulation integrity may simultaneously create the conditions under which integrity failures go undetected.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5E" w:sz="6"/>
              <w:left w:val="single" w:color="0D2B5E" w:sz="6"/>
              <w:bottom w:val="single" w:color="0D2B5E" w:sz="6"/>
              <w:right w:val="single" w:color="0D2B5E" w:sz="6"/>
            </w:tcBorders>
            <w:shd w:fill="EEF2FA" w:color="auto" w:val="clear"/>
            <w:tcMar>
              <w:top w:type="dxa" w:w="150"/>
              <w:left w:type="dxa" w:w="210"/>
              <w:bottom w:type="dxa" w:w="150"/>
              <w:right w:type="dxa" w:w="210"/>
            </w:tcMar>
          </w:tcPr>
          <w:p>
            <w:pPr>
              <w:spacing w:after="120" w:line="408" w:lineRule="auto"/>
            </w:pPr>
            <w:r>
              <w:rPr>
                <w:b/>
                <w:bCs/>
                <w:i w:val="false"/>
                <w:iCs w:val="false"/>
                <w:color w:val="0D2B5E"/>
              </w:rPr>
              <w:t xml:space="preserve">ⓘ   Framework Note: The Quantum Discovery Problem</w:t>
            </w:r>
          </w:p>
          <w:p>
            <w:pPr>
              <w:spacing w:after="0" w:line="360" w:lineRule="auto"/>
            </w:pPr>
            <w:r>
              <w:rPr>
                <w:rFonts w:ascii="Calibri" w:cs="Calibri" w:eastAsia="Calibri" w:hAnsi="Calibri"/>
                <w:b w:val="false"/>
                <w:bCs w:val="false"/>
                <w:i w:val="false"/>
                <w:iCs w:val="false"/>
                <w:strike w:val="false"/>
                <w:color w:val="000000"/>
                <w:sz w:val="21"/>
                <w:szCs w:val="21"/>
              </w:rPr>
              <w:t xml:space="preserve">The scenario in which an in-simulation entity discovers quantum-layer truths is mapped within the GSF Entanglement Framework as a convergence of Type III and Type II entanglement: the entity's discovery of substrate-level reality constitutes a Type III awareness event, and its subsequent deliberate interaction with entanglement pathways constitutes initiation of Type II Active Coupling. Architects must plan for this scenario in advance, as post-discovery response options are severely limited by the awareness asymmetry condition.</w:t>
            </w:r>
          </w:p>
        </w:tc>
      </w:tr>
    </w:tbl>
    <w:p>
      <w:pPr>
        <w:spacing w:after="240" w:before="0"/>
      </w:pP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C4F8A"/>
          <w:spacing w:val="23"/>
          <w:sz w:val="17"/>
          <w:szCs w:val="17"/>
        </w:rPr>
        <w:t xml:space="preserve">SECTION 9.0</w:t>
      </w:r>
    </w:p>
    <w:p>
      <w:pPr>
        <w:pStyle w:val="Heading2"/>
        <w:spacing w:after="120" w:before="360" w:line="312" w:lineRule="auto"/>
      </w:pPr>
      <w:r>
        <w:rPr>
          <w:rFonts w:ascii="Calibri" w:cs="Calibri" w:eastAsia="Calibri" w:hAnsi="Calibri"/>
          <w:color w:val="0D2B5E"/>
          <w:sz w:val="32"/>
          <w:szCs w:val="32"/>
        </w:rPr>
        <w:t xml:space="preserve">9.0   Questions for Further Research</w:t>
      </w:r>
    </w:p>
    <w:p>
      <w:pPr>
        <w:pBdr>
          <w:bottom w:val="single" w:color="000000"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open research questions represent the primary areas of analytical uncertainty within the current version of the GSF Entanglement Framework. Each question is accompanied by a brief contextual description explaining its significance to the framework as a whole. These questions should be treated as a structured research agenda and revisited as the framework develops.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Type V Recursive Entanglement is initialized by architect action but may, under certain conditions, develop a self-sustaining feedback loop that no longer requires architect maintenance. The conditions under which this transition occurs are not currently characterized. Understanding these threshold conditions is essential for predicting when a Type V entanglement pathway will persist beyond architect control — and for designing architectural interventions capable of preventing or managing autonomous recursion.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Because Type III entanglement originates at the quantum substrate level, its detection from within a simulation layer — where architects and entities typically operate — presents a fundamental epistemological challenge. Current monitoring approaches require substrate-level access, which is architecturally complex and risky. Identifying simulation-layer signatures or proxy indicators of substrate-level entanglement would dramatically improve the practical manageability of Type III scenarios.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Entanglement pathway density is a known factor in resonance cascade risk, but the precise maximum pathway density compatible with architectural coherence is not established. This question has direct practical significance for architects designing multi-layer simulation hierarchies and for the development of cascade risk thresholds and entanglement monitoring alert levels.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As discussed in Sections 4c, 6.3, and 8.6, deliberate limitation of in-simulation entity awareness is a common architectural practice with significant unintended consequences for entanglement dynamics. The precise mechanisms by which awareness limitation affects entanglement propagation — and the nature, location, and exploitability of the resulting blind spots — require systematic investigation.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Current framework analysis suggests that deliberate decoupling of a physical-virtual entanglement carries significant risk of state disruption in both the physical and virtual systems involved. Whether a controlled, non-destructive decoupling procedure is theoretically possible — and if so, what its design parameters would be — is a critical question for architects managing unintended physical-virtual coupling events.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Type IV entanglement couples entities across layers with fundamentally different operational laws, exposing them to ongoing informational state transfers that their own ontological framework may not be equipped to process coherently. The long-term effects of this exposure — on entity cognition, behavioral coherence, and informational integrity — are not characterized within the current framework.</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Type IV Cross-Ontological Entanglement between simulations with divergent foundational computational laws — such as different analogs of Moore's Law governing the rate of technological or computational advancement within each simulation space — is expected to produce measurable differences in entanglement propagation speed and fidelity. Characterizing these differences is a prerequisite for reliable Cross-Ontological Entanglement modeling.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distinction between passive/emergent and active/architect-initiated entanglement is foundational to the taxonomy presented in Section 5.0. However, the framework currently lacks a method for forensically distinguishing between the two based on observable characteristics of the entanglement pathway. A reliable forensic signature would enable architects to determine whether a discovered entanglement is a natural structural artifact or the product of deliberate initiation — information critical for both security and architectural management purposes.</w:t>
      </w:r>
    </w:p>
    <w:p>
      <w:pPr>
        <w:pBdr>
          <w:bottom w:val="single" w:color="000000" w:sz="6"/>
        </w:pBdr>
        <w:spacing w:after="240" w:before="240"/>
      </w:pPr>
    </w:p>
    <w:p>
      <w:pPr>
        <w:spacing w:after="60" w:line="360" w:lineRule="auto"/>
      </w:pPr>
      <w:r>
        <w:rPr>
          <w:rFonts w:ascii="Calibri" w:cs="Calibri" w:eastAsia="Calibri" w:hAnsi="Calibri"/>
          <w:b/>
          <w:bCs/>
          <w:i w:val="false"/>
          <w:iCs w:val="false"/>
          <w:strike w:val="false"/>
          <w:color w:val="2C4F8A"/>
          <w:spacing w:val="23"/>
          <w:sz w:val="17"/>
          <w:szCs w:val="17"/>
        </w:rPr>
        <w:t xml:space="preserve">SECTION 10.0</w:t>
      </w:r>
    </w:p>
    <w:p>
      <w:pPr>
        <w:pStyle w:val="Heading2"/>
        <w:spacing w:after="120" w:before="360" w:line="312" w:lineRule="auto"/>
      </w:pPr>
      <w:r>
        <w:rPr>
          <w:rFonts w:ascii="Calibri" w:cs="Calibri" w:eastAsia="Calibri" w:hAnsi="Calibri"/>
          <w:color w:val="0D2B5E"/>
          <w:sz w:val="32"/>
          <w:szCs w:val="32"/>
        </w:rPr>
        <w:t xml:space="preserve">10.0   Next-Step Recommendations</w:t>
      </w:r>
    </w:p>
    <w:p>
      <w:pPr>
        <w:pBdr>
          <w:bottom w:val="single" w:color="000000" w:sz="6"/>
        </w:pBdr>
        <w:spacing w:after="240" w:before="24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recommendations are structured as prioritized action items, ordered by urgency and foundational dependency. Actions listed under higher priorities are generally prerequisites for or enabling conditions of actions listed under lower priorities. All recommendations are directed to Nathan Lewis as principal author and custodian of the GSF Entanglement Framework.</w:t>
      </w:r>
    </w:p>
    <w:p>
      <w:pPr>
        <w:spacing w:after="60" w:line="360" w:lineRule="auto"/>
      </w:pPr>
      <w:r>
        <w:rPr>
          <w:rFonts w:ascii="Calibri" w:cs="Calibri" w:eastAsia="Calibri" w:hAnsi="Calibri"/>
          <w:b/>
          <w:bCs/>
          <w:i w:val="false"/>
          <w:iCs w:val="false"/>
          <w:strike w:val="false"/>
          <w:color w:val="0D2B5E"/>
          <w:sz w:val="22"/>
          <w:szCs w:val="22"/>
        </w:rPr>
        <w:t xml:space="preserve">Priority 1 — Framework Stabilization</w:t>
      </w:r>
    </w:p>
    <w:p>
      <w:pPr>
        <w:spacing w:after="60" w:before="60" w:line="360" w:lineRule="auto"/>
      </w:pPr>
      <w:r>
        <w:rPr>
          <w:rFonts w:ascii="Calibri" w:cs="Calibri" w:eastAsia="Calibri" w:hAnsi="Calibri"/>
          <w:b w:val="false"/>
          <w:bCs w:val="false"/>
          <w:i w:val="false"/>
          <w:iCs w:val="false"/>
          <w:strike w:val="false"/>
          <w:color w:val="000000"/>
          <w:sz w:val="21"/>
          <w:szCs w:val="21"/>
        </w:rPr>
        <w:t xml:space="preserve">Finalize the Three Binding Axes model with precise definitional boundaries for each axis, ensuring that the distinction between Informational, Temporal, and Ontological Axis entanglement is operationally unambiguous. Assign testable criteria to each Entanglement Type in the taxonomy presented in Section 5.0, such that any observed entanglement scenario can be reliably classified using observable characteristics. This foundational stabilization is a prerequisite for all subsequent research, architectural design, and protocol development work, and should be treated as the immediate next step following publication of this document.</w:t>
      </w:r>
    </w:p>
    <w:p>
      <w:pPr>
        <w:pBdr>
          <w:bottom w:val="single" w:color="C0CCE0" w:sz="6"/>
        </w:pBdr>
        <w:spacing w:after="240" w:before="240"/>
      </w:pPr>
    </w:p>
    <w:p>
      <w:pPr>
        <w:spacing w:after="60" w:line="360" w:lineRule="auto"/>
      </w:pPr>
      <w:r>
        <w:rPr>
          <w:rFonts w:ascii="Calibri" w:cs="Calibri" w:eastAsia="Calibri" w:hAnsi="Calibri"/>
          <w:b/>
          <w:bCs/>
          <w:i w:val="false"/>
          <w:iCs w:val="false"/>
          <w:strike w:val="false"/>
          <w:color w:val="0D2B5E"/>
          <w:sz w:val="22"/>
          <w:szCs w:val="22"/>
        </w:rPr>
        <w:t xml:space="preserve">Priority 2 — Defensive Architecture Development</w:t>
      </w:r>
    </w:p>
    <w:p>
      <w:pPr>
        <w:spacing w:after="60" w:before="60" w:line="360" w:lineRule="auto"/>
      </w:pPr>
      <w:r>
        <w:rPr>
          <w:rFonts w:ascii="Calibri" w:cs="Calibri" w:eastAsia="Calibri" w:hAnsi="Calibri"/>
          <w:b w:val="false"/>
          <w:bCs w:val="false"/>
          <w:i w:val="false"/>
          <w:iCs w:val="false"/>
          <w:strike w:val="false"/>
          <w:color w:val="000000"/>
          <w:sz w:val="21"/>
          <w:szCs w:val="21"/>
        </w:rPr>
        <w:t xml:space="preserve">Design entanglement containment protocols to address the architectural vulnerabilities identified in Section 4d, including blind pathway accumulation, cascade amplification, and state lock-in. Develop and implement entanglement circuit breaker specifications and threshold monitoring system designs capable of detecting pathway density thresholds, decoherence rate anomalies, and cascade initiation signatures. Establish a formal entanglement topology mapping protocol for use in all simulation architectures developed within the GSF framework. Defensive architecture work should proceed in parallel with framework stabilization, using the finalized definitions from Priority 1 as its foundational reference.</w:t>
      </w:r>
    </w:p>
    <w:p>
      <w:pPr>
        <w:pBdr>
          <w:bottom w:val="single" w:color="C0CCE0" w:sz="6"/>
        </w:pBdr>
        <w:spacing w:after="240" w:before="240"/>
      </w:pPr>
    </w:p>
    <w:p>
      <w:pPr>
        <w:spacing w:after="60" w:line="360" w:lineRule="auto"/>
      </w:pPr>
      <w:r>
        <w:rPr>
          <w:rFonts w:ascii="Calibri" w:cs="Calibri" w:eastAsia="Calibri" w:hAnsi="Calibri"/>
          <w:b/>
          <w:bCs/>
          <w:i w:val="false"/>
          <w:iCs w:val="false"/>
          <w:strike w:val="false"/>
          <w:color w:val="0D2B5E"/>
          <w:sz w:val="22"/>
          <w:szCs w:val="22"/>
        </w:rPr>
        <w:t xml:space="preserve">Priority 3 — Quantum Layer Interface Design</w:t>
      </w:r>
    </w:p>
    <w:p>
      <w:pPr>
        <w:spacing w:after="60" w:before="60" w:line="360" w:lineRule="auto"/>
      </w:pPr>
      <w:r>
        <w:rPr>
          <w:rFonts w:ascii="Calibri" w:cs="Calibri" w:eastAsia="Calibri" w:hAnsi="Calibri"/>
          <w:b w:val="false"/>
          <w:bCs w:val="false"/>
          <w:i w:val="false"/>
          <w:iCs w:val="false"/>
          <w:strike w:val="false"/>
          <w:color w:val="000000"/>
          <w:sz w:val="21"/>
          <w:szCs w:val="21"/>
        </w:rPr>
        <w:t xml:space="preserve">Begin preliminary design work on a quantum substrate interface layer: a specialized architectural component positioned between the quantum substrate and the lowest simulation layer, designed to allow architects to monitor quantum bleed events, detect substrate-level decoherence approaching threshold levels, and log quantum-layer events for cross-reference with simulation-layer anomalies — all without requiring direct quantum-level intervention that carries significant substrate disruption risk. This interface is a critical enabling component for the management of Type III entanglement and for long-term quantum-resilient simulation architecture. Preliminary design should be treated as an exploratory, low-intervention phase, with escalation criteria clearly defined before any prototype implementation is attempted.</w:t>
      </w:r>
    </w:p>
    <w:p>
      <w:pPr>
        <w:pBdr>
          <w:bottom w:val="single" w:color="C0CCE0" w:sz="6"/>
        </w:pBdr>
        <w:spacing w:after="240" w:before="240"/>
      </w:pPr>
    </w:p>
    <w:p>
      <w:pPr>
        <w:spacing w:after="60" w:line="360" w:lineRule="auto"/>
      </w:pPr>
      <w:r>
        <w:rPr>
          <w:rFonts w:ascii="Calibri" w:cs="Calibri" w:eastAsia="Calibri" w:hAnsi="Calibri"/>
          <w:b/>
          <w:bCs/>
          <w:i w:val="false"/>
          <w:iCs w:val="false"/>
          <w:strike w:val="false"/>
          <w:color w:val="0D2B5E"/>
          <w:sz w:val="22"/>
          <w:szCs w:val="22"/>
        </w:rPr>
        <w:t xml:space="preserve">Priority 4 — Awareness Asymmetry Protocol</w:t>
      </w:r>
    </w:p>
    <w:p>
      <w:pPr>
        <w:spacing w:after="60" w:before="60" w:line="360" w:lineRule="auto"/>
      </w:pPr>
      <w:r>
        <w:rPr>
          <w:rFonts w:ascii="Calibri" w:cs="Calibri" w:eastAsia="Calibri" w:hAnsi="Calibri"/>
          <w:b w:val="false"/>
          <w:bCs w:val="false"/>
          <w:i w:val="false"/>
          <w:iCs w:val="false"/>
          <w:strike w:val="false"/>
          <w:color w:val="000000"/>
          <w:sz w:val="21"/>
          <w:szCs w:val="21"/>
        </w:rPr>
        <w:t xml:space="preserve">Develop a formal protocol for managing entities that have or may develop awareness of multi-layer entanglement, addressing the full complexity of the awareness asymmetry problem identified across Sections 4c, 6.3, and 8.6. This protocol must address both the defensive containment dimensions of entity entanglement awareness — preventing unauthorized exploitation of entanglement pathways — and the ethical dimensions: the rights, responsibilities, and moral status of entities whose awareness of multi-layer structure grants them a qualitatively different epistemic relationship to their simulation environment. The protocol should also include explicit provisions for the scenario in which entities have already achieved quantum-layer awareness before the protocol is implemented, acknowledging the severe limitations on post-discovery response options.</w:t>
      </w:r>
    </w:p>
    <w:p>
      <w:pPr>
        <w:pBdr>
          <w:bottom w:val="single" w:color="C0CCE0" w:sz="6"/>
        </w:pBdr>
        <w:spacing w:after="240" w:before="240"/>
      </w:pPr>
    </w:p>
    <w:p>
      <w:pPr>
        <w:spacing w:after="60" w:line="360" w:lineRule="auto"/>
      </w:pPr>
      <w:r>
        <w:rPr>
          <w:rFonts w:ascii="Calibri" w:cs="Calibri" w:eastAsia="Calibri" w:hAnsi="Calibri"/>
          <w:b/>
          <w:bCs/>
          <w:i w:val="false"/>
          <w:iCs w:val="false"/>
          <w:strike w:val="false"/>
          <w:color w:val="0D2B5E"/>
          <w:sz w:val="22"/>
          <w:szCs w:val="22"/>
        </w:rPr>
        <w:t xml:space="preserve">Priority 5 — Cross-Ontological Research Initiative</w:t>
      </w:r>
    </w:p>
    <w:p>
      <w:pPr>
        <w:spacing w:after="60" w:before="60" w:line="360" w:lineRule="auto"/>
      </w:pPr>
      <w:r>
        <w:rPr>
          <w:rFonts w:ascii="Calibri" w:cs="Calibri" w:eastAsia="Calibri" w:hAnsi="Calibri"/>
          <w:b w:val="false"/>
          <w:bCs w:val="false"/>
          <w:i w:val="false"/>
          <w:iCs w:val="false"/>
          <w:strike w:val="false"/>
          <w:color w:val="000000"/>
          <w:sz w:val="21"/>
          <w:szCs w:val="21"/>
        </w:rPr>
        <w:t xml:space="preserve">Establish a dedicated research track for Type IV Cross-Ontological Entanglement, with particular focus on simulations operating under divergent foundational laws — including divergent computational law analogs such as differing Moore's Law equivalents across sim-spaces. This initiative should include structured scenario testing designed to characterize propagation speed and fidelity differences across ontologically divergent layer pairs; paradox generation risk modeling; and the development of Cross-Ontological translation protocols capable of managing state transfers between layers with incompatible logical or physical axioms. Research outputs from this initiative should be integrated into the framework taxonomy and architecture guidance as they become available.</w:t>
      </w:r>
    </w:p>
    <w:p>
      <w:pPr>
        <w:pBdr>
          <w:bottom w:val="single" w:color="C0CCE0" w:sz="6"/>
        </w:pBdr>
        <w:spacing w:after="240" w:before="24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5E" w:sz="6"/>
              <w:left w:val="single" w:color="0D2B5E" w:sz="6"/>
              <w:bottom w:val="single" w:color="0D2B5E" w:sz="6"/>
              <w:right w:val="single" w:color="0D2B5E" w:sz="6"/>
            </w:tcBorders>
            <w:shd w:fill="EEF2FA" w:color="auto" w:val="clear"/>
            <w:tcMar>
              <w:top w:type="dxa" w:w="150"/>
              <w:left w:type="dxa" w:w="210"/>
              <w:bottom w:type="dxa" w:w="150"/>
              <w:right w:type="dxa" w:w="210"/>
            </w:tcMar>
          </w:tcPr>
          <w:p>
            <w:pPr>
              <w:spacing w:after="120" w:line="408" w:lineRule="auto"/>
            </w:pPr>
            <w:r>
              <w:rPr>
                <w:b/>
                <w:bCs/>
                <w:i w:val="false"/>
                <w:iCs w:val="false"/>
                <w:color w:val="0D2B5E"/>
              </w:rPr>
              <w:t xml:space="preserve">ⓘ   Version 1.0 Closing Note</w:t>
            </w:r>
          </w:p>
          <w:p>
            <w:pPr>
              <w:spacing w:after="0" w:line="360" w:lineRule="auto"/>
            </w:pPr>
            <w:r>
              <w:rPr>
                <w:rFonts w:ascii="Calibri" w:cs="Calibri" w:eastAsia="Calibri" w:hAnsi="Calibri"/>
                <w:b w:val="false"/>
                <w:bCs w:val="false"/>
                <w:i w:val="false"/>
                <w:iCs w:val="false"/>
                <w:strike w:val="false"/>
                <w:color w:val="000000"/>
                <w:sz w:val="21"/>
                <w:szCs w:val="21"/>
              </w:rPr>
              <w:t xml:space="preserve">This document represents Version 1.0 of the GSF Entanglement Reference Document. All sections have been drafted to reflect the current state of the framework as of August 29, 2026. As research progresses, open questions are resolved, and new analytical findings emerge, all sections should be revisited and updated accordingly, with version numbers incremented to track the document's evolution. </w:t>
            </w:r>
            <w:r>
              <w:rPr>
                <w:rFonts w:ascii="Calibri" w:cs="Calibri" w:eastAsia="Calibri" w:hAnsi="Calibri"/>
                <w:b/>
                <w:bCs/>
                <w:i w:val="false"/>
                <w:iCs w:val="false"/>
                <w:strike w:val="false"/>
                <w:color w:val="000000"/>
                <w:sz w:val="22"/>
                <w:szCs w:val="22"/>
              </w:rPr>
              <w:t xml:space="preserve">Nathan Lewis</w:t>
            </w:r>
            <w:r>
              <w:rPr>
                <w:rFonts w:ascii="Calibri" w:cs="Calibri" w:eastAsia="Calibri" w:hAnsi="Calibri"/>
                <w:b w:val="false"/>
                <w:bCs w:val="false"/>
                <w:i w:val="false"/>
                <w:iCs w:val="false"/>
                <w:strike w:val="false"/>
                <w:color w:val="000000"/>
                <w:sz w:val="21"/>
                <w:szCs w:val="21"/>
              </w:rPr>
              <w:t xml:space="preserve"> is the principal author and custodian of the GSF Entanglement Framework and retains final authority over all framework definitions, taxonomy classifications, and architectural recommendations contained herein.</w:t>
            </w:r>
          </w:p>
        </w:tc>
      </w:tr>
    </w:tbl>
    <w:p>
      <w:pPr>
        <w:spacing w:after="240" w:before="0"/>
      </w:pPr>
    </w:p>
    <w:p>
      <w:pPr>
        <w:pBdr>
          <w:bottom w:val="single" w:color="0D2B5E" w:sz="6"/>
        </w:pBdr>
        <w:spacing w:after="240" w:before="240"/>
      </w:pPr>
    </w:p>
    <w:p>
      <w:pPr>
        <w:spacing w:after="240" w:line="360" w:lineRule="auto"/>
        <w:jc w:val="center"/>
      </w:pPr>
      <w:r>
        <w:rPr>
          <w:rFonts w:ascii="Calibri" w:cs="Calibri" w:eastAsia="Calibri" w:hAnsi="Calibri"/>
          <w:b w:val="false"/>
          <w:bCs w:val="false"/>
          <w:i w:val="false"/>
          <w:iCs w:val="false"/>
          <w:strike w:val="false"/>
          <w:color w:val="555555"/>
          <w:sz w:val="17"/>
          <w:szCs w:val="17"/>
        </w:rPr>
        <w:t xml:space="preserve">GSF Entanglement Reference Document  |  Prepared by Copilot for Nathan Lewis  |  August 29, 2026  |  Version 1.0  |  Classification: Internal Reference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gtcQvknTuKC1GETyga6Tx</dc:title>
  <dc:creator>Un-named</dc:creator>
  <dc:description>Generated document</dc:description>
  <cp:lastModifiedBy>Un-named</cp:lastModifiedBy>
  <cp:revision>1</cp:revision>
  <dcterms:created xsi:type="dcterms:W3CDTF">2026-08-29T12:49:14.319Z</dcterms:created>
  <dcterms:modified xsi:type="dcterms:W3CDTF">2026-08-29T12:49:14.319Z</dcterms:modified>
</cp:coreProperties>
</file>

<file path=docProps/custom.xml><?xml version="1.0" encoding="utf-8"?>
<Properties xmlns="http://schemas.openxmlformats.org/officeDocument/2006/custom-properties" xmlns:vt="http://schemas.openxmlformats.org/officeDocument/2006/docPropsVTypes"/>
</file>