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6"/>
        </w:rPr>
        <w:t>GENERALIZED SUPERPOSITION FRAMEWORK (GSF)</w:t>
      </w:r>
    </w:p>
    <w:p>
      <w:pPr>
        <w:pStyle w:val="Title"/>
        <w:jc w:val="center"/>
      </w:pPr>
      <w:r>
        <w:t>Relational Coupling, Cross-Environment Testing, and Quantum Entanglement</w:t>
      </w:r>
    </w:p>
    <w:p>
      <w:pPr>
        <w:pStyle w:val="Subtitle"/>
        <w:jc w:val="center"/>
      </w:pPr>
      <w:r>
        <w:t>Simulation Laboratory Reference, Development Memorandum, and Research Roadmap</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90" w:type="dxa"/>
              <w:start w:w="100" w:type="dxa"/>
              <w:bottom w:w="90" w:type="dxa"/>
              <w:end w:w="100" w:type="dxa"/>
            </w:tcMar>
          </w:tcPr>
          <w:p>
            <w:r>
              <w:rPr>
                <w:b/>
              </w:rPr>
              <w:t>Document purpose</w:t>
            </w:r>
          </w:p>
        </w:tc>
        <w:tc>
          <w:tcPr>
            <w:tcW w:type="dxa" w:w="4968"/>
            <w:tcMar>
              <w:top w:w="90" w:type="dxa"/>
              <w:start w:w="100" w:type="dxa"/>
              <w:bottom w:w="90" w:type="dxa"/>
              <w:end w:w="100" w:type="dxa"/>
            </w:tcMar>
          </w:tcPr>
          <w:p>
            <w:r>
              <w:t>Preserve, consolidate, and operationalize the current discussion for future simulation-laboratory reference, continuation, testing, and concept development.</w:t>
            </w:r>
          </w:p>
        </w:tc>
      </w:tr>
      <w:tr>
        <w:tc>
          <w:tcPr>
            <w:tcW w:type="dxa" w:w="4968"/>
            <w:shd w:fill="D9EAF7"/>
            <w:tcMar>
              <w:top w:w="90" w:type="dxa"/>
              <w:start w:w="100" w:type="dxa"/>
              <w:bottom w:w="90" w:type="dxa"/>
              <w:end w:w="100" w:type="dxa"/>
            </w:tcMar>
          </w:tcPr>
          <w:p>
            <w:r>
              <w:rPr>
                <w:b/>
              </w:rPr>
              <w:t>Date</w:t>
            </w:r>
          </w:p>
        </w:tc>
        <w:tc>
          <w:tcPr>
            <w:tcW w:type="dxa" w:w="4968"/>
            <w:tcMar>
              <w:top w:w="90" w:type="dxa"/>
              <w:start w:w="100" w:type="dxa"/>
              <w:bottom w:w="90" w:type="dxa"/>
              <w:end w:w="100" w:type="dxa"/>
            </w:tcMar>
          </w:tcPr>
          <w:p>
            <w:r>
              <w:t>August 29, 2026</w:t>
            </w:r>
          </w:p>
        </w:tc>
      </w:tr>
      <w:tr>
        <w:tc>
          <w:tcPr>
            <w:tcW w:type="dxa" w:w="4968"/>
            <w:shd w:fill="D9EAF7"/>
            <w:tcMar>
              <w:top w:w="90" w:type="dxa"/>
              <w:start w:w="100" w:type="dxa"/>
              <w:bottom w:w="90" w:type="dxa"/>
              <w:end w:w="100" w:type="dxa"/>
            </w:tcMar>
          </w:tcPr>
          <w:p>
            <w:r>
              <w:rPr>
                <w:b/>
              </w:rPr>
              <w:t>Prepared by</w:t>
            </w:r>
          </w:p>
        </w:tc>
        <w:tc>
          <w:tcPr>
            <w:tcW w:type="dxa" w:w="4968"/>
            <w:tcMar>
              <w:top w:w="90" w:type="dxa"/>
              <w:start w:w="100" w:type="dxa"/>
              <w:bottom w:w="90" w:type="dxa"/>
              <w:end w:w="100" w:type="dxa"/>
            </w:tcMar>
          </w:tcPr>
          <w:p>
            <w:r>
              <w:t>ChatGPT (GPT-5.6 Sol), OpenAI</w:t>
            </w:r>
          </w:p>
        </w:tc>
      </w:tr>
      <w:tr>
        <w:tc>
          <w:tcPr>
            <w:tcW w:type="dxa" w:w="4968"/>
            <w:shd w:fill="D9EAF7"/>
            <w:tcMar>
              <w:top w:w="90" w:type="dxa"/>
              <w:start w:w="100" w:type="dxa"/>
              <w:bottom w:w="90" w:type="dxa"/>
              <w:end w:w="100" w:type="dxa"/>
            </w:tcMar>
          </w:tcPr>
          <w:p>
            <w:r>
              <w:rPr>
                <w:b/>
              </w:rPr>
              <w:t>Source basis</w:t>
            </w:r>
          </w:p>
        </w:tc>
        <w:tc>
          <w:tcPr>
            <w:tcW w:type="dxa" w:w="4968"/>
            <w:tcMar>
              <w:top w:w="90" w:type="dxa"/>
              <w:start w:w="100" w:type="dxa"/>
              <w:bottom w:w="90" w:type="dxa"/>
              <w:end w:w="100" w:type="dxa"/>
            </w:tcMar>
          </w:tcPr>
          <w:p>
            <w:r>
              <w:t>Conversation development plus independent reviews supplied from Grok AI, Perplexity AI, Microsoft Copilot, Google Gemini, and Claude AI; scientific claims cross-checked against selected external references.</w:t>
            </w:r>
          </w:p>
        </w:tc>
      </w:tr>
      <w:tr>
        <w:tc>
          <w:tcPr>
            <w:tcW w:type="dxa" w:w="4968"/>
            <w:shd w:fill="D9EAF7"/>
            <w:tcMar>
              <w:top w:w="90" w:type="dxa"/>
              <w:start w:w="100" w:type="dxa"/>
              <w:bottom w:w="90" w:type="dxa"/>
              <w:end w:w="100" w:type="dxa"/>
            </w:tcMar>
          </w:tcPr>
          <w:p>
            <w:r>
              <w:rPr>
                <w:b/>
              </w:rPr>
              <w:t>Status</w:t>
            </w:r>
          </w:p>
        </w:tc>
        <w:tc>
          <w:tcPr>
            <w:tcW w:type="dxa" w:w="4968"/>
            <w:tcMar>
              <w:top w:w="90" w:type="dxa"/>
              <w:start w:w="100" w:type="dxa"/>
              <w:bottom w:w="90" w:type="dxa"/>
              <w:end w:w="100" w:type="dxa"/>
            </w:tcMar>
          </w:tcPr>
          <w:p>
            <w:r>
              <w:t>Development reference / research concept. Not a claim that GSF relational coupling is quantum entanglement.</w:t>
            </w:r>
          </w:p>
        </w:tc>
      </w:tr>
      <w:tr>
        <w:tc>
          <w:tcPr>
            <w:tcW w:type="dxa" w:w="4968"/>
            <w:shd w:fill="D9EAF7"/>
            <w:tcMar>
              <w:top w:w="90" w:type="dxa"/>
              <w:start w:w="100" w:type="dxa"/>
              <w:bottom w:w="90" w:type="dxa"/>
              <w:end w:w="100" w:type="dxa"/>
            </w:tcMar>
          </w:tcPr>
          <w:p>
            <w:r>
              <w:rPr>
                <w:b/>
              </w:rPr>
              <w:t>Recommended treatment</w:t>
            </w:r>
          </w:p>
        </w:tc>
        <w:tc>
          <w:tcPr>
            <w:tcW w:type="dxa" w:w="4968"/>
            <w:tcMar>
              <w:top w:w="90" w:type="dxa"/>
              <w:start w:w="100" w:type="dxa"/>
              <w:bottom w:w="90" w:type="dxa"/>
              <w:end w:w="100" w:type="dxa"/>
            </w:tcMar>
          </w:tcPr>
          <w:p>
            <w:r>
              <w:t>Retain as a controlled concept-development record; do not promote terminology or physics claims to formal laboratory doctrine until operational definitions, witnesses, baselines, and falsification criteria are approved.</w:t>
            </w:r>
          </w:p>
        </w:tc>
      </w:tr>
    </w:tbl>
    <w:p/>
    <w:p>
      <w:pPr>
        <w:pStyle w:val="Callout"/>
        <w:jc w:val="center"/>
      </w:pPr>
      <w:r>
        <w:rPr>
          <w:b/>
        </w:rPr>
        <w:t xml:space="preserve">CENTRAL SAFEGUARD: </w:t>
      </w:r>
      <w:r>
        <w:t>A classical digital representation may be tightly coupled to a physical object, but classical correlation or synchronization is not literal quantum entanglement. Verified quantum entanglement belongs only to coherent quantum degrees of freedom and must be demonstrated with appropriate quantum evidence.</w:t>
      </w:r>
    </w:p>
    <w:p>
      <w:r>
        <w:br w:type="page"/>
      </w:r>
    </w:p>
    <w:p>
      <w:pPr>
        <w:pStyle w:val="Heading1"/>
        <w:keepNext w:val="1"/>
      </w:pPr>
      <w:r>
        <w:t>1. Purpose and Scope</w:t>
      </w:r>
    </w:p>
    <w:p>
      <w:r>
        <w:t>This document records and develops a proposed relationship between the Generalized Superposition Framework (GSF), physical-to-virtual laboratory testing, and literal quantum entanglement. It is intended to remain useful if the concept is revisited months or years later, especially if a simulation laboratory needs to determine whether the idea should be modeled, tested, rejected, refined, or implemented in a hybrid physical/virtual environment.</w:t>
      </w:r>
    </w:p>
    <w:p>
      <w:r>
        <w:t>The document has five purposes: (1) preserve the original conceptual question; (2) distinguish established quantum physics from GSF-specific terminology; (3) consolidate the independent AI reviews into points of consensus and disagreement; (4) translate the concept into falsifiable laboratory-testing requirements; and (5) identify decisions and unresolved questions that should be answered before any formal adoption.</w:t>
      </w:r>
    </w:p>
    <w:p>
      <w:pPr>
        <w:pStyle w:val="Heading1"/>
        <w:keepNext w:val="1"/>
      </w:pPr>
      <w:r>
        <w:t>2. Executive Summary</w:t>
      </w:r>
    </w:p>
    <w:p>
      <w:pPr>
        <w:pStyle w:val="ListBullet"/>
      </w:pPr>
      <w:r>
        <w:t>Literal quantum entanglement cannot be attributed to a conventional file, database record, rendered virtual object, or ordinary classical bit string merely because it represents or controls a physical object. A classical digital representation is not itself a quantum subsystem.</w:t>
      </w:r>
    </w:p>
    <w:p>
      <w:pPr>
        <w:pStyle w:val="ListBullet"/>
      </w:pPr>
      <w:r>
        <w:t>A quantum implementation is possible when information associated with a digital object is translated into or used to prepare coherent quantum carriers. Those physical quantum carriers can then be entangled with other quantum systems. The entangled parties are the physical quantum degrees of freedom, not the abstract file.</w:t>
      </w:r>
    </w:p>
    <w:p>
      <w:pPr>
        <w:pStyle w:val="ListBullet"/>
      </w:pPr>
      <w:r>
        <w:t>GSF can nevertheless define its own experimentally testable relation between states. The strongest cross-review formulation is not "quantum entanglement generalized," but a persistent relational constraint or invariant linking state spaces across transformations, observers, contexts, representations, or environments.</w:t>
      </w:r>
    </w:p>
    <w:p>
      <w:pPr>
        <w:pStyle w:val="ListBullet"/>
      </w:pPr>
      <w:r>
        <w:t>The physical-laboratory ↔ virtual-laboratory idea is testable with present-day cyber-physical technologies: sensors, actuators, event logs, virtual models, simulation branches, state provenance, and controlled fault injection. This layer should be benchmarked against ordinary digital-twin and state-machine approaches.</w:t>
      </w:r>
    </w:p>
    <w:p>
      <w:pPr>
        <w:pStyle w:val="ListBullet"/>
      </w:pPr>
      <w:r>
        <w:t>The most important methodological improvement proposed by the reviews is the addition of witnesses, baselines, adversarial perturbations, and explicit failure conditions. Without these, a GSF "entanglement" claim risks becoming unfalsifiable language for ordinary coupling.</w:t>
      </w:r>
    </w:p>
    <w:p>
      <w:pPr>
        <w:pStyle w:val="ListBullet"/>
      </w:pPr>
      <w:r>
        <w:t>A future hybrid architecture can place GSF relational analysis above a real quantum experiment. In that design, the software layer configures quantum-state preparation; real quantum subsystems are entangled and verified; classical measurement results return to the GSF model. The GSF relation and quantum entanglement remain separately named, measured, and evidenced.</w:t>
      </w:r>
    </w:p>
    <w:p>
      <w:pPr>
        <w:pStyle w:val="Heading1"/>
        <w:keepNext w:val="1"/>
      </w:pPr>
      <w:r>
        <w:t>3. Recommended Working Terminology</w:t>
      </w:r>
    </w:p>
    <w:p>
      <w:r>
        <w:t>The reviews agree that terminology is the principal risk. The word "entanglement" carries a precise meaning in quantum information science. For development work, the following layered vocabulary is recommended.</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17365D"/>
          </w:tcPr>
          <w:p>
            <w:r>
              <w:rPr>
                <w:b/>
                <w:color w:val="FFFFFF"/>
              </w:rPr>
              <w:t>Code</w:t>
            </w:r>
          </w:p>
        </w:tc>
        <w:tc>
          <w:tcPr>
            <w:tcW w:type="dxa" w:w="1987"/>
            <w:shd w:fill="17365D"/>
          </w:tcPr>
          <w:p>
            <w:r>
              <w:rPr>
                <w:b/>
                <w:color w:val="FFFFFF"/>
              </w:rPr>
              <w:t>Preferred term</w:t>
            </w:r>
          </w:p>
        </w:tc>
        <w:tc>
          <w:tcPr>
            <w:tcW w:type="dxa" w:w="1987"/>
            <w:shd w:fill="17365D"/>
          </w:tcPr>
          <w:p>
            <w:r>
              <w:rPr>
                <w:b/>
                <w:color w:val="FFFFFF"/>
              </w:rPr>
              <w:t>Meaning</w:t>
            </w:r>
          </w:p>
        </w:tc>
        <w:tc>
          <w:tcPr>
            <w:tcW w:type="dxa" w:w="1987"/>
            <w:shd w:fill="17365D"/>
          </w:tcPr>
          <w:p>
            <w:r>
              <w:rPr>
                <w:b/>
                <w:color w:val="FFFFFF"/>
              </w:rPr>
              <w:t>Quantum claim?</w:t>
            </w:r>
          </w:p>
        </w:tc>
        <w:tc>
          <w:tcPr>
            <w:tcW w:type="dxa" w:w="1987"/>
            <w:shd w:fill="17365D"/>
          </w:tcPr>
          <w:p>
            <w:r>
              <w:rPr>
                <w:b/>
                <w:color w:val="FFFFFF"/>
              </w:rPr>
              <w:t>Evidence required</w:t>
            </w:r>
          </w:p>
        </w:tc>
      </w:tr>
      <w:tr>
        <w:tc>
          <w:tcPr>
            <w:tcW w:type="dxa" w:w="1987"/>
            <w:tcMar>
              <w:top w:w="90" w:type="dxa"/>
              <w:start w:w="100" w:type="dxa"/>
              <w:bottom w:w="90" w:type="dxa"/>
              <w:end w:w="100" w:type="dxa"/>
            </w:tcMar>
          </w:tcPr>
          <w:p>
            <w:r>
              <w:t>E_G / GRC</w:t>
            </w:r>
          </w:p>
        </w:tc>
        <w:tc>
          <w:tcPr>
            <w:tcW w:type="dxa" w:w="1987"/>
            <w:tcMar>
              <w:top w:w="90" w:type="dxa"/>
              <w:start w:w="100" w:type="dxa"/>
              <w:bottom w:w="90" w:type="dxa"/>
              <w:end w:w="100" w:type="dxa"/>
            </w:tcMar>
          </w:tcPr>
          <w:p>
            <w:r>
              <w:t>GSF Relational Coupling</w:t>
            </w:r>
          </w:p>
        </w:tc>
        <w:tc>
          <w:tcPr>
            <w:tcW w:type="dxa" w:w="1987"/>
            <w:tcMar>
              <w:top w:w="90" w:type="dxa"/>
              <w:start w:w="100" w:type="dxa"/>
              <w:bottom w:w="90" w:type="dxa"/>
              <w:end w:w="100" w:type="dxa"/>
            </w:tcMar>
          </w:tcPr>
          <w:p>
            <w:r>
              <w:t>A declared constraint or invariant between GSF states/state spaces.</w:t>
            </w:r>
          </w:p>
        </w:tc>
        <w:tc>
          <w:tcPr>
            <w:tcW w:type="dxa" w:w="1987"/>
            <w:tcMar>
              <w:top w:w="90" w:type="dxa"/>
              <w:start w:w="100" w:type="dxa"/>
              <w:bottom w:w="90" w:type="dxa"/>
              <w:end w:w="100" w:type="dxa"/>
            </w:tcMar>
          </w:tcPr>
          <w:p>
            <w:r>
              <w:t>No</w:t>
            </w:r>
          </w:p>
        </w:tc>
        <w:tc>
          <w:tcPr>
            <w:tcW w:type="dxa" w:w="1987"/>
            <w:tcMar>
              <w:top w:w="90" w:type="dxa"/>
              <w:start w:w="100" w:type="dxa"/>
              <w:bottom w:w="90" w:type="dxa"/>
              <w:end w:w="100" w:type="dxa"/>
            </w:tcMar>
          </w:tcPr>
          <w:p>
            <w:r>
              <w:t>Operational rule R, witnesses, controls, event logs, falsification criteria.</w:t>
            </w:r>
          </w:p>
        </w:tc>
      </w:tr>
      <w:tr>
        <w:tc>
          <w:tcPr>
            <w:tcW w:type="dxa" w:w="1987"/>
            <w:tcMar>
              <w:top w:w="90" w:type="dxa"/>
              <w:start w:w="100" w:type="dxa"/>
              <w:bottom w:w="90" w:type="dxa"/>
              <w:end w:w="100" w:type="dxa"/>
            </w:tcMar>
          </w:tcPr>
          <w:p>
            <w:r>
              <w:t>E_PV / CEC</w:t>
            </w:r>
          </w:p>
        </w:tc>
        <w:tc>
          <w:tcPr>
            <w:tcW w:type="dxa" w:w="1987"/>
            <w:tcMar>
              <w:top w:w="90" w:type="dxa"/>
              <w:start w:w="100" w:type="dxa"/>
              <w:bottom w:w="90" w:type="dxa"/>
              <w:end w:w="100" w:type="dxa"/>
            </w:tcMar>
          </w:tcPr>
          <w:p>
            <w:r>
              <w:t>Physical-Virtual / Cross-Environment Coupling</w:t>
            </w:r>
          </w:p>
        </w:tc>
        <w:tc>
          <w:tcPr>
            <w:tcW w:type="dxa" w:w="1987"/>
            <w:tcMar>
              <w:top w:w="90" w:type="dxa"/>
              <w:start w:w="100" w:type="dxa"/>
              <w:bottom w:w="90" w:type="dxa"/>
              <w:end w:w="100" w:type="dxa"/>
            </w:tcMar>
          </w:tcPr>
          <w:p>
            <w:r>
              <w:t>A relation spanning a physical system and virtual model or branched virtual state space.</w:t>
            </w:r>
          </w:p>
        </w:tc>
        <w:tc>
          <w:tcPr>
            <w:tcW w:type="dxa" w:w="1987"/>
            <w:tcMar>
              <w:top w:w="90" w:type="dxa"/>
              <w:start w:w="100" w:type="dxa"/>
              <w:bottom w:w="90" w:type="dxa"/>
              <w:end w:w="100" w:type="dxa"/>
            </w:tcMar>
          </w:tcPr>
          <w:p>
            <w:r>
              <w:t>No</w:t>
            </w:r>
          </w:p>
        </w:tc>
        <w:tc>
          <w:tcPr>
            <w:tcW w:type="dxa" w:w="1987"/>
            <w:tcMar>
              <w:top w:w="90" w:type="dxa"/>
              <w:start w:w="100" w:type="dxa"/>
              <w:bottom w:w="90" w:type="dxa"/>
              <w:end w:w="100" w:type="dxa"/>
            </w:tcMar>
          </w:tcPr>
          <w:p>
            <w:r>
              <w:t>Sensors/actuators or declared information pathways, synchronization model, latency bounds, integrity tests.</w:t>
            </w:r>
          </w:p>
        </w:tc>
      </w:tr>
      <w:tr>
        <w:tc>
          <w:tcPr>
            <w:tcW w:type="dxa" w:w="1987"/>
            <w:tcMar>
              <w:top w:w="90" w:type="dxa"/>
              <w:start w:w="100" w:type="dxa"/>
              <w:bottom w:w="90" w:type="dxa"/>
              <w:end w:w="100" w:type="dxa"/>
            </w:tcMar>
          </w:tcPr>
          <w:p>
            <w:r>
              <w:t>E_Q</w:t>
            </w:r>
          </w:p>
        </w:tc>
        <w:tc>
          <w:tcPr>
            <w:tcW w:type="dxa" w:w="1987"/>
            <w:tcMar>
              <w:top w:w="90" w:type="dxa"/>
              <w:start w:w="100" w:type="dxa"/>
              <w:bottom w:w="90" w:type="dxa"/>
              <w:end w:w="100" w:type="dxa"/>
            </w:tcMar>
          </w:tcPr>
          <w:p>
            <w:r>
              <w:t>Verified Quantum Entanglement</w:t>
            </w:r>
          </w:p>
        </w:tc>
        <w:tc>
          <w:tcPr>
            <w:tcW w:type="dxa" w:w="1987"/>
            <w:tcMar>
              <w:top w:w="90" w:type="dxa"/>
              <w:start w:w="100" w:type="dxa"/>
              <w:bottom w:w="90" w:type="dxa"/>
              <w:end w:w="100" w:type="dxa"/>
            </w:tcMar>
          </w:tcPr>
          <w:p>
            <w:r>
              <w:t>A nonseparable joint quantum state of coherent physical subsystems.</w:t>
            </w:r>
          </w:p>
        </w:tc>
        <w:tc>
          <w:tcPr>
            <w:tcW w:type="dxa" w:w="1987"/>
            <w:tcMar>
              <w:top w:w="90" w:type="dxa"/>
              <w:start w:w="100" w:type="dxa"/>
              <w:bottom w:w="90" w:type="dxa"/>
              <w:end w:w="100" w:type="dxa"/>
            </w:tcMar>
          </w:tcPr>
          <w:p>
            <w:r>
              <w:t>Yes</w:t>
            </w:r>
          </w:p>
        </w:tc>
        <w:tc>
          <w:tcPr>
            <w:tcW w:type="dxa" w:w="1987"/>
            <w:tcMar>
              <w:top w:w="90" w:type="dxa"/>
              <w:start w:w="100" w:type="dxa"/>
              <w:bottom w:w="90" w:type="dxa"/>
              <w:end w:w="100" w:type="dxa"/>
            </w:tcMar>
          </w:tcPr>
          <w:p>
            <w:r>
              <w:t>Quantum-appropriate verification such as tomography, entanglement witnesses, steering, or Bell/CHSH where applicable.</w:t>
            </w:r>
          </w:p>
        </w:tc>
      </w:tr>
      <w:tr>
        <w:tc>
          <w:tcPr>
            <w:tcW w:type="dxa" w:w="1987"/>
            <w:tcMar>
              <w:top w:w="90" w:type="dxa"/>
              <w:start w:w="100" w:type="dxa"/>
              <w:bottom w:w="90" w:type="dxa"/>
              <w:end w:w="100" w:type="dxa"/>
            </w:tcMar>
          </w:tcPr>
          <w:p>
            <w:r>
              <w:t>E_HQ</w:t>
            </w:r>
          </w:p>
        </w:tc>
        <w:tc>
          <w:tcPr>
            <w:tcW w:type="dxa" w:w="1987"/>
            <w:tcMar>
              <w:top w:w="90" w:type="dxa"/>
              <w:start w:w="100" w:type="dxa"/>
              <w:bottom w:w="90" w:type="dxa"/>
              <w:end w:w="100" w:type="dxa"/>
            </w:tcMar>
          </w:tcPr>
          <w:p>
            <w:r>
              <w:t>Hybrid GSF-Quantum Architecture</w:t>
            </w:r>
          </w:p>
        </w:tc>
        <w:tc>
          <w:tcPr>
            <w:tcW w:type="dxa" w:w="1987"/>
            <w:tcMar>
              <w:top w:w="90" w:type="dxa"/>
              <w:start w:w="100" w:type="dxa"/>
              <w:bottom w:w="90" w:type="dxa"/>
              <w:end w:w="100" w:type="dxa"/>
            </w:tcMar>
          </w:tcPr>
          <w:p>
            <w:r>
              <w:t>GSF controls/analyzes a real quantum experiment while remaining conceptually separate from E_Q.</w:t>
            </w:r>
          </w:p>
        </w:tc>
        <w:tc>
          <w:tcPr>
            <w:tcW w:type="dxa" w:w="1987"/>
            <w:tcMar>
              <w:top w:w="90" w:type="dxa"/>
              <w:start w:w="100" w:type="dxa"/>
              <w:bottom w:w="90" w:type="dxa"/>
              <w:end w:w="100" w:type="dxa"/>
            </w:tcMar>
          </w:tcPr>
          <w:p>
            <w:r>
              <w:t>Only for the quantum layer</w:t>
            </w:r>
          </w:p>
        </w:tc>
        <w:tc>
          <w:tcPr>
            <w:tcW w:type="dxa" w:w="1987"/>
            <w:tcMar>
              <w:top w:w="90" w:type="dxa"/>
              <w:start w:w="100" w:type="dxa"/>
              <w:bottom w:w="90" w:type="dxa"/>
              <w:end w:w="100" w:type="dxa"/>
            </w:tcMar>
          </w:tcPr>
          <w:p>
            <w:r>
              <w:t>Both GSF relational evidence and independent quantum-entanglement evidence.</w:t>
            </w:r>
          </w:p>
        </w:tc>
      </w:tr>
    </w:tbl>
    <w:p>
      <w:r>
        <w:t>Terminology note: If the project wishes to retain the word "entanglement" in a GSF-specific historical or internal sense, the document should always qualify it as "GSF entanglement-analog" or "GSF relational entanglement" and state explicitly that it does not imply E_Q. The safer publication-facing terminology is "relational coupling," "invariant constraint," or "cross-environment state binding."</w:t>
      </w:r>
    </w:p>
    <w:p>
      <w:pPr>
        <w:pStyle w:val="Heading1"/>
        <w:keepNext w:val="1"/>
      </w:pPr>
      <w:r>
        <w:t>4. Established Physics Boundary</w:t>
      </w:r>
    </w:p>
    <w:p>
      <w:r>
        <w:t>Quantum entanglement is a property of a joint quantum state. In practical terms, two or more coherent physical quantum degrees of freedom are treated as a combined system whose state is not adequately represented as independent local states. Experimental quantum-information work includes entanglement between photons, ions, atomic ensembles, solid-state spins, and light-matter interfaces. Published research has demonstrated ion-photon and atom-light entanglement and developed light-matter interfaces for quantum networking.</w:t>
      </w:r>
    </w:p>
    <w:p>
      <w:r>
        <w:t>A conventional digital object does not become quantum-entangled merely because it stores a description, identifier, or measurement outcome. The scientifically defensible hybrid pathway is:</w:t>
      </w:r>
    </w:p>
    <w:p>
      <w:pPr>
        <w:pStyle w:val="Callout"/>
        <w:jc w:val="center"/>
      </w:pPr>
      <w:r>
        <w:t>Classical GSF state → quantum-state preparation/configuration → coherent quantum carriers → verified E_Q → measurement/readout → classical GSF analysis</w:t>
      </w:r>
    </w:p>
    <w:p>
      <w:r>
        <w:t>This boundary also prevents a common category error: perfect classical correlation, cryptographic binding, real-time synchronization, shared identifiers, deterministic rules, and bidirectional control can all be very strong forms of coupling without being quantum entanglement.</w:t>
      </w:r>
    </w:p>
    <w:p>
      <w:pPr>
        <w:pStyle w:val="Heading1"/>
        <w:keepNext w:val="1"/>
      </w:pPr>
      <w:r>
        <w:t>5. Entanglement Taxonomy - Reorganized by Axis</w:t>
      </w:r>
    </w:p>
    <w:p>
      <w:r>
        <w:t>The original 20-item survey is useful, but the independent reviews correctly note that the terms occupy different taxonomic axes and can overlap. A single experiment can be bipartite, polarization-entangled, photonic, high-dimensional, and distillable at the same time. The categories should therefore be treated as descriptors rather than mutually exclusive species.</w:t>
      </w:r>
    </w:p>
    <w:tbl>
      <w:tblPr>
        <w:tblStyle w:val="TableGrid"/>
        <w:tblW w:type="auto" w:w="0"/>
        <w:jc w:val="center"/>
        <w:tblLook w:firstColumn="1" w:firstRow="1" w:lastColumn="0" w:lastRow="0" w:noHBand="0" w:noVBand="1" w:val="04A0"/>
      </w:tblPr>
      <w:tblGrid>
        <w:gridCol w:w="4968"/>
        <w:gridCol w:w="4968"/>
      </w:tblGrid>
      <w:tr>
        <w:tc>
          <w:tcPr>
            <w:tcW w:type="dxa" w:w="4968"/>
            <w:shd w:fill="2F5597"/>
          </w:tcPr>
          <w:p>
            <w:r>
              <w:rPr>
                <w:b/>
                <w:color w:val="FFFFFF"/>
              </w:rPr>
              <w:t>Axis</w:t>
            </w:r>
          </w:p>
        </w:tc>
        <w:tc>
          <w:tcPr>
            <w:tcW w:type="dxa" w:w="4968"/>
            <w:shd w:fill="2F5597"/>
          </w:tcPr>
          <w:p>
            <w:r>
              <w:rPr>
                <w:b/>
                <w:color w:val="FFFFFF"/>
              </w:rPr>
              <w:t>Examples / interpretation</w:t>
            </w:r>
          </w:p>
        </w:tc>
      </w:tr>
      <w:tr>
        <w:tc>
          <w:tcPr>
            <w:tcW w:type="dxa" w:w="4968"/>
            <w:tcMar>
              <w:top w:w="90" w:type="dxa"/>
              <w:start w:w="100" w:type="dxa"/>
              <w:bottom w:w="90" w:type="dxa"/>
              <w:end w:w="100" w:type="dxa"/>
            </w:tcMar>
          </w:tcPr>
          <w:p>
            <w:r>
              <w:t>Party structure</w:t>
            </w:r>
          </w:p>
        </w:tc>
        <w:tc>
          <w:tcPr>
            <w:tcW w:type="dxa" w:w="4968"/>
            <w:tcMar>
              <w:top w:w="90" w:type="dxa"/>
              <w:start w:w="100" w:type="dxa"/>
              <w:bottom w:w="90" w:type="dxa"/>
              <w:end w:w="100" w:type="dxa"/>
            </w:tcMar>
          </w:tcPr>
          <w:p>
            <w:r>
              <w:t>Bipartite; multipartite; genuine multipartite; graph/cluster/GHZ/W structures.</w:t>
            </w:r>
          </w:p>
        </w:tc>
      </w:tr>
      <w:tr>
        <w:tc>
          <w:tcPr>
            <w:tcW w:type="dxa" w:w="4968"/>
            <w:tcMar>
              <w:top w:w="90" w:type="dxa"/>
              <w:start w:w="100" w:type="dxa"/>
              <w:bottom w:w="90" w:type="dxa"/>
              <w:end w:w="100" w:type="dxa"/>
            </w:tcMar>
          </w:tcPr>
          <w:p>
            <w:r>
              <w:t>Variable structure</w:t>
            </w:r>
          </w:p>
        </w:tc>
        <w:tc>
          <w:tcPr>
            <w:tcW w:type="dxa" w:w="4968"/>
            <w:tcMar>
              <w:top w:w="90" w:type="dxa"/>
              <w:start w:w="100" w:type="dxa"/>
              <w:bottom w:w="90" w:type="dxa"/>
              <w:end w:w="100" w:type="dxa"/>
            </w:tcMar>
          </w:tcPr>
          <w:p>
            <w:r>
              <w:t>Discrete-variable; continuous-variable; hybrid discrete/continuous-variable.</w:t>
            </w:r>
          </w:p>
        </w:tc>
      </w:tr>
      <w:tr>
        <w:tc>
          <w:tcPr>
            <w:tcW w:type="dxa" w:w="4968"/>
            <w:tcMar>
              <w:top w:w="90" w:type="dxa"/>
              <w:start w:w="100" w:type="dxa"/>
              <w:bottom w:w="90" w:type="dxa"/>
              <w:end w:w="100" w:type="dxa"/>
            </w:tcMar>
          </w:tcPr>
          <w:p>
            <w:r>
              <w:t>Degree of freedom</w:t>
            </w:r>
          </w:p>
        </w:tc>
        <w:tc>
          <w:tcPr>
            <w:tcW w:type="dxa" w:w="4968"/>
            <w:tcMar>
              <w:top w:w="90" w:type="dxa"/>
              <w:start w:w="100" w:type="dxa"/>
              <w:bottom w:w="90" w:type="dxa"/>
              <w:end w:w="100" w:type="dxa"/>
            </w:tcMar>
          </w:tcPr>
          <w:p>
            <w:r>
              <w:t>Polarization; spin; path/spatial; momentum; energy-time; time-bin; frequency; orbital angular momentum; field/mode.</w:t>
            </w:r>
          </w:p>
        </w:tc>
      </w:tr>
      <w:tr>
        <w:tc>
          <w:tcPr>
            <w:tcW w:type="dxa" w:w="4968"/>
            <w:tcMar>
              <w:top w:w="90" w:type="dxa"/>
              <w:start w:w="100" w:type="dxa"/>
              <w:bottom w:w="90" w:type="dxa"/>
              <w:end w:w="100" w:type="dxa"/>
            </w:tcMar>
          </w:tcPr>
          <w:p>
            <w:r>
              <w:t>Combination of degrees of freedom</w:t>
            </w:r>
          </w:p>
        </w:tc>
        <w:tc>
          <w:tcPr>
            <w:tcW w:type="dxa" w:w="4968"/>
            <w:tcMar>
              <w:top w:w="90" w:type="dxa"/>
              <w:start w:w="100" w:type="dxa"/>
              <w:bottom w:w="90" w:type="dxa"/>
              <w:end w:w="100" w:type="dxa"/>
            </w:tcMar>
          </w:tcPr>
          <w:p>
            <w:r>
              <w:t>Hyperentanglement (multiple degrees of freedom simultaneously); high-dimensional entanglement.</w:t>
            </w:r>
          </w:p>
        </w:tc>
      </w:tr>
      <w:tr>
        <w:tc>
          <w:tcPr>
            <w:tcW w:type="dxa" w:w="4968"/>
            <w:tcMar>
              <w:top w:w="90" w:type="dxa"/>
              <w:start w:w="100" w:type="dxa"/>
              <w:bottom w:w="90" w:type="dxa"/>
              <w:end w:w="100" w:type="dxa"/>
            </w:tcMar>
          </w:tcPr>
          <w:p>
            <w:r>
              <w:t>Physical platform</w:t>
            </w:r>
          </w:p>
        </w:tc>
        <w:tc>
          <w:tcPr>
            <w:tcW w:type="dxa" w:w="4968"/>
            <w:tcMar>
              <w:top w:w="90" w:type="dxa"/>
              <w:start w:w="100" w:type="dxa"/>
              <w:bottom w:w="90" w:type="dxa"/>
              <w:end w:w="100" w:type="dxa"/>
            </w:tcMar>
          </w:tcPr>
          <w:p>
            <w:r>
              <w:t>Light-light; matter-matter; light-matter; solid-state emitter-photon; ion-photon; atom-photon; mechanical/optomechanical hybrids.</w:t>
            </w:r>
          </w:p>
        </w:tc>
      </w:tr>
      <w:tr>
        <w:tc>
          <w:tcPr>
            <w:tcW w:type="dxa" w:w="4968"/>
            <w:tcMar>
              <w:top w:w="90" w:type="dxa"/>
              <w:start w:w="100" w:type="dxa"/>
              <w:bottom w:w="90" w:type="dxa"/>
              <w:end w:w="100" w:type="dxa"/>
            </w:tcMar>
          </w:tcPr>
          <w:p>
            <w:r>
              <w:t>Scale</w:t>
            </w:r>
          </w:p>
        </w:tc>
        <w:tc>
          <w:tcPr>
            <w:tcW w:type="dxa" w:w="4968"/>
            <w:tcMar>
              <w:top w:w="90" w:type="dxa"/>
              <w:start w:w="100" w:type="dxa"/>
              <w:bottom w:w="90" w:type="dxa"/>
              <w:end w:w="100" w:type="dxa"/>
            </w:tcMar>
          </w:tcPr>
          <w:p>
            <w:r>
              <w:t>Microscopic; mesoscopic; collective/macroscopic-adjacent states, subject to severe coherence/decoherence constraints.</w:t>
            </w:r>
          </w:p>
        </w:tc>
      </w:tr>
      <w:tr>
        <w:tc>
          <w:tcPr>
            <w:tcW w:type="dxa" w:w="4968"/>
            <w:tcMar>
              <w:top w:w="90" w:type="dxa"/>
              <w:start w:w="100" w:type="dxa"/>
              <w:bottom w:w="90" w:type="dxa"/>
              <w:end w:w="100" w:type="dxa"/>
            </w:tcMar>
          </w:tcPr>
          <w:p>
            <w:r>
              <w:t>Resource / mathematical property</w:t>
            </w:r>
          </w:p>
        </w:tc>
        <w:tc>
          <w:tcPr>
            <w:tcW w:type="dxa" w:w="4968"/>
            <w:tcMar>
              <w:top w:w="90" w:type="dxa"/>
              <w:start w:w="100" w:type="dxa"/>
              <w:bottom w:w="90" w:type="dxa"/>
              <w:end w:w="100" w:type="dxa"/>
            </w:tcMar>
          </w:tcPr>
          <w:p>
            <w:r>
              <w:t>Pure vs mixed; distillable vs bound; PPT vs NPT; maximal vs partial; separability structure.</w:t>
            </w:r>
          </w:p>
        </w:tc>
      </w:tr>
      <w:tr>
        <w:tc>
          <w:tcPr>
            <w:tcW w:type="dxa" w:w="4968"/>
            <w:tcMar>
              <w:top w:w="90" w:type="dxa"/>
              <w:start w:w="100" w:type="dxa"/>
              <w:bottom w:w="90" w:type="dxa"/>
              <w:end w:w="100" w:type="dxa"/>
            </w:tcMar>
          </w:tcPr>
          <w:p>
            <w:r>
              <w:t>Verification context</w:t>
            </w:r>
          </w:p>
        </w:tc>
        <w:tc>
          <w:tcPr>
            <w:tcW w:type="dxa" w:w="4968"/>
            <w:tcMar>
              <w:top w:w="90" w:type="dxa"/>
              <w:start w:w="100" w:type="dxa"/>
              <w:bottom w:w="90" w:type="dxa"/>
              <w:end w:w="100" w:type="dxa"/>
            </w:tcMar>
          </w:tcPr>
          <w:p>
            <w:r>
              <w:t>State tomography; entanglement witnesses; quantum steering; Bell/CHSH tests where the experimental assumptions and goal make them appropriate.</w:t>
            </w:r>
          </w:p>
        </w:tc>
      </w:tr>
    </w:tbl>
    <w:p>
      <w:r>
        <w:t>For the proposed laboratory concept, the most relevant physical categories are light-matter, hybrid, high-dimensional, multipartite, hyperentangled, and cautiously mesoscopic/collective systems. They matter only if an actual quantum hardware layer is introduced.</w:t>
      </w:r>
    </w:p>
    <w:p>
      <w:pPr>
        <w:pStyle w:val="Heading1"/>
        <w:keepNext w:val="1"/>
      </w:pPr>
      <w:r>
        <w:t>6. Formalizing the GSF Relation</w:t>
      </w:r>
    </w:p>
    <w:p>
      <w:r>
        <w:t>A useful starting notation is:</w:t>
      </w:r>
    </w:p>
    <w:p>
      <w:pPr>
        <w:pStyle w:val="Callout"/>
        <w:jc w:val="center"/>
      </w:pPr>
      <w:r>
        <w:t>GRC(S_a, S_b, C, R)</w:t>
      </w:r>
    </w:p>
    <w:p>
      <w:r>
        <w:t>where S_a and S_b are states or state spaces; C is the declared context, environment, or observer frame; and R is the coupling rule or invariant. Coexistence alone is insufficient. The key distinction 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Concept</w:t>
            </w:r>
          </w:p>
        </w:tc>
        <w:tc>
          <w:tcPr>
            <w:tcW w:type="dxa" w:w="3312"/>
            <w:shd w:fill="D9EAF7"/>
          </w:tcPr>
          <w:p>
            <w:r>
              <w:rPr>
                <w:b/>
              </w:rPr>
              <w:t>Meaning</w:t>
            </w:r>
          </w:p>
        </w:tc>
        <w:tc>
          <w:tcPr>
            <w:tcW w:type="dxa" w:w="3312"/>
            <w:shd w:fill="D9EAF7"/>
          </w:tcPr>
          <w:p>
            <w:r>
              <w:rPr>
                <w:b/>
              </w:rPr>
              <w:t>Example</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r>
              <w:t>Coexistence</w:t>
            </w:r>
          </w:p>
        </w:tc>
        <w:tc>
          <w:tcPr>
            <w:tcW w:type="dxa" w:w="3312"/>
          </w:tcPr>
          <w:p>
            <w:r>
              <w:t>States share an admissible superposition or state set.</w:t>
            </w:r>
          </w:p>
        </w:tc>
        <w:tc>
          <w:tcPr>
            <w:tcW w:type="dxa" w:w="3312"/>
          </w:tcPr>
          <w:p>
            <w:r>
              <w:t>{TRUE, FALSE} is permitted.</w:t>
            </w:r>
          </w:p>
        </w:tc>
      </w:tr>
      <w:tr>
        <w:tc>
          <w:tcPr>
            <w:tcW w:type="dxa" w:w="3312"/>
          </w:tcPr>
          <w:p>
            <w:r>
              <w:t>Relational coupling</w:t>
            </w:r>
          </w:p>
        </w:tc>
        <w:tc>
          <w:tcPr>
            <w:tcW w:type="dxa" w:w="3312"/>
          </w:tcPr>
          <w:p>
            <w:r>
              <w:t>States share a declared constraint space.</w:t>
            </w:r>
          </w:p>
        </w:tc>
        <w:tc>
          <w:tcPr>
            <w:tcW w:type="dxa" w:w="3312"/>
          </w:tcPr>
          <w:p>
            <w:r>
              <w:t>If A=TRUE, B must be FALSE under context C.</w:t>
            </w:r>
          </w:p>
        </w:tc>
      </w:tr>
      <w:tr>
        <w:tc>
          <w:tcPr>
            <w:tcW w:type="dxa" w:w="3312"/>
          </w:tcPr>
          <w:p>
            <w:r>
              <w:t>Quantum entanglement</w:t>
            </w:r>
          </w:p>
        </w:tc>
        <w:tc>
          <w:tcPr>
            <w:tcW w:type="dxa" w:w="3312"/>
          </w:tcPr>
          <w:p>
            <w:r>
              <w:t>Physical quantum subsystems share a nonseparable joint state.</w:t>
            </w:r>
          </w:p>
        </w:tc>
        <w:tc>
          <w:tcPr>
            <w:tcW w:type="dxa" w:w="3312"/>
          </w:tcPr>
          <w:p>
            <w:r>
              <w:t>Requires quantum hardware and quantum verification.</w:t>
            </w:r>
          </w:p>
        </w:tc>
      </w:tr>
    </w:tbl>
    <w:p>
      <w:pPr>
        <w:pStyle w:val="ListBullet"/>
      </w:pPr>
      <w:r>
        <w:rPr>
          <w:b/>
        </w:rPr>
        <w:t xml:space="preserve">Functional mapping: </w:t>
      </w:r>
      <w:r>
        <w:t>R: S_a → S_b. A source state selects or constrains a target state.</w:t>
      </w:r>
    </w:p>
    <w:p>
      <w:pPr>
        <w:pStyle w:val="ListBullet"/>
      </w:pPr>
      <w:r>
        <w:rPr>
          <w:b/>
        </w:rPr>
        <w:t xml:space="preserve">Bidirectional relation: </w:t>
      </w:r>
      <w:r>
        <w:t>R: S_a ↔ S_b. Constraints apply in both directions.</w:t>
      </w:r>
    </w:p>
    <w:p>
      <w:pPr>
        <w:pStyle w:val="ListBullet"/>
      </w:pPr>
      <w:r>
        <w:rPr>
          <w:b/>
        </w:rPr>
        <w:t xml:space="preserve">Invariant predicate: </w:t>
      </w:r>
      <w:r>
        <w:t>R(S_a,S_b,C)=TRUE must remain satisfied under declared conditions.</w:t>
      </w:r>
    </w:p>
    <w:p>
      <w:pPr>
        <w:pStyle w:val="ListBullet"/>
      </w:pPr>
      <w:r>
        <w:rPr>
          <w:b/>
        </w:rPr>
        <w:t xml:space="preserve">Transformation-preserving relation: </w:t>
      </w:r>
      <w:r>
        <w:t>R(T_a(S_a),T_b(S_b),C') retains a specified relation to R(S_a,S_b,C).</w:t>
      </w:r>
    </w:p>
    <w:p>
      <w:pPr>
        <w:pStyle w:val="ListBullet"/>
      </w:pPr>
      <w:r>
        <w:rPr>
          <w:b/>
        </w:rPr>
        <w:t xml:space="preserve">Set-valued / branching relation: </w:t>
      </w:r>
      <w:r>
        <w:t>R maps one physical state to an admissible set of virtual branches rather than a single matching state.</w:t>
      </w:r>
    </w:p>
    <w:p>
      <w:r>
        <w:t>One candidate invariance condition for laboratory use is: a declared relation is preserved across an event sequence E when every event that falls inside the test envelope leaves the relation satisfied within specified tolerances. For cyber-physical testing, time and uncertainty should be explicit rather than hidden.</w:t>
      </w:r>
    </w:p>
    <w:p>
      <w:pPr>
        <w:pStyle w:val="Callout"/>
        <w:jc w:val="center"/>
      </w:pPr>
      <w:r>
        <w:t>R(S_a(t), S_b(t + Δt), C_t) = TRUE within declared tolerance ε</w:t>
      </w:r>
    </w:p>
    <w:p>
      <w:r>
        <w:t>The terms Δt and ε are not cosmetic. They prevent ordinary sensor latency, clock drift, measurement noise, or quantization from being mislabeled as a conceptual rupture.</w:t>
      </w:r>
    </w:p>
    <w:p>
      <w:pPr>
        <w:pStyle w:val="Heading1"/>
        <w:keepNext w:val="1"/>
      </w:pPr>
      <w:r>
        <w:t>7. Witnesses: Making GSF Coupling Falsifiable</w:t>
      </w:r>
    </w:p>
    <w:p>
      <w:r>
        <w:t>A recurring criticism from the reviews is that "the relationship felt persistent" is not enough. The laboratory should define witnesses: predetermined observations or interventions that support or refute the claimed relation.</w:t>
      </w:r>
    </w:p>
    <w:p>
      <w:pPr>
        <w:pStyle w:val="ListBullet"/>
      </w:pPr>
      <w:r>
        <w:rPr>
          <w:b/>
        </w:rPr>
        <w:t xml:space="preserve">Intervention witness: </w:t>
      </w:r>
      <w:r>
        <w:t>Act on S_a only. The admissible state set, transition set, or response of S_b must change exactly as R predicts.</w:t>
      </w:r>
    </w:p>
    <w:p>
      <w:pPr>
        <w:pStyle w:val="ListBullet"/>
      </w:pPr>
      <w:r>
        <w:rPr>
          <w:b/>
        </w:rPr>
        <w:t xml:space="preserve">Counterfactual witness: </w:t>
      </w:r>
      <w:r>
        <w:t>R constrains branches that are represented but not currently observed or rendered.</w:t>
      </w:r>
    </w:p>
    <w:p>
      <w:pPr>
        <w:pStyle w:val="ListBullet"/>
      </w:pPr>
      <w:r>
        <w:rPr>
          <w:b/>
        </w:rPr>
        <w:t xml:space="preserve">Mismatch witness: </w:t>
      </w:r>
      <w:r>
        <w:t>P and V may differ in value while the declared relation between their state spaces remains satisfied.</w:t>
      </w:r>
    </w:p>
    <w:p>
      <w:pPr>
        <w:pStyle w:val="ListBullet"/>
      </w:pPr>
      <w:r>
        <w:rPr>
          <w:b/>
        </w:rPr>
        <w:t xml:space="preserve">Severance witness: </w:t>
      </w:r>
      <w:r>
        <w:t>Disable the sensor, actuator, transport, or synchronization channel and observe a predicted degradation or failure signature.</w:t>
      </w:r>
    </w:p>
    <w:p>
      <w:pPr>
        <w:pStyle w:val="ListBullet"/>
      </w:pPr>
      <w:r>
        <w:rPr>
          <w:b/>
        </w:rPr>
        <w:t xml:space="preserve">Observer-divergence witness: </w:t>
      </w:r>
      <w:r>
        <w:t>Two observers or sensor modalities produce conflicting claims; R specifies how contradiction is preserved, ranked, isolated, or resolved.</w:t>
      </w:r>
    </w:p>
    <w:p>
      <w:pPr>
        <w:pStyle w:val="ListBullet"/>
      </w:pPr>
      <w:r>
        <w:rPr>
          <w:b/>
        </w:rPr>
        <w:t xml:space="preserve">Branch-integrity witness: </w:t>
      </w:r>
      <w:r>
        <w:t>One physical state maps to several virtual branches; each branch must remain inside the permitted relation envelope.</w:t>
      </w:r>
    </w:p>
    <w:p>
      <w:pPr>
        <w:pStyle w:val="ListBullet"/>
      </w:pPr>
      <w:r>
        <w:rPr>
          <w:b/>
        </w:rPr>
        <w:t xml:space="preserve">Recovery witness: </w:t>
      </w:r>
      <w:r>
        <w:t>After a controlled fault, the system returns to an admissible relation state within a defined recovery bound.</w:t>
      </w:r>
    </w:p>
    <w:p>
      <w:pPr>
        <w:pStyle w:val="ListBullet"/>
      </w:pPr>
      <w:r>
        <w:rPr>
          <w:b/>
        </w:rPr>
        <w:t xml:space="preserve">Negative-control witness: </w:t>
      </w:r>
      <w:r>
        <w:t>Randomized, shuffled, delayed, or independent pairings should not satisfy the claimed relation at the same rate as the intended pair.</w:t>
      </w:r>
    </w:p>
    <w:p>
      <w:pPr>
        <w:pStyle w:val="Heading1"/>
        <w:keepNext w:val="1"/>
      </w:pPr>
      <w:r>
        <w:t>8. Physical Laboratory ↔ Virtual Laboratory Architecture</w:t>
      </w:r>
    </w:p>
    <w:p>
      <w:r>
        <w:t>This is the most immediately testable portion of the concept. It can be implemented as a cyber-physical experiment without quantum hardware. The laboratory does not need to claim that a simulation itself is quantum-entangled with reality.</w:t>
      </w:r>
    </w:p>
    <w:p>
      <w:pPr>
        <w:jc w:val="center"/>
      </w:pPr>
      <w:r>
        <w:rPr>
          <w:b w:val="0"/>
          <w:sz w:val="21"/>
        </w:rPr>
        <w:t>Physical object/system P</w:t>
      </w:r>
    </w:p>
    <w:p>
      <w:pPr>
        <w:jc w:val="center"/>
      </w:pPr>
      <w:r>
        <w:rPr>
          <w:b w:val="0"/>
          <w:sz w:val="21"/>
        </w:rPr>
        <w:t>↓ sensors / observation channels</w:t>
      </w:r>
    </w:p>
    <w:p>
      <w:pPr>
        <w:jc w:val="center"/>
      </w:pPr>
      <w:r>
        <w:rPr>
          <w:b w:val="0"/>
          <w:sz w:val="21"/>
        </w:rPr>
        <w:t>Digital observation D(P)</w:t>
      </w:r>
    </w:p>
    <w:p>
      <w:pPr>
        <w:jc w:val="center"/>
      </w:pPr>
      <w:r>
        <w:rPr>
          <w:b w:val="0"/>
          <w:sz w:val="21"/>
        </w:rPr>
        <w:t>↓ state interpretation and provenance</w:t>
      </w:r>
    </w:p>
    <w:p>
      <w:pPr>
        <w:jc w:val="center"/>
      </w:pPr>
      <w:r>
        <w:rPr>
          <w:b/>
          <w:sz w:val="21"/>
        </w:rPr>
        <w:t>GSF virtual state space V = {observed, inferred, predicted, historical, counterfactual, contradictory branches}</w:t>
      </w:r>
    </w:p>
    <w:p>
      <w:pPr>
        <w:jc w:val="center"/>
      </w:pPr>
      <w:r>
        <w:rPr>
          <w:b/>
          <w:sz w:val="21"/>
        </w:rPr>
        <w:t>↕ declared relation R, with latency/tolerance/context</w:t>
      </w:r>
    </w:p>
    <w:p>
      <w:pPr>
        <w:jc w:val="center"/>
      </w:pPr>
      <w:r>
        <w:rPr>
          <w:b w:val="0"/>
          <w:sz w:val="21"/>
        </w:rPr>
        <w:t>Control policy / actuator command</w:t>
      </w:r>
    </w:p>
    <w:p>
      <w:pPr>
        <w:jc w:val="center"/>
      </w:pPr>
      <w:r>
        <w:rPr>
          <w:b w:val="0"/>
          <w:sz w:val="21"/>
        </w:rPr>
        <w:t>↓ physical actuation</w:t>
      </w:r>
    </w:p>
    <w:p>
      <w:pPr>
        <w:jc w:val="center"/>
      </w:pPr>
      <w:r>
        <w:rPr>
          <w:b w:val="0"/>
          <w:sz w:val="21"/>
        </w:rPr>
        <w:t>Updated physical state P'</w:t>
      </w:r>
    </w:p>
    <w:p>
      <w:r>
        <w:t>The conceptual advantage over a strict one-to-one twin is that GSF can permit P ≠ V while preserving an admissible relation. The virtual environment may retain several simultaneous interpretations or branches instead of forcing a single canonical value. This should be treated as a hypothesis to test against simpler approaches, not as an assumed advantage.</w:t>
      </w:r>
    </w:p>
    <w:p>
      <w:pPr>
        <w:pStyle w:val="Heading1"/>
        <w:keepNext w:val="1"/>
      </w:pPr>
      <w:r>
        <w:t>9. Proposed Near-Term Laboratory Experiment</w:t>
      </w:r>
    </w:p>
    <w:p>
      <w:r>
        <w:t>A first experiment should be intentionally small. The purpose is to test whether the GSF relation adds measurable value beyond a conventional digital twin, database constraint, rule engine, or state machine.</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rPr>
              <w:t>Element</w:t>
            </w:r>
          </w:p>
        </w:tc>
        <w:tc>
          <w:tcPr>
            <w:tcW w:type="dxa" w:w="4968"/>
            <w:shd w:fill="17365D"/>
          </w:tcPr>
          <w:p>
            <w:r>
              <w:rPr>
                <w:b/>
                <w:color w:val="FFFFFF"/>
              </w:rPr>
              <w:t>Proposed design</w:t>
            </w:r>
          </w:p>
        </w:tc>
      </w:tr>
      <w:tr>
        <w:tc>
          <w:tcPr>
            <w:tcW w:type="dxa" w:w="4968"/>
            <w:tcMar>
              <w:top w:w="90" w:type="dxa"/>
              <w:start w:w="100" w:type="dxa"/>
              <w:bottom w:w="90" w:type="dxa"/>
              <w:end w:w="100" w:type="dxa"/>
            </w:tcMar>
          </w:tcPr>
          <w:p>
            <w:r>
              <w:t>Physical system</w:t>
            </w:r>
          </w:p>
        </w:tc>
        <w:tc>
          <w:tcPr>
            <w:tcW w:type="dxa" w:w="4968"/>
            <w:tcMar>
              <w:top w:w="90" w:type="dxa"/>
              <w:start w:w="100" w:type="dxa"/>
              <w:bottom w:w="90" w:type="dxa"/>
              <w:end w:w="100" w:type="dxa"/>
            </w:tcMar>
          </w:tcPr>
          <w:p>
            <w:r>
              <w:t>A small sensorized enclosure or device with temperature, light level, switch/door state, and one safe actuator.</w:t>
            </w:r>
          </w:p>
        </w:tc>
      </w:tr>
      <w:tr>
        <w:tc>
          <w:tcPr>
            <w:tcW w:type="dxa" w:w="4968"/>
            <w:tcMar>
              <w:top w:w="90" w:type="dxa"/>
              <w:start w:w="100" w:type="dxa"/>
              <w:bottom w:w="90" w:type="dxa"/>
              <w:end w:w="100" w:type="dxa"/>
            </w:tcMar>
          </w:tcPr>
          <w:p>
            <w:r>
              <w:t>Virtual system</w:t>
            </w:r>
          </w:p>
        </w:tc>
        <w:tc>
          <w:tcPr>
            <w:tcW w:type="dxa" w:w="4968"/>
            <w:tcMar>
              <w:top w:w="90" w:type="dxa"/>
              <w:start w:w="100" w:type="dxa"/>
              <w:bottom w:w="90" w:type="dxa"/>
              <w:end w:w="100" w:type="dxa"/>
            </w:tcMar>
          </w:tcPr>
          <w:p>
            <w:r>
              <w:t>A state model capable of retaining observed, inferred, predicted, historical, and counterfactual branches.</w:t>
            </w:r>
          </w:p>
        </w:tc>
      </w:tr>
      <w:tr>
        <w:tc>
          <w:tcPr>
            <w:tcW w:type="dxa" w:w="4968"/>
            <w:tcMar>
              <w:top w:w="90" w:type="dxa"/>
              <w:start w:w="100" w:type="dxa"/>
              <w:bottom w:w="90" w:type="dxa"/>
              <w:end w:w="100" w:type="dxa"/>
            </w:tcMar>
          </w:tcPr>
          <w:p>
            <w:r>
              <w:t>Rule R</w:t>
            </w:r>
          </w:p>
        </w:tc>
        <w:tc>
          <w:tcPr>
            <w:tcW w:type="dxa" w:w="4968"/>
            <w:tcMar>
              <w:top w:w="90" w:type="dxa"/>
              <w:start w:w="100" w:type="dxa"/>
              <w:bottom w:w="90" w:type="dxa"/>
              <w:end w:w="100" w:type="dxa"/>
            </w:tcMar>
          </w:tcPr>
          <w:p>
            <w:r>
              <w:t>A declared mapping from physical observations and context to permitted virtual states and safe actuator actions.</w:t>
            </w:r>
          </w:p>
        </w:tc>
      </w:tr>
      <w:tr>
        <w:tc>
          <w:tcPr>
            <w:tcW w:type="dxa" w:w="4968"/>
            <w:tcMar>
              <w:top w:w="90" w:type="dxa"/>
              <w:start w:w="100" w:type="dxa"/>
              <w:bottom w:w="90" w:type="dxa"/>
              <w:end w:w="100" w:type="dxa"/>
            </w:tcMar>
          </w:tcPr>
          <w:p>
            <w:r>
              <w:t>Perturbations</w:t>
            </w:r>
          </w:p>
        </w:tc>
        <w:tc>
          <w:tcPr>
            <w:tcW w:type="dxa" w:w="4968"/>
            <w:tcMar>
              <w:top w:w="90" w:type="dxa"/>
              <w:start w:w="100" w:type="dxa"/>
              <w:bottom w:w="90" w:type="dxa"/>
              <w:end w:w="100" w:type="dxa"/>
            </w:tcMar>
          </w:tcPr>
          <w:p>
            <w:r>
              <w:t>Latency, packet loss, stale data, false readings, sensor disagreement, temporary sensor removal, clock drift, actuator failure, forked virtual history, and contradictory observer reports.</w:t>
            </w:r>
          </w:p>
        </w:tc>
      </w:tr>
      <w:tr>
        <w:tc>
          <w:tcPr>
            <w:tcW w:type="dxa" w:w="4968"/>
            <w:tcMar>
              <w:top w:w="90" w:type="dxa"/>
              <w:start w:w="100" w:type="dxa"/>
              <w:bottom w:w="90" w:type="dxa"/>
              <w:end w:w="100" w:type="dxa"/>
            </w:tcMar>
          </w:tcPr>
          <w:p>
            <w:r>
              <w:t>Primary measures</w:t>
            </w:r>
          </w:p>
        </w:tc>
        <w:tc>
          <w:tcPr>
            <w:tcW w:type="dxa" w:w="4968"/>
            <w:tcMar>
              <w:top w:w="90" w:type="dxa"/>
              <w:start w:w="100" w:type="dxa"/>
              <w:bottom w:w="90" w:type="dxa"/>
              <w:end w:w="100" w:type="dxa"/>
            </w:tcMar>
          </w:tcPr>
          <w:p>
            <w:r>
              <w:t>Constraint-violation rate; detection latency; relation survival rate; branch consistency; divergence magnitude; recovery time; false-positive and false-negative rates.</w:t>
            </w:r>
          </w:p>
        </w:tc>
      </w:tr>
      <w:tr>
        <w:tc>
          <w:tcPr>
            <w:tcW w:type="dxa" w:w="4968"/>
            <w:tcMar>
              <w:top w:w="90" w:type="dxa"/>
              <w:start w:w="100" w:type="dxa"/>
              <w:bottom w:w="90" w:type="dxa"/>
              <w:end w:w="100" w:type="dxa"/>
            </w:tcMar>
          </w:tcPr>
          <w:p>
            <w:r>
              <w:t>Controls</w:t>
            </w:r>
          </w:p>
        </w:tc>
        <w:tc>
          <w:tcPr>
            <w:tcW w:type="dxa" w:w="4968"/>
            <w:tcMar>
              <w:top w:w="90" w:type="dxa"/>
              <w:start w:w="100" w:type="dxa"/>
              <w:bottom w:w="90" w:type="dxa"/>
              <w:end w:w="100" w:type="dxa"/>
            </w:tcMar>
          </w:tcPr>
          <w:p>
            <w:r>
              <w:t>Conventional digital twin; shuffled mapping; delayed mapping; independent uncoupled model; simpler rule-engine/state-machine implementation.</w:t>
            </w:r>
          </w:p>
        </w:tc>
      </w:tr>
      <w:tr>
        <w:tc>
          <w:tcPr>
            <w:tcW w:type="dxa" w:w="4968"/>
            <w:tcMar>
              <w:top w:w="90" w:type="dxa"/>
              <w:start w:w="100" w:type="dxa"/>
              <w:bottom w:w="90" w:type="dxa"/>
              <w:end w:w="100" w:type="dxa"/>
            </w:tcMar>
          </w:tcPr>
          <w:p>
            <w:r>
              <w:t>Success criterion</w:t>
            </w:r>
          </w:p>
        </w:tc>
        <w:tc>
          <w:tcPr>
            <w:tcW w:type="dxa" w:w="4968"/>
            <w:tcMar>
              <w:top w:w="90" w:type="dxa"/>
              <w:start w:w="100" w:type="dxa"/>
              <w:bottom w:w="90" w:type="dxa"/>
              <w:end w:w="100" w:type="dxa"/>
            </w:tcMar>
          </w:tcPr>
          <w:p>
            <w:r>
              <w:t>GSF must detect, explain, predict, or safely manage a declared class of divergence better than the controls under preregistered metrics.</w:t>
            </w:r>
          </w:p>
        </w:tc>
      </w:tr>
      <w:tr>
        <w:tc>
          <w:tcPr>
            <w:tcW w:type="dxa" w:w="4968"/>
            <w:tcMar>
              <w:top w:w="90" w:type="dxa"/>
              <w:start w:w="100" w:type="dxa"/>
              <w:bottom w:w="90" w:type="dxa"/>
              <w:end w:w="100" w:type="dxa"/>
            </w:tcMar>
          </w:tcPr>
          <w:p>
            <w:r>
              <w:t>Failure criterion</w:t>
            </w:r>
          </w:p>
        </w:tc>
        <w:tc>
          <w:tcPr>
            <w:tcW w:type="dxa" w:w="4968"/>
            <w:tcMar>
              <w:top w:w="90" w:type="dxa"/>
              <w:start w:w="100" w:type="dxa"/>
              <w:bottom w:w="90" w:type="dxa"/>
              <w:end w:w="100" w:type="dxa"/>
            </w:tcMar>
          </w:tcPr>
          <w:p>
            <w:r>
              <w:t>If GSF adds no discriminating performance, interpretability, safety, or representational capability beyond simpler models, the added construct should not be claimed as experimentally necessary.</w:t>
            </w:r>
          </w:p>
        </w:tc>
      </w:tr>
    </w:tbl>
    <w:p>
      <w:pPr>
        <w:pStyle w:val="Heading1"/>
        <w:keepNext w:val="1"/>
      </w:pPr>
      <w:r>
        <w:t>10. Failure Modes and Adversarial Test Conditions</w:t>
      </w:r>
    </w:p>
    <w:p>
      <w:pPr>
        <w:pStyle w:val="ListBullet"/>
      </w:pPr>
      <w:r>
        <w:rPr>
          <w:b/>
        </w:rPr>
        <w:t xml:space="preserve">Latency ambiguity: </w:t>
      </w:r>
      <w:r>
        <w:t>R appears broken only because P and V are evaluated at different timestamps.</w:t>
      </w:r>
    </w:p>
    <w:p>
      <w:pPr>
        <w:pStyle w:val="ListBullet"/>
      </w:pPr>
      <w:r>
        <w:rPr>
          <w:b/>
        </w:rPr>
        <w:t xml:space="preserve">Hidden observer selection: </w:t>
      </w:r>
      <w:r>
        <w:t>Only compatible events are logged, making invariance appear stronger than it is.</w:t>
      </w:r>
    </w:p>
    <w:p>
      <w:pPr>
        <w:pStyle w:val="ListBullet"/>
      </w:pPr>
      <w:r>
        <w:rPr>
          <w:b/>
        </w:rPr>
        <w:t xml:space="preserve">Rule tautology: </w:t>
      </w:r>
      <w:r>
        <w:t>R is defined so loosely that every possible outcome satisfies it.</w:t>
      </w:r>
    </w:p>
    <w:p>
      <w:pPr>
        <w:pStyle w:val="ListBullet"/>
      </w:pPr>
      <w:r>
        <w:rPr>
          <w:b/>
        </w:rPr>
        <w:t xml:space="preserve">Circular control: </w:t>
      </w:r>
      <w:r>
        <w:t>The system forces B to follow A and then treats the forced correlation as evidence of a special relation.</w:t>
      </w:r>
    </w:p>
    <w:p>
      <w:pPr>
        <w:pStyle w:val="ListBullet"/>
      </w:pPr>
      <w:r>
        <w:rPr>
          <w:b/>
        </w:rPr>
        <w:t xml:space="preserve">Representation drift: </w:t>
      </w:r>
      <w:r>
        <w:t>The encoding/ontology changes while the test assumes semantic identity.</w:t>
      </w:r>
    </w:p>
    <w:p>
      <w:pPr>
        <w:pStyle w:val="ListBullet"/>
      </w:pPr>
      <w:r>
        <w:rPr>
          <w:b/>
        </w:rPr>
        <w:t xml:space="preserve">Sensor deception/corruption: </w:t>
      </w:r>
      <w:r>
        <w:t>A false input is treated as a physical-state change rather than an observation failure.</w:t>
      </w:r>
    </w:p>
    <w:p>
      <w:pPr>
        <w:pStyle w:val="ListBullet"/>
      </w:pPr>
      <w:r>
        <w:rPr>
          <w:b/>
        </w:rPr>
        <w:t xml:space="preserve">Branch explosion: </w:t>
      </w:r>
      <w:r>
        <w:t>One-to-many mappings become so permissive that they cease to constrain anything.</w:t>
      </w:r>
    </w:p>
    <w:p>
      <w:pPr>
        <w:pStyle w:val="ListBullet"/>
      </w:pPr>
      <w:r>
        <w:rPr>
          <w:b/>
        </w:rPr>
        <w:t xml:space="preserve">Context leakage: </w:t>
      </w:r>
      <w:r>
        <w:t>R silently depends on undeclared external variables.</w:t>
      </w:r>
    </w:p>
    <w:p>
      <w:pPr>
        <w:pStyle w:val="ListBullet"/>
      </w:pPr>
      <w:r>
        <w:rPr>
          <w:b/>
        </w:rPr>
        <w:t xml:space="preserve">Recovery masking: </w:t>
      </w:r>
      <w:r>
        <w:t>A supervisory system repairs a violation before the experimental layer records it.</w:t>
      </w:r>
    </w:p>
    <w:p>
      <w:pPr>
        <w:pStyle w:val="ListBullet"/>
      </w:pPr>
      <w:r>
        <w:rPr>
          <w:b/>
        </w:rPr>
        <w:t xml:space="preserve">Terminological overclaim: </w:t>
      </w:r>
      <w:r>
        <w:t>Classical coupling results are reported using quantum language without quantum evidence.</w:t>
      </w:r>
    </w:p>
    <w:p>
      <w:pPr>
        <w:pStyle w:val="Heading1"/>
        <w:keepNext w:val="1"/>
      </w:pPr>
      <w:r>
        <w:t>11. Rupture, Decay, Suspension, and Recovery</w:t>
      </w:r>
    </w:p>
    <w:p>
      <w:r>
        <w:t>Gemini raised a useful design question: does a relation fail instantly, or can it degrade? The framework should distinguish at least four states of relational health rather than using only "entangled/not entangled."</w:t>
      </w:r>
    </w:p>
    <w:p>
      <w:pPr>
        <w:pStyle w:val="ListBullet"/>
      </w:pPr>
      <w:r>
        <w:rPr>
          <w:b/>
        </w:rPr>
        <w:t xml:space="preserve">Preserved: </w:t>
      </w:r>
      <w:r>
        <w:t>R satisfies all mandatory predicates within Δt and ε.</w:t>
      </w:r>
    </w:p>
    <w:p>
      <w:pPr>
        <w:pStyle w:val="ListBullet"/>
      </w:pPr>
      <w:r>
        <w:rPr>
          <w:b/>
        </w:rPr>
        <w:t xml:space="preserve">Degraded: </w:t>
      </w:r>
      <w:r>
        <w:t>R remains partially satisfied but one or more quality metrics fall below nominal bounds.</w:t>
      </w:r>
    </w:p>
    <w:p>
      <w:pPr>
        <w:pStyle w:val="ListBullet"/>
      </w:pPr>
      <w:r>
        <w:rPr>
          <w:b/>
        </w:rPr>
        <w:t xml:space="preserve">Suspended / indeterminate: </w:t>
      </w:r>
      <w:r>
        <w:t>The laboratory lacks sufficient observation to determine whether R holds, for example during sensor outage.</w:t>
      </w:r>
    </w:p>
    <w:p>
      <w:pPr>
        <w:pStyle w:val="ListBullet"/>
      </w:pPr>
      <w:r>
        <w:rPr>
          <w:b/>
        </w:rPr>
        <w:t xml:space="preserve">Ruptured: </w:t>
      </w:r>
      <w:r>
        <w:t>A falsifying observation violates a mandatory predicate beyond tolerance.</w:t>
      </w:r>
    </w:p>
    <w:p>
      <w:pPr>
        <w:pStyle w:val="ListBullet"/>
      </w:pPr>
      <w:r>
        <w:rPr>
          <w:b/>
        </w:rPr>
        <w:t xml:space="preserve">Recovered: </w:t>
      </w:r>
      <w:r>
        <w:t>A previously degraded, suspended, or ruptured relation returns to an admissible state according to a declared recovery rule.</w:t>
      </w:r>
    </w:p>
    <w:p>
      <w:r>
        <w:t>This avoids treating missing information as contradiction and avoids importing quantum "collapse" language into a classical or generalized state framework unless collapse is explicitly defined as a GSF operation.</w:t>
      </w:r>
    </w:p>
    <w:p>
      <w:pPr>
        <w:pStyle w:val="Heading1"/>
        <w:keepNext w:val="1"/>
      </w:pPr>
      <w:r>
        <w:t>12. Observer and Context Model</w:t>
      </w:r>
    </w:p>
    <w:p>
      <w:r>
        <w:t>Because GSF can preserve contradictory or observer-relative states, the relation should be indexed to an explicit context rather than assumed universal. C may include observer identity, sensor modality, temporal window, trust/provenance class, permissions, coordinate frame, or simulation branch. The laboratory should ask whether R is global, observer-relative, branch-relative, or context-switching.</w:t>
      </w:r>
    </w:p>
    <w:p>
      <w:r>
        <w:t>A key design choice is whether R is passive (a predicate checked after events), active (a control mechanism that constrains transitions), or mixed. This matters scientifically: an active enforcement rule can create the correlation it later measures. The experiment must distinguish measured persistence from persistence imposed by the controller.</w:t>
      </w:r>
    </w:p>
    <w:p>
      <w:pPr>
        <w:pStyle w:val="Heading1"/>
        <w:keepNext w:val="1"/>
      </w:pPr>
      <w:r>
        <w:t>13. One-to-Many, Many-to-Many, and Environment-Level Coupling</w:t>
      </w:r>
    </w:p>
    <w:p>
      <w:r>
        <w:t>GSF need not require one physical state to equal one virtual state. A physical state P1 could relate to several admissible virtual branches V1A...V1D. Likewise, several physical subsystems can jointly constrain several virtual subsystems. This can be called multipartite GSF coupling internally, but it should not be compared to GHZ, W, or other quantum multipartite states unless real quantum carriers are involved.</w:t>
      </w:r>
    </w:p>
    <w:p>
      <w:r>
        <w:t>Environment-level testing can elevate the relation from object pairs to two laboratories: L_P (physical) and L_V (virtual). The experimental target becomes preservation of a declared relational structure across the environments rather than equality of instantaneous state. This is potentially valuable for simulations that intentionally preserve uncertainty, contradiction, counterfactual branches, or alternative observer models.</w:t>
      </w:r>
    </w:p>
    <w:p>
      <w:pPr>
        <w:pStyle w:val="Heading1"/>
        <w:keepNext w:val="1"/>
      </w:pPr>
      <w:r>
        <w:t>14. Optional Future Quantum Layer</w:t>
      </w:r>
    </w:p>
    <w:p>
      <w:r>
        <w:t>If quantum hardware is later added, the architecture should preserve a hard boundary between model-level and physics-level claims. A practical first hybrid experiment would use a GSF controller to select or parameterize a quantum-state preparation procedure, entangle two physical quantum subsystems, verify that entanglement independently, and return the resulting classical measurement record to GSF.</w:t>
      </w:r>
    </w:p>
    <w:p>
      <w:pPr>
        <w:pStyle w:val="ListNumber"/>
      </w:pPr>
      <w:r>
        <w:t>A GSF virtual state or rule selects the experiment parameters.</w:t>
      </w:r>
    </w:p>
    <w:p>
      <w:pPr>
        <w:pStyle w:val="ListNumber"/>
      </w:pPr>
      <w:r>
        <w:t>Quantum hardware prepares coherent physical states.</w:t>
      </w:r>
    </w:p>
    <w:p>
      <w:pPr>
        <w:pStyle w:val="ListNumber"/>
      </w:pPr>
      <w:r>
        <w:t>A physical interaction generates candidate E_Q between the quantum carriers.</w:t>
      </w:r>
    </w:p>
    <w:p>
      <w:pPr>
        <w:pStyle w:val="ListNumber"/>
      </w:pPr>
      <w:r>
        <w:t>Quantum verification is performed using an appropriate protocol.</w:t>
      </w:r>
    </w:p>
    <w:p>
      <w:pPr>
        <w:pStyle w:val="ListNumber"/>
      </w:pPr>
      <w:r>
        <w:t>Measurement produces classical records.</w:t>
      </w:r>
    </w:p>
    <w:p>
      <w:pPr>
        <w:pStyle w:val="ListNumber"/>
      </w:pPr>
      <w:r>
        <w:t>GSF ingests the records and evaluates its own relational rule independently.</w:t>
      </w:r>
    </w:p>
    <w:p>
      <w:r>
        <w:t>Minimum conditions before using the label E_Q in a laboratory record: coherent quantum subsystems are identified; a joint quantum model is specified; a suitable verification method is chosen; decoherence/loss assumptions are documented; and the classical measurement boundary is explicit.</w:t>
      </w:r>
    </w:p>
    <w:p>
      <w:pPr>
        <w:pStyle w:val="Heading1"/>
        <w:keepNext w:val="1"/>
      </w:pPr>
      <w:r>
        <w:t>15. Cross-Review Synthesis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rPr>
              <w:t>Reviewer</w:t>
            </w:r>
          </w:p>
        </w:tc>
        <w:tc>
          <w:tcPr>
            <w:tcW w:type="dxa" w:w="2484"/>
            <w:shd w:fill="17365D"/>
          </w:tcPr>
          <w:p>
            <w:r>
              <w:rPr>
                <w:b/>
                <w:color w:val="FFFFFF"/>
              </w:rPr>
              <w:t>Primary contribution</w:t>
            </w:r>
          </w:p>
        </w:tc>
        <w:tc>
          <w:tcPr>
            <w:tcW w:type="dxa" w:w="2484"/>
            <w:shd w:fill="17365D"/>
          </w:tcPr>
          <w:p>
            <w:r>
              <w:rPr>
                <w:b/>
                <w:color w:val="FFFFFF"/>
              </w:rPr>
              <w:t>Caution / disagreement</w:t>
            </w:r>
          </w:p>
        </w:tc>
        <w:tc>
          <w:tcPr>
            <w:tcW w:type="dxa" w:w="2484"/>
            <w:shd w:fill="17365D"/>
          </w:tcPr>
          <w:p>
            <w:r>
              <w:rPr>
                <w:b/>
                <w:color w:val="FFFFFF"/>
              </w:rPr>
              <w:t>Impact on this memorandum</w:t>
            </w:r>
          </w:p>
        </w:tc>
      </w:tr>
      <w:tr>
        <w:tc>
          <w:tcPr>
            <w:tcW w:type="dxa" w:w="2484"/>
            <w:tcMar>
              <w:top w:w="80" w:type="dxa"/>
              <w:start w:w="80" w:type="dxa"/>
              <w:bottom w:w="80" w:type="dxa"/>
              <w:end w:w="80" w:type="dxa"/>
            </w:tcMar>
          </w:tcPr>
          <w:p>
            <w:r>
              <w:t>Grok AI</w:t>
            </w:r>
          </w:p>
        </w:tc>
        <w:tc>
          <w:tcPr>
            <w:tcW w:type="dxa" w:w="2484"/>
            <w:tcMar>
              <w:top w:w="80" w:type="dxa"/>
              <w:start w:w="80" w:type="dxa"/>
              <w:bottom w:w="80" w:type="dxa"/>
              <w:end w:w="80" w:type="dxa"/>
            </w:tcMar>
          </w:tcPr>
          <w:p>
            <w:r>
              <w:t>Strong distinction among generalized, cross-environment, quantum, and hybrid layers; emphasizes witnesses and adversarial tests.</w:t>
            </w:r>
          </w:p>
        </w:tc>
        <w:tc>
          <w:tcPr>
            <w:tcW w:type="dxa" w:w="2484"/>
            <w:tcMar>
              <w:top w:w="80" w:type="dxa"/>
              <w:start w:w="80" w:type="dxa"/>
              <w:bottom w:w="80" w:type="dxa"/>
              <w:end w:w="80" w:type="dxa"/>
            </w:tcMar>
          </w:tcPr>
          <w:p>
            <w:r>
              <w:t>Warns that the word entanglement can invite false quantum claims.</w:t>
            </w:r>
          </w:p>
        </w:tc>
        <w:tc>
          <w:tcPr>
            <w:tcW w:type="dxa" w:w="2484"/>
            <w:tcMar>
              <w:top w:w="80" w:type="dxa"/>
              <w:start w:w="80" w:type="dxa"/>
              <w:bottom w:w="80" w:type="dxa"/>
              <w:end w:w="80" w:type="dxa"/>
            </w:tcMar>
          </w:tcPr>
          <w:p>
            <w:r>
              <w:t>Adopted witness framework, failure localization, and vocabulary safeguard.</w:t>
            </w:r>
          </w:p>
        </w:tc>
      </w:tr>
      <w:tr>
        <w:tc>
          <w:tcPr>
            <w:tcW w:type="dxa" w:w="2484"/>
            <w:tcMar>
              <w:top w:w="80" w:type="dxa"/>
              <w:start w:w="80" w:type="dxa"/>
              <w:bottom w:w="80" w:type="dxa"/>
              <w:end w:w="80" w:type="dxa"/>
            </w:tcMar>
          </w:tcPr>
          <w:p>
            <w:r>
              <w:t>Perplexity AI</w:t>
            </w:r>
          </w:p>
        </w:tc>
        <w:tc>
          <w:tcPr>
            <w:tcW w:type="dxa" w:w="2484"/>
            <w:tcMar>
              <w:top w:w="80" w:type="dxa"/>
              <w:start w:w="80" w:type="dxa"/>
              <w:bottom w:w="80" w:type="dxa"/>
              <w:end w:w="80" w:type="dxa"/>
            </w:tcMar>
          </w:tcPr>
          <w:p>
            <w:r>
              <w:t>Reorganized taxonomy by axis; emphasizes digital twin/cyber-physical baseline and operational definitions.</w:t>
            </w:r>
          </w:p>
        </w:tc>
        <w:tc>
          <w:tcPr>
            <w:tcW w:type="dxa" w:w="2484"/>
            <w:tcMar>
              <w:top w:w="80" w:type="dxa"/>
              <w:start w:w="80" w:type="dxa"/>
              <w:bottom w:w="80" w:type="dxa"/>
              <w:end w:w="80" w:type="dxa"/>
            </w:tcMar>
          </w:tcPr>
          <w:p>
            <w:r>
              <w:t>Requires GSF to outperform simpler models to establish scientific value.</w:t>
            </w:r>
          </w:p>
        </w:tc>
        <w:tc>
          <w:tcPr>
            <w:tcW w:type="dxa" w:w="2484"/>
            <w:tcMar>
              <w:top w:w="80" w:type="dxa"/>
              <w:start w:w="80" w:type="dxa"/>
              <w:bottom w:w="80" w:type="dxa"/>
              <w:end w:w="80" w:type="dxa"/>
            </w:tcMar>
          </w:tcPr>
          <w:p>
            <w:r>
              <w:t>Adopted baseline/control comparison and measurable performance criteria.</w:t>
            </w:r>
          </w:p>
        </w:tc>
      </w:tr>
      <w:tr>
        <w:tc>
          <w:tcPr>
            <w:tcW w:type="dxa" w:w="2484"/>
            <w:tcMar>
              <w:top w:w="80" w:type="dxa"/>
              <w:start w:w="80" w:type="dxa"/>
              <w:bottom w:w="80" w:type="dxa"/>
              <w:end w:w="80" w:type="dxa"/>
            </w:tcMar>
          </w:tcPr>
          <w:p>
            <w:r>
              <w:t>Microsoft Copilot</w:t>
            </w:r>
          </w:p>
        </w:tc>
        <w:tc>
          <w:tcPr>
            <w:tcW w:type="dxa" w:w="2484"/>
            <w:tcMar>
              <w:top w:w="80" w:type="dxa"/>
              <w:start w:w="80" w:type="dxa"/>
              <w:bottom w:w="80" w:type="dxa"/>
              <w:end w:w="80" w:type="dxa"/>
            </w:tcMar>
          </w:tcPr>
          <w:p>
            <w:r>
              <w:t>Supports formalization of R, invariance conditions, and cross-environment relation architecture.</w:t>
            </w:r>
          </w:p>
        </w:tc>
        <w:tc>
          <w:tcPr>
            <w:tcW w:type="dxa" w:w="2484"/>
            <w:tcMar>
              <w:top w:w="80" w:type="dxa"/>
              <w:start w:w="80" w:type="dxa"/>
              <w:bottom w:w="80" w:type="dxa"/>
              <w:end w:w="80" w:type="dxa"/>
            </w:tcMar>
          </w:tcPr>
          <w:p>
            <w:r>
              <w:t>More affirmative about novelty/publishability than other reviewers; those claims are not treated as established.</w:t>
            </w:r>
          </w:p>
        </w:tc>
        <w:tc>
          <w:tcPr>
            <w:tcW w:type="dxa" w:w="2484"/>
            <w:tcMar>
              <w:top w:w="80" w:type="dxa"/>
              <w:start w:w="80" w:type="dxa"/>
              <w:bottom w:w="80" w:type="dxa"/>
              <w:end w:w="80" w:type="dxa"/>
            </w:tcMar>
          </w:tcPr>
          <w:p>
            <w:r>
              <w:t>Adopted mathematical forms while withholding claims of novelty or publication readiness.</w:t>
            </w:r>
          </w:p>
        </w:tc>
      </w:tr>
      <w:tr>
        <w:tc>
          <w:tcPr>
            <w:tcW w:type="dxa" w:w="2484"/>
            <w:tcMar>
              <w:top w:w="80" w:type="dxa"/>
              <w:start w:w="80" w:type="dxa"/>
              <w:bottom w:w="80" w:type="dxa"/>
              <w:end w:w="80" w:type="dxa"/>
            </w:tcMar>
          </w:tcPr>
          <w:p>
            <w:r>
              <w:t>Google Gemini</w:t>
            </w:r>
          </w:p>
        </w:tc>
        <w:tc>
          <w:tcPr>
            <w:tcW w:type="dxa" w:w="2484"/>
            <w:tcMar>
              <w:top w:w="80" w:type="dxa"/>
              <w:start w:w="80" w:type="dxa"/>
              <w:bottom w:w="80" w:type="dxa"/>
              <w:end w:w="80" w:type="dxa"/>
            </w:tcMar>
          </w:tcPr>
          <w:p>
            <w:r>
              <w:t>Highlights latency Δt, rupture vs decay, and observer dependence.</w:t>
            </w:r>
          </w:p>
        </w:tc>
        <w:tc>
          <w:tcPr>
            <w:tcW w:type="dxa" w:w="2484"/>
            <w:tcMar>
              <w:top w:w="80" w:type="dxa"/>
              <w:start w:w="80" w:type="dxa"/>
              <w:bottom w:w="80" w:type="dxa"/>
              <w:end w:w="80" w:type="dxa"/>
            </w:tcMar>
          </w:tcPr>
          <w:p>
            <w:r>
              <w:t>Calls architecture highly scalable; this memorandum treats that as a hypothesis.</w:t>
            </w:r>
          </w:p>
        </w:tc>
        <w:tc>
          <w:tcPr>
            <w:tcW w:type="dxa" w:w="2484"/>
            <w:tcMar>
              <w:top w:w="80" w:type="dxa"/>
              <w:start w:w="80" w:type="dxa"/>
              <w:bottom w:w="80" w:type="dxa"/>
              <w:end w:w="80" w:type="dxa"/>
            </w:tcMar>
          </w:tcPr>
          <w:p>
            <w:r>
              <w:t>Adopted timing tolerance, health states, and observer/context questions.</w:t>
            </w:r>
          </w:p>
        </w:tc>
      </w:tr>
      <w:tr>
        <w:tc>
          <w:tcPr>
            <w:tcW w:type="dxa" w:w="2484"/>
            <w:tcMar>
              <w:top w:w="80" w:type="dxa"/>
              <w:start w:w="80" w:type="dxa"/>
              <w:bottom w:w="80" w:type="dxa"/>
              <w:end w:w="80" w:type="dxa"/>
            </w:tcMar>
          </w:tcPr>
          <w:p>
            <w:r>
              <w:t>Claude AI</w:t>
            </w:r>
          </w:p>
        </w:tc>
        <w:tc>
          <w:tcPr>
            <w:tcW w:type="dxa" w:w="2484"/>
            <w:tcMar>
              <w:top w:w="80" w:type="dxa"/>
              <w:start w:w="80" w:type="dxa"/>
              <w:bottom w:w="80" w:type="dxa"/>
              <w:end w:w="80" w:type="dxa"/>
            </w:tcMar>
          </w:tcPr>
          <w:p>
            <w:r>
              <w:t>Strongest terminology critique; reframes GSF idea as coupling invariance/relational persistence.</w:t>
            </w:r>
          </w:p>
        </w:tc>
        <w:tc>
          <w:tcPr>
            <w:tcW w:type="dxa" w:w="2484"/>
            <w:tcMar>
              <w:top w:w="80" w:type="dxa"/>
              <w:start w:w="80" w:type="dxa"/>
              <w:bottom w:w="80" w:type="dxa"/>
              <w:end w:w="80" w:type="dxa"/>
            </w:tcMar>
          </w:tcPr>
          <w:p>
            <w:r>
              <w:t>Argues "entanglement" may borrow unjustified authority from quantum mechanics.</w:t>
            </w:r>
          </w:p>
        </w:tc>
        <w:tc>
          <w:tcPr>
            <w:tcW w:type="dxa" w:w="2484"/>
            <w:tcMar>
              <w:top w:w="80" w:type="dxa"/>
              <w:start w:w="80" w:type="dxa"/>
              <w:bottom w:w="80" w:type="dxa"/>
              <w:end w:w="80" w:type="dxa"/>
            </w:tcMar>
          </w:tcPr>
          <w:p>
            <w:r>
              <w:t>This critique becomes the central naming and evidence safeguard.</w:t>
            </w:r>
          </w:p>
        </w:tc>
      </w:tr>
      <w:tr>
        <w:tc>
          <w:tcPr>
            <w:tcW w:type="dxa" w:w="2484"/>
            <w:tcMar>
              <w:top w:w="80" w:type="dxa"/>
              <w:start w:w="80" w:type="dxa"/>
              <w:bottom w:w="80" w:type="dxa"/>
              <w:end w:w="80" w:type="dxa"/>
            </w:tcMar>
          </w:tcPr>
          <w:p>
            <w:r>
              <w:t>ChatGPT prior draft</w:t>
            </w:r>
          </w:p>
        </w:tc>
        <w:tc>
          <w:tcPr>
            <w:tcW w:type="dxa" w:w="2484"/>
            <w:tcMar>
              <w:top w:w="80" w:type="dxa"/>
              <w:start w:w="80" w:type="dxa"/>
              <w:bottom w:w="80" w:type="dxa"/>
              <w:end w:w="80" w:type="dxa"/>
            </w:tcMar>
          </w:tcPr>
          <w:p>
            <w:r>
              <w:t>Proposed E_G/E_CV/E_Q/E_H hierarchy and physical↔virtual tests.</w:t>
            </w:r>
          </w:p>
        </w:tc>
        <w:tc>
          <w:tcPr>
            <w:tcW w:type="dxa" w:w="2484"/>
            <w:tcMar>
              <w:top w:w="80" w:type="dxa"/>
              <w:start w:w="80" w:type="dxa"/>
              <w:bottom w:w="80" w:type="dxa"/>
              <w:end w:w="80" w:type="dxa"/>
            </w:tcMar>
          </w:tcPr>
          <w:p>
            <w:r>
              <w:t>Needed stricter terminology and stronger falsification criteria.</w:t>
            </w:r>
          </w:p>
        </w:tc>
        <w:tc>
          <w:tcPr>
            <w:tcW w:type="dxa" w:w="2484"/>
            <w:tcMar>
              <w:top w:w="80" w:type="dxa"/>
              <w:start w:w="80" w:type="dxa"/>
              <w:bottom w:w="80" w:type="dxa"/>
              <w:end w:w="80" w:type="dxa"/>
            </w:tcMar>
          </w:tcPr>
          <w:p>
            <w:r>
              <w:t>Retained the layered architecture, revised nomenclature, and expanded test design.</w:t>
            </w:r>
          </w:p>
        </w:tc>
      </w:tr>
    </w:tbl>
    <w:p>
      <w:pPr>
        <w:pStyle w:val="Heading1"/>
        <w:keepNext w:val="1"/>
      </w:pPr>
      <w:r>
        <w:t>16. Points of Strong Agreement Across the Reviews</w:t>
      </w:r>
    </w:p>
    <w:p>
      <w:pPr>
        <w:pStyle w:val="ListBullet"/>
      </w:pPr>
      <w:r>
        <w:t>Classical digital objects are not literally quantum-entangled merely by being linked to physical objects.</w:t>
      </w:r>
    </w:p>
    <w:p>
      <w:pPr>
        <w:pStyle w:val="ListBullet"/>
      </w:pPr>
      <w:r>
        <w:t>A quantum encoding or preparation layer can cause quantum carriers associated with a digital process to participate in real E_Q.</w:t>
      </w:r>
    </w:p>
    <w:p>
      <w:pPr>
        <w:pStyle w:val="ListBullet"/>
      </w:pPr>
      <w:r>
        <w:t>GSF coexistence and GSF relational coupling are different concepts; coupling requires a rule or invariant.</w:t>
      </w:r>
    </w:p>
    <w:p>
      <w:pPr>
        <w:pStyle w:val="ListBullet"/>
      </w:pPr>
      <w:r>
        <w:t>Physical↔virtual testing is feasible using ordinary cyber-physical infrastructure today.</w:t>
      </w:r>
    </w:p>
    <w:p>
      <w:pPr>
        <w:pStyle w:val="ListBullet"/>
      </w:pPr>
      <w:r>
        <w:t>R must be formalized and tested under perturbation, not merely described.</w:t>
      </w:r>
    </w:p>
    <w:p>
      <w:pPr>
        <w:pStyle w:val="ListBullet"/>
      </w:pPr>
      <w:r>
        <w:t>Quantum claims require quantum verification; classical correlation is insufficient.</w:t>
      </w:r>
    </w:p>
    <w:p>
      <w:pPr>
        <w:pStyle w:val="ListBullet"/>
      </w:pPr>
      <w:r>
        <w:t>Latency, observer context, representation mismatch, and channel failure must be modeled explicitly.</w:t>
      </w:r>
    </w:p>
    <w:p>
      <w:pPr>
        <w:pStyle w:val="ListBullet"/>
      </w:pPr>
      <w:r>
        <w:t>The GSF layer should not be allowed to imply E_Q automatically.</w:t>
      </w:r>
    </w:p>
    <w:p>
      <w:pPr>
        <w:pStyle w:val="Heading1"/>
        <w:keepNext w:val="1"/>
      </w:pPr>
      <w:r>
        <w:t>17. Questions Requiring Future Decisions</w:t>
      </w:r>
    </w:p>
    <w:p>
      <w:pPr>
        <w:pStyle w:val="ListNumber"/>
      </w:pPr>
      <w:r>
        <w:t>What is the official project term: GSF relational coupling, invariant constraint, state binding, or a qualified "GSF entanglement" label?</w:t>
      </w:r>
    </w:p>
    <w:p>
      <w:pPr>
        <w:pStyle w:val="ListNumber"/>
      </w:pPr>
      <w:r>
        <w:t>Is R descriptive, prescriptive, or both? Does it observe a relationship, enforce it, or perform separate observation and enforcement roles?</w:t>
      </w:r>
    </w:p>
    <w:p>
      <w:pPr>
        <w:pStyle w:val="ListNumber"/>
      </w:pPr>
      <w:r>
        <w:t>What mathematical type is R for the first implementation: function, relation, predicate, constraint graph, transition relation, or set-valued mapping?</w:t>
      </w:r>
    </w:p>
    <w:p>
      <w:pPr>
        <w:pStyle w:val="ListNumber"/>
      </w:pPr>
      <w:r>
        <w:t>What constitutes an admissible context C, and can two contexts maintain contradictory but valid relations simultaneously?</w:t>
      </w:r>
    </w:p>
    <w:p>
      <w:pPr>
        <w:pStyle w:val="ListNumber"/>
      </w:pPr>
      <w:r>
        <w:t>What are the standard tolerance variables for time (Δt), measurement error (ε), confidence, provenance, and missing data?</w:t>
      </w:r>
    </w:p>
    <w:p>
      <w:pPr>
        <w:pStyle w:val="ListNumber"/>
      </w:pPr>
      <w:r>
        <w:t>What exact observation constitutes rupture? Which conditions produce degradation or suspension instead?</w:t>
      </w:r>
    </w:p>
    <w:p>
      <w:pPr>
        <w:pStyle w:val="ListNumber"/>
      </w:pPr>
      <w:r>
        <w:t>How are hidden, unobserved, deleted, or counterfactual virtual branches represented and audited?</w:t>
      </w:r>
    </w:p>
    <w:p>
      <w:pPr>
        <w:pStyle w:val="ListNumber"/>
      </w:pPr>
      <w:r>
        <w:t>How do we prevent branch permissiveness from making R tautological or unfalsifiable?</w:t>
      </w:r>
    </w:p>
    <w:p>
      <w:pPr>
        <w:pStyle w:val="ListNumber"/>
      </w:pPr>
      <w:r>
        <w:t>What baseline architecture will be used for comparison: ordinary digital twin, state machine, knowledge graph, rule engine, or several controls?</w:t>
      </w:r>
    </w:p>
    <w:p>
      <w:pPr>
        <w:pStyle w:val="ListNumber"/>
      </w:pPr>
      <w:r>
        <w:t>What measurable advantage must GSF demonstrate before the laboratory considers the relational construct useful?</w:t>
      </w:r>
    </w:p>
    <w:p>
      <w:pPr>
        <w:pStyle w:val="ListNumber"/>
      </w:pPr>
      <w:r>
        <w:t>How will the laboratory separate externally measured correlation from correlation created by active enforcement?</w:t>
      </w:r>
    </w:p>
    <w:p>
      <w:pPr>
        <w:pStyle w:val="ListNumber"/>
      </w:pPr>
      <w:r>
        <w:t>What provenance and audit record must accompany every state, transition, observer report, and intervention?</w:t>
      </w:r>
    </w:p>
    <w:p>
      <w:pPr>
        <w:pStyle w:val="ListNumber"/>
      </w:pPr>
      <w:r>
        <w:t>If quantum hardware is ever introduced, which physical platform is practical for the first E_Q demonstration, and who is responsible for selecting the verification protocol?</w:t>
      </w:r>
    </w:p>
    <w:p>
      <w:pPr>
        <w:pStyle w:val="ListNumber"/>
      </w:pPr>
      <w:r>
        <w:t>Should quantum-entanglement taxonomy remain in the main specification or move to a scientific-background appendix?</w:t>
      </w:r>
    </w:p>
    <w:p>
      <w:pPr>
        <w:pStyle w:val="ListNumber"/>
      </w:pPr>
      <w:r>
        <w:t>What governance status should this document have: research note, candidate doctrine, laboratory design record, or experimental proposal?</w:t>
      </w:r>
    </w:p>
    <w:p>
      <w:pPr>
        <w:pStyle w:val="Heading1"/>
        <w:keepNext w:val="1"/>
      </w:pPr>
      <w:r>
        <w:t>18. Next-Step Recommendations</w:t>
      </w:r>
    </w:p>
    <w:p>
      <w:pPr>
        <w:pStyle w:val="ListNumber"/>
      </w:pPr>
      <w:r>
        <w:rPr>
          <w:b/>
        </w:rPr>
        <w:t xml:space="preserve">Preserve, but do not canonize yet: </w:t>
      </w:r>
      <w:r>
        <w:t>Retain this memorandum as a development reference. Mark the concept provisional until R, witness definitions, and falsification conditions are approved.</w:t>
      </w:r>
    </w:p>
    <w:p>
      <w:pPr>
        <w:pStyle w:val="ListNumber"/>
      </w:pPr>
      <w:r>
        <w:rPr>
          <w:b/>
        </w:rPr>
        <w:t xml:space="preserve">Adopt the terminology boundary now: </w:t>
      </w:r>
      <w:r>
        <w:t>Reserve "verified quantum entanglement" for E_Q. Prefer GSF relational coupling/GRC and physical-virtual coupling/E_PV elsewhere.</w:t>
      </w:r>
    </w:p>
    <w:p>
      <w:pPr>
        <w:pStyle w:val="ListNumber"/>
      </w:pPr>
      <w:r>
        <w:rPr>
          <w:b/>
        </w:rPr>
        <w:t xml:space="preserve">Create a formal GSF coupling specification: </w:t>
      </w:r>
      <w:r>
        <w:t>Define the domain/codomain of states, C, R, event semantics, Δt, ε, transition rules, provenance, and health states.</w:t>
      </w:r>
    </w:p>
    <w:p>
      <w:pPr>
        <w:pStyle w:val="ListNumber"/>
      </w:pPr>
      <w:r>
        <w:rPr>
          <w:b/>
        </w:rPr>
        <w:t xml:space="preserve">Build a witness catalog: </w:t>
      </w:r>
      <w:r>
        <w:t>For every proposed relation, require at least one positive witness, one severance or adversarial witness, and one negative control.</w:t>
      </w:r>
    </w:p>
    <w:p>
      <w:pPr>
        <w:pStyle w:val="ListNumber"/>
      </w:pPr>
      <w:r>
        <w:rPr>
          <w:b/>
        </w:rPr>
        <w:t xml:space="preserve">Design a minimum viable cyber-physical test: </w:t>
      </w:r>
      <w:r>
        <w:t>Use a small sensorized device and virtual state model before attempting environment-level coupling.</w:t>
      </w:r>
    </w:p>
    <w:p>
      <w:pPr>
        <w:pStyle w:val="ListNumber"/>
      </w:pPr>
      <w:r>
        <w:rPr>
          <w:b/>
        </w:rPr>
        <w:t xml:space="preserve">Benchmark against simpler models: </w:t>
      </w:r>
      <w:r>
        <w:t>Require a conventional twin/state-machine/rule-engine baseline so the laboratory can determine whether GSF adds explanatory or operational value.</w:t>
      </w:r>
    </w:p>
    <w:p>
      <w:pPr>
        <w:pStyle w:val="ListNumber"/>
      </w:pPr>
      <w:r>
        <w:rPr>
          <w:b/>
        </w:rPr>
        <w:t xml:space="preserve">Add adversarial fault injection: </w:t>
      </w:r>
      <w:r>
        <w:t>Latency, packet loss, sensor disagreement, corrupted data, clock drift, forked history, observer conflict, and actuator failure should be deliberate test inputs.</w:t>
      </w:r>
    </w:p>
    <w:p>
      <w:pPr>
        <w:pStyle w:val="ListNumber"/>
      </w:pPr>
      <w:r>
        <w:rPr>
          <w:b/>
        </w:rPr>
        <w:t xml:space="preserve">Separate observation from enforcement: </w:t>
      </w:r>
      <w:r>
        <w:t>Log whether a relation was measured, inferred, or actively imposed. Do not count controller-created correlation as independent evidence.</w:t>
      </w:r>
    </w:p>
    <w:p>
      <w:pPr>
        <w:pStyle w:val="ListNumber"/>
      </w:pPr>
      <w:r>
        <w:rPr>
          <w:b/>
        </w:rPr>
        <w:t xml:space="preserve">Keep a future quantum annex separate: </w:t>
      </w:r>
      <w:r>
        <w:t>If quantum hardware is pursued, write a separate protocol specifying coherent subsystems, preparation, entangling operation, decoherence model, verification method, and classical readout.</w:t>
      </w:r>
    </w:p>
    <w:p>
      <w:pPr>
        <w:pStyle w:val="ListNumber"/>
      </w:pPr>
      <w:r>
        <w:rPr>
          <w:b/>
        </w:rPr>
        <w:t xml:space="preserve">Re-review after experimental evidence: </w:t>
      </w:r>
      <w:r>
        <w:t>Only after initial tests should the project decide whether the concept merits stronger terminology, broader scope, or incorporation into formal simulation-laboratory doctrine.</w:t>
      </w:r>
    </w:p>
    <w:p>
      <w:pPr>
        <w:pStyle w:val="Heading1"/>
        <w:keepNext w:val="1"/>
      </w:pPr>
      <w:r>
        <w:t>19. Recommended Treatment of This Information</w:t>
      </w:r>
    </w:p>
    <w:p>
      <w:r>
        <w:t>This material should be treated as a structured research hypothesis and laboratory-design concept, not as established new physics. It has immediate value as a systems-engineering proposal for testing relational invariants across physical and virtual state spaces. Its strongest scientific path is to make every relation operational, observable, falsifiable, and comparable to simpler models.</w:t>
      </w:r>
    </w:p>
    <w:p>
      <w:r>
        <w:t>The quantum material should be retained because it provides a disciplined boundary and a possible future implementation branch. However, the project should resist using quantum terminology as evidence of novelty, profundity, or physical validity. If E_Q is later introduced, it should be validated as its own physical subsystem and then connected to the GSF layer through an explicitly documented classical/quantum interface.</w:t>
      </w:r>
    </w:p>
    <w:p>
      <w:pPr>
        <w:pStyle w:val="Heading1"/>
        <w:keepNext w:val="1"/>
      </w:pPr>
      <w:r>
        <w:t>20. Scientific Cross-Check and Reference Notes</w:t>
      </w:r>
    </w:p>
    <w:p>
      <w:r>
        <w:t>Selected external sources were consulted to confirm the scientific boundary used in this memorandum. These sources support the existence of light-matter entanglement, ion-photon/atom-light interfaces, quantum-entanglement verification methods, and the ordinary engineering definition of digital twins. They do not validate GSF, which remains a proposed framework.</w:t>
      </w:r>
    </w:p>
    <w:p>
      <w:pPr>
        <w:pStyle w:val="ListBullet"/>
      </w:pPr>
      <w:r>
        <w:t>Atatüre, M. et al. “Material platforms for spin-based photonic quantum technologies.” Nature Reviews Materials 3, 38-51 (2018). Discusses light-matter quantum interfaces and distributed entanglement between quantum memories.</w:t>
      </w:r>
    </w:p>
    <w:p>
      <w:pPr>
        <w:pStyle w:val="ListBullet"/>
      </w:pPr>
      <w:r>
        <w:t>Li, L., Dudin, Y. O., &amp; Kuzmich, A. “Entanglement between light and an optical atomic excitation.” Nature 498, 466-469 (2013). Demonstrates atom-light entanglement.</w:t>
      </w:r>
    </w:p>
    <w:p>
      <w:pPr>
        <w:pStyle w:val="ListBullet"/>
      </w:pPr>
      <w:r>
        <w:t>Stute, A. et al. “Tunable ion-photon entanglement in an optical cavity.” Nature 485, 482-485 (2012). Demonstrates ion-photon entanglement.</w:t>
      </w:r>
    </w:p>
    <w:p>
      <w:pPr>
        <w:pStyle w:val="ListBullet"/>
      </w:pPr>
      <w:r>
        <w:t>van Enk, S. J., Lütkenhaus, N., &amp; Kimble, H. J. “Experimental procedures for entanglement verification.” Physical Review A 75, 052318 (2007). Reviews experimental verification and cautions against inferring entanglement incorrectly.</w:t>
      </w:r>
    </w:p>
    <w:p>
      <w:pPr>
        <w:pStyle w:val="ListBullet"/>
      </w:pPr>
      <w:r>
        <w:t>Caltech Science Exchange. “What Is Quantum Entanglement?” Background explanation of Bell-type reasoning and quantum correlations.</w:t>
      </w:r>
    </w:p>
    <w:p>
      <w:pPr>
        <w:pStyle w:val="ListBullet"/>
      </w:pPr>
      <w:r>
        <w:t>IBM. “What is a digital twin?” Updated August 7, 2026. Defines a digital twin as a virtual representation of a physical object/system using real-time data, including sensor pipelines and feedback/control loops.</w:t>
      </w:r>
    </w:p>
    <w:p>
      <w:pPr>
        <w:pStyle w:val="ListBullet"/>
      </w:pPr>
      <w:r>
        <w:t>Shi, Y. et al. “Many-body entanglement in solid-state emitters.” Nature Reviews Materials 11, 354-374 (2026). Recent review of many-body light-matter entanglement, coherence, and decoherence challenges.</w:t>
      </w:r>
    </w:p>
    <w:p>
      <w:pPr>
        <w:pStyle w:val="Heading1"/>
        <w:keepNext w:val="1"/>
      </w:pPr>
      <w:r>
        <w:t>21. Final Development Position</w:t>
      </w:r>
    </w:p>
    <w:p>
      <w:pPr>
        <w:pStyle w:val="Callout"/>
        <w:jc w:val="center"/>
      </w:pPr>
      <w:r>
        <w:t xml:space="preserve">Keep the ambition; tighten the claim. </w:t>
      </w:r>
      <w:r>
        <w:t>GSF can experimentally study persistent relational constraints across physical and virtual state spaces today. Literal quantum entanglement is a separate physical implementation layer that becomes relevant only when coherent quantum subsystems are actually prepared and independently verified.</w:t>
      </w:r>
    </w:p>
    <w:p>
      <w:r>
        <w:t>Under that discipline, the concept is suitable for continued simulation-laboratory development. The immediate research program is not “prove digital objects are quantum-entangled with physical objects.” It is “determine whether a formally specified GSF relational model can preserve, detect, explain, or safely manage state-space relationships under controlled cross-environment perturbations better than existing simpler models.”</w:t>
      </w:r>
    </w:p>
    <w:p>
      <w:pPr>
        <w:pStyle w:val="Heading1"/>
        <w:keepNext w:val="1"/>
      </w:pPr>
      <w:r>
        <w:t>Appendix A. Minimal Record Template for a Future GSF Coupling Test</w:t>
      </w:r>
    </w:p>
    <w:tbl>
      <w:tblPr>
        <w:tblStyle w:val="TableGrid"/>
        <w:tblW w:type="auto" w:w="0"/>
        <w:jc w:val="center"/>
        <w:tblLook w:firstColumn="1" w:firstRow="1" w:lastColumn="0" w:lastRow="0" w:noHBand="0" w:noVBand="1" w:val="04A0"/>
      </w:tblPr>
      <w:tblGrid>
        <w:gridCol w:w="4968"/>
        <w:gridCol w:w="4968"/>
      </w:tblGrid>
      <w:tr>
        <w:tc>
          <w:tcPr>
            <w:tcW w:type="dxa" w:w="4968"/>
            <w:shd w:fill="2F5597"/>
          </w:tcPr>
          <w:p>
            <w:r>
              <w:rPr>
                <w:b/>
                <w:color w:val="FFFFFF"/>
              </w:rPr>
              <w:t>Field</w:t>
            </w:r>
          </w:p>
        </w:tc>
        <w:tc>
          <w:tcPr>
            <w:tcW w:type="dxa" w:w="4968"/>
            <w:shd w:fill="2F5597"/>
          </w:tcPr>
          <w:p>
            <w:r>
              <w:rPr>
                <w:b/>
                <w:color w:val="FFFFFF"/>
              </w:rPr>
              <w:t>Required entry</w:t>
            </w:r>
          </w:p>
        </w:tc>
      </w:tr>
      <w:tr>
        <w:tc>
          <w:tcPr>
            <w:tcW w:type="dxa" w:w="4968"/>
            <w:tcMar>
              <w:top w:w="90" w:type="dxa"/>
              <w:start w:w="100" w:type="dxa"/>
              <w:bottom w:w="90" w:type="dxa"/>
              <w:end w:w="100" w:type="dxa"/>
            </w:tcMar>
          </w:tcPr>
          <w:p>
            <w:r>
              <w:t>Experiment ID</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Physical state/system definition</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Virtual state-space definition</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Context C</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Relation R</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Relation type</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Observation channels</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Actuation channels</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Time tolerance Δt</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Error tolerance ε</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Positive witness</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Negative control</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Severance/adversarial witness</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Failure/rupture criterion</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Degradation criterion</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Suspension/indeterminate criterion</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Recovery criterion</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Baseline model</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Event sequence / perturbations</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Results and violations</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Provenance/audit record</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Interpretation</w:t>
            </w:r>
          </w:p>
        </w:tc>
        <w:tc>
          <w:tcPr>
            <w:tcW w:type="dxa" w:w="4968"/>
            <w:tcMar>
              <w:top w:w="90" w:type="dxa"/>
              <w:start w:w="100" w:type="dxa"/>
              <w:bottom w:w="90" w:type="dxa"/>
              <w:end w:w="100" w:type="dxa"/>
            </w:tcMar>
          </w:tcPr>
          <w:p>
            <w:r/>
          </w:p>
        </w:tc>
      </w:tr>
      <w:tr>
        <w:tc>
          <w:tcPr>
            <w:tcW w:type="dxa" w:w="4968"/>
            <w:tcMar>
              <w:top w:w="90" w:type="dxa"/>
              <w:start w:w="100" w:type="dxa"/>
              <w:bottom w:w="90" w:type="dxa"/>
              <w:end w:w="100" w:type="dxa"/>
            </w:tcMar>
          </w:tcPr>
          <w:p>
            <w:r>
              <w:t>Quantum layer present? If yes, separate E_Q protocol reference</w:t>
            </w:r>
          </w:p>
        </w:tc>
        <w:tc>
          <w:tcPr>
            <w:tcW w:type="dxa" w:w="4968"/>
            <w:tcMar>
              <w:top w:w="90" w:type="dxa"/>
              <w:start w:w="100" w:type="dxa"/>
              <w:bottom w:w="90" w:type="dxa"/>
              <w:end w:w="100" w:type="dxa"/>
            </w:tcMar>
          </w:tcPr>
          <w:p>
            <w:r/>
          </w:p>
        </w:tc>
      </w:tr>
    </w:tbl>
    <w:p>
      <w:pPr>
        <w:pStyle w:val="Heading1"/>
        <w:keepNext w:val="1"/>
      </w:pPr>
      <w:r>
        <w:t>Appendix B. Source Attribution Note</w:t>
      </w:r>
    </w:p>
    <w:p>
      <w:r>
        <w:t>The supplied source material included independent reviews attributed by the user to Grok AI, Perplexity AI, Microsoft Copilot, Google Gemini, Claude AI, and prior ChatGPT responses. This memorandum synthesizes those contributions but does not represent endorsements by the named companies or models. Statements of novelty, publishability, scientific rigor, or feasibility made by any reviewer have been treated as hypotheses or opinions unless supported independently.</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Concept Development Reference | Prepared by ChatGPT (GPT-5.6 Sol), OpenAI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GSF RELATIONAL COUPLING &amp; QUANTUM ENTANGLEMENT | LAB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64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b/>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