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408" w:lineRule="auto"/>
      </w:pPr>
      <w:r>
        <w:rPr>
          <w:rFonts w:ascii="Calibri Light" w:cs="Calibri Light" w:eastAsia="Calibri Light" w:hAnsi="Calibri Light"/>
          <w:b w:val="false"/>
          <w:bCs w:val="false"/>
          <w:i w:val="false"/>
          <w:iCs w:val="false"/>
          <w:strike w:val="false"/>
          <w:color w:val="777777"/>
          <w:spacing w:val="29"/>
          <w:sz w:val="16"/>
          <w:szCs w:val="16"/>
        </w:rPr>
        <w:t xml:space="preserve">PERSONAL WORK RECORD · HOSPITAL ACCESS CONTROL</w:t>
      </w:r>
    </w:p>
    <w:p>
      <w:pPr>
        <w:pBdr>
          <w:bottom w:val="single" w:color="2B5797" w:sz="6"/>
        </w:pBdr>
        <w:spacing w:after="240" w:before="240"/>
      </w:pPr>
    </w:p>
    <w:p>
      <w:pPr>
        <w:pStyle w:val="Heading1"/>
        <w:spacing w:after="240" w:before="160" w:line="408" w:lineRule="auto"/>
      </w:pPr>
      <w:r>
        <w:rPr>
          <w:rFonts w:ascii="Calibri" w:cs="Calibri" w:eastAsia="Calibri" w:hAnsi="Calibri"/>
          <w:color w:val="1A1A1A"/>
          <w:sz w:val="23"/>
          <w:szCs w:val="23"/>
        </w:rPr>
        <w:t xml:space="preserve">Hospital Visitor Policy</w:t>
      </w:r>
    </w:p>
    <w:p>
      <w:pPr>
        <w:spacing w:after="240" w:before="60" w:line="360" w:lineRule="auto"/>
      </w:pPr>
      <w:r>
        <w:rPr>
          <w:rFonts w:ascii="Calibri Light" w:cs="Calibri Light" w:eastAsia="Calibri Light" w:hAnsi="Calibri Light"/>
          <w:b w:val="false"/>
          <w:bCs w:val="false"/>
          <w:i/>
          <w:iCs/>
          <w:strike w:val="false"/>
          <w:color w:val="444444"/>
          <w:sz w:val="24"/>
          <w:szCs w:val="24"/>
        </w:rPr>
        <w:t xml:space="preserve">Why access is controlled, what staff can require at the door, and what happens when someone keeps showing up with no legitimate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AFAFA" w:color="auto" w:val="clear"/>
          </w:tcPr>
          <w:p>
            <w:r>
              <w:rPr>
                <w:rFonts w:ascii="Calibri" w:cs="Calibri" w:eastAsia="Calibri" w:hAnsi="Calibri"/>
                <w:b/>
                <w:bCs/>
                <w:i w:val="false"/>
                <w:iCs w:val="false"/>
                <w:strike w:val="false"/>
                <w:color w:val="222222"/>
                <w:sz w:val="23"/>
                <w:szCs w:val="23"/>
              </w:rPr>
              <w:t xml:space="preserve">Record date</w:t>
            </w:r>
          </w:p>
        </w:tc>
        <w:tc>
          <w:tcPr>
            <w:tcW w:type="pct" w:w="50%"/>
            <w:shd w:fill="FAFAFA" w:color="auto" w:val="clear"/>
          </w:tcPr>
          <w:p>
            <w:r>
              <w:rPr>
                <w:rFonts w:ascii="Calibri" w:cs="Calibri" w:eastAsia="Calibri" w:hAnsi="Calibri"/>
                <w:b/>
                <w:bCs/>
                <w:i w:val="false"/>
                <w:iCs w:val="false"/>
                <w:strike w:val="false"/>
                <w:color w:val="222222"/>
                <w:sz w:val="23"/>
                <w:szCs w:val="23"/>
              </w:rPr>
              <w:t xml:space="preserve">September 2, 2026</w:t>
            </w:r>
          </w:p>
        </w:tc>
      </w:tr>
      <w:tr>
        <w:trPr>
          <w:tblHeader w:val="false"/>
        </w:trPr>
        <w:tc>
          <w:tcPr>
            <w:tcW w:type="pct" w:w="50%"/>
            <w:shd w:fill="FAFAFA" w:color="auto" w:val="clear"/>
          </w:tcPr>
          <w:p>
            <w:r>
              <w:rPr>
                <w:rFonts w:ascii="Calibri" w:cs="Calibri" w:eastAsia="Calibri" w:hAnsi="Calibri"/>
                <w:b/>
                <w:bCs/>
                <w:i w:val="false"/>
                <w:iCs w:val="false"/>
                <w:strike w:val="false"/>
                <w:color w:val="222222"/>
                <w:sz w:val="23"/>
                <w:szCs w:val="23"/>
              </w:rPr>
              <w:t xml:space="preserve">Location context</w:t>
            </w:r>
          </w:p>
        </w:tc>
        <w:tc>
          <w:tcPr>
            <w:tcW w:type="pct" w:w="50%"/>
            <w:shd w:fill="FAFAFA" w:color="auto" w:val="clear"/>
          </w:tcPr>
          <w:p>
            <w:r>
              <w:rPr>
                <w:rFonts w:ascii="Calibri" w:cs="Calibri" w:eastAsia="Calibri" w:hAnsi="Calibri"/>
                <w:b/>
                <w:bCs/>
                <w:i w:val="false"/>
                <w:iCs w:val="false"/>
                <w:strike w:val="false"/>
                <w:color w:val="222222"/>
                <w:sz w:val="23"/>
                <w:szCs w:val="23"/>
              </w:rPr>
              <w:t xml:space="preserve">Los Angeles, California</w:t>
            </w:r>
          </w:p>
        </w:tc>
      </w:tr>
      <w:tr>
        <w:trPr>
          <w:tblHeader w:val="false"/>
        </w:trPr>
        <w:tc>
          <w:tcPr>
            <w:tcW w:type="pct" w:w="50%"/>
            <w:shd w:fill="FAFAFA" w:color="auto" w:val="clear"/>
          </w:tcPr>
          <w:p>
            <w:r>
              <w:rPr>
                <w:rFonts w:ascii="Calibri" w:cs="Calibri" w:eastAsia="Calibri" w:hAnsi="Calibri"/>
                <w:b/>
                <w:bCs/>
                <w:i w:val="false"/>
                <w:iCs w:val="false"/>
                <w:strike w:val="false"/>
                <w:color w:val="222222"/>
                <w:sz w:val="23"/>
                <w:szCs w:val="23"/>
              </w:rPr>
              <w:t xml:space="preserve">Source</w:t>
            </w:r>
          </w:p>
        </w:tc>
        <w:tc>
          <w:tcPr>
            <w:tcW w:type="pct" w:w="50%"/>
            <w:shd w:fill="FAFAFA" w:color="auto" w:val="clear"/>
          </w:tcPr>
          <w:p>
            <w:r>
              <w:rPr>
                <w:rFonts w:ascii="Calibri" w:cs="Calibri" w:eastAsia="Calibri" w:hAnsi="Calibri"/>
                <w:b/>
                <w:bCs/>
                <w:i w:val="false"/>
                <w:iCs w:val="false"/>
                <w:strike w:val="false"/>
                <w:color w:val="222222"/>
                <w:sz w:val="23"/>
                <w:szCs w:val="23"/>
              </w:rPr>
              <w:t xml:space="preserve">First-person work experience, structured for personal reuse</w:t>
            </w:r>
          </w:p>
        </w:tc>
      </w:tr>
      <w:tr>
        <w:trPr>
          <w:tblHeader w:val="false"/>
        </w:trPr>
        <w:tc>
          <w:tcPr>
            <w:tcW w:type="pct" w:w="50%"/>
            <w:shd w:fill="FAFAFA" w:color="auto" w:val="clear"/>
          </w:tcPr>
          <w:p>
            <w:r>
              <w:rPr>
                <w:rFonts w:ascii="Calibri" w:cs="Calibri" w:eastAsia="Calibri" w:hAnsi="Calibri"/>
                <w:b/>
                <w:bCs/>
                <w:i w:val="false"/>
                <w:iCs w:val="false"/>
                <w:strike w:val="false"/>
                <w:color w:val="222222"/>
                <w:sz w:val="23"/>
                <w:szCs w:val="23"/>
              </w:rPr>
              <w:t xml:space="preserve">Document type</w:t>
            </w:r>
          </w:p>
        </w:tc>
        <w:tc>
          <w:tcPr>
            <w:tcW w:type="pct" w:w="50%"/>
            <w:shd w:fill="FAFAFA" w:color="auto" w:val="clear"/>
          </w:tcPr>
          <w:p>
            <w:r>
              <w:rPr>
                <w:rFonts w:ascii="Calibri" w:cs="Calibri" w:eastAsia="Calibri" w:hAnsi="Calibri"/>
                <w:b/>
                <w:bCs/>
                <w:i w:val="false"/>
                <w:iCs w:val="false"/>
                <w:strike w:val="false"/>
                <w:color w:val="222222"/>
                <w:sz w:val="23"/>
                <w:szCs w:val="23"/>
              </w:rPr>
              <w:t xml:space="preserve">Personal workplace record — not legal advice, not an official hospital policy</w:t>
            </w:r>
          </w:p>
        </w:tc>
      </w:tr>
    </w:tbl>
    <w:p>
      <w:pPr>
        <w:spacing w:after="200" w:before="0"/>
      </w:pPr>
    </w:p>
    <w:p>
      <w:pPr>
        <w:pBdr>
          <w:bottom w:val="single" w:color="1A1A1A" w:sz="6"/>
        </w:pBdr>
        <w:spacing w:after="240" w:before="240"/>
      </w:pPr>
    </w:p>
    <w:p>
      <w:pPr>
        <w:pStyle w:val="Heading2"/>
        <w:spacing w:after="240" w:before="480" w:line="408" w:lineRule="auto"/>
      </w:pPr>
      <w:r>
        <w:rPr>
          <w:rFonts w:ascii="Calibri" w:cs="Calibri" w:eastAsia="Calibri" w:hAnsi="Calibri"/>
          <w:color w:val="1A1A1A"/>
          <w:sz w:val="23"/>
          <w:szCs w:val="23"/>
        </w:rPr>
        <w:t xml:space="preserve">1   The Point of the Policy</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A hospital is a business with a specific purpose. It is not a public park, a hangout spot, or a place anyone gets to walk through just because they feel like it. People come there for care, to visit a named patient, to work, or to conduct authorized business.</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That is why visitor policy exists. It is not about being unfriendly. It is about knowing who is in the building, why they are there, and where they are going. Patients, staff, and operations all depend on that.</w:t>
      </w:r>
    </w:p>
    <w:p>
      <w:pPr>
        <w:pBdr>
          <w:bottom w:val="single" w:color="1A1A1A" w:sz="6"/>
        </w:pBdr>
        <w:spacing w:after="240" w:before="240"/>
      </w:pPr>
    </w:p>
    <w:p>
      <w:pPr>
        <w:pStyle w:val="Heading2"/>
        <w:spacing w:after="240" w:before="480" w:line="408" w:lineRule="auto"/>
      </w:pPr>
      <w:r>
        <w:rPr>
          <w:rFonts w:ascii="Calibri" w:cs="Calibri" w:eastAsia="Calibri" w:hAnsi="Calibri"/>
          <w:color w:val="1A1A1A"/>
          <w:sz w:val="23"/>
          <w:szCs w:val="23"/>
        </w:rPr>
        <w:t xml:space="preserve">2   How It Used to Work — and How It Works Now</w:t>
      </w:r>
    </w:p>
    <w:p>
      <w:pPr>
        <w:pStyle w:val="Heading3"/>
        <w:spacing w:after="240" w:before="360" w:line="408" w:lineRule="auto"/>
      </w:pPr>
      <w:r>
        <w:rPr>
          <w:rFonts w:ascii="Calibri" w:cs="Calibri" w:eastAsia="Calibri" w:hAnsi="Calibri"/>
          <w:color w:val="2B5797"/>
          <w:sz w:val="23"/>
          <w:szCs w:val="23"/>
        </w:rPr>
        <w:t xml:space="preserve">2.1 — The Old Way</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For a long time the hospital ran close to an honor system. Someone walked in, said they were a visitor, and that was close enough. Front desk and security did not always have a clear green light to stop people. If you asked where they were going and they gave any answer, they often walked through.</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Security was present — a post at the front entrance, a greeter or door person, and for a period a patient-watch security function. But the practical authority to stop someone was limited, and patient watch was phased out before I left that facility.</w:t>
      </w:r>
    </w:p>
    <w:p>
      <w:pPr>
        <w:pStyle w:val="Heading3"/>
        <w:spacing w:after="240" w:before="360" w:line="408" w:lineRule="auto"/>
      </w:pPr>
      <w:r>
        <w:rPr>
          <w:rFonts w:ascii="Calibri" w:cs="Calibri" w:eastAsia="Calibri" w:hAnsi="Calibri"/>
          <w:color w:val="2B5797"/>
          <w:sz w:val="23"/>
          <w:szCs w:val="23"/>
        </w:rPr>
        <w:t xml:space="preserve">2.2 — The Current Way</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That changed. Anyone entering the building had to meet a basic standard: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Show identification.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Name the person or department they are there to see.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State a legitimate purpose for being on site.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Accept that access can be refused if those things are missing.</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The access-control rule was clear: you do not just walk in and wander. A hospital is not a playground. It is there for a reason.</w:t>
      </w:r>
    </w:p>
    <w:p>
      <w:pPr>
        <w:pBdr>
          <w:bottom w:val="single" w:color="1A1A1A" w:sz="6"/>
        </w:pBdr>
        <w:spacing w:after="240" w:before="240"/>
      </w:pPr>
    </w:p>
    <w:p>
      <w:pPr>
        <w:pStyle w:val="Heading2"/>
        <w:spacing w:after="240" w:before="480" w:line="408" w:lineRule="auto"/>
      </w:pPr>
      <w:r>
        <w:rPr>
          <w:rFonts w:ascii="Calibri" w:cs="Calibri" w:eastAsia="Calibri" w:hAnsi="Calibri"/>
          <w:color w:val="1A1A1A"/>
          <w:sz w:val="23"/>
          <w:szCs w:val="23"/>
        </w:rPr>
        <w:t xml:space="preserve">3   What Staff Are Allowed to Ask</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Asking the following questions is the job — not an insult, not an overstep: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Do you have identification?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Who are you here to see?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Are you here for a visit, an appointment, work, or the 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1A"/>
          <w:sz w:val="23"/>
          <w:szCs w:val="23"/>
        </w:rPr>
        <w:t xml:space="preserve">Where are you going, and do you know the unit or room?</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If the person is a visitor, you need an ID, a destination, and a reason. If they are an employee, they should have credentials. If they need emergency care, that is a separate track — they go to the ER, they do not get free run of the building.</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The sentence that matters: you are not an employee, and you are not going to show up and hang around the premises all day. That is not how a hospital works.</w:t>
      </w:r>
    </w:p>
    <w:p>
      <w:pPr>
        <w:pBdr>
          <w:bottom w:val="single" w:color="1A1A1A" w:sz="6"/>
        </w:pBdr>
        <w:spacing w:after="240" w:before="240"/>
      </w:pPr>
    </w:p>
    <w:p>
      <w:pPr>
        <w:pStyle w:val="Heading2"/>
        <w:spacing w:after="240" w:before="480" w:line="408" w:lineRule="auto"/>
      </w:pPr>
      <w:r>
        <w:rPr>
          <w:rFonts w:ascii="Calibri" w:cs="Calibri" w:eastAsia="Calibri" w:hAnsi="Calibri"/>
          <w:color w:val="1A1A1A"/>
          <w:sz w:val="23"/>
          <w:szCs w:val="23"/>
        </w:rPr>
        <w:t xml:space="preserve">4   The Incident This Record Is Built Around</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A woman came through the front entrance. She was rude. She was cursing at the security officer and at the person at the front desk. For the purpose of this record, that front-desk person is me.</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I called security. Security pulled her aside. The conversation that followed was the policy stated out loud: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C" w:color="auto" w:val="clear"/>
            <w:tcMar>
              <w:top w:type="dxa" w:w="200"/>
              <w:left w:type="dxa" w:w="320"/>
              <w:bottom w:type="dxa" w:w="200"/>
              <w:right w:type="dxa" w:w="320"/>
            </w:tcMar>
          </w:tcPr>
          <w:p>
            <w:pPr>
              <w:spacing w:after="120" w:line="408" w:lineRule="auto"/>
            </w:pPr>
            <w:r>
              <w:rPr>
                <w:i/>
                <w:iCs/>
              </w:rPr>
              <w:t xml:space="preserve">"This is a hospital. You have to have a reason for being here. You cannot just walk in the front door and go wherever you want. Are you here to see somebody? Do you have business here? Are you here for the ER? Do you have identification? If you are here to visit someone, you need an ID. We need to know where you are going and what you are doing."</w:t>
            </w:r>
          </w:p>
        </w:tc>
      </w:tr>
    </w:tbl>
    <w:p>
      <w:pPr>
        <w:spacing w:after="240" w:before="0"/>
      </w:pP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She was not an employee. She had no stated purpose and no identification. Security was direct: if she continued to solicit this location in the way she was doing, she would be banned from the premises. That is how it works at any location that takes this seriously — they document who you are, and that record follows you through the organization's own network.</w:t>
      </w:r>
    </w:p>
    <w:p>
      <w:pPr>
        <w:pBdr>
          <w:bottom w:val="single" w:color="1A1A1A" w:sz="6"/>
        </w:pBdr>
        <w:spacing w:after="240" w:before="240"/>
      </w:pPr>
    </w:p>
    <w:p>
      <w:pPr>
        <w:pStyle w:val="Heading2"/>
        <w:spacing w:after="240" w:before="480" w:line="408" w:lineRule="auto"/>
      </w:pPr>
      <w:r>
        <w:rPr>
          <w:rFonts w:ascii="Calibri" w:cs="Calibri" w:eastAsia="Calibri" w:hAnsi="Calibri"/>
          <w:color w:val="1A1A1A"/>
          <w:sz w:val="23"/>
          <w:szCs w:val="23"/>
        </w:rPr>
        <w:t xml:space="preserve">5   The Escalation Ladder on This Property</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The progression is not automatic — a single bad day does not mean permanent exclusion. It takes an established pattern. But the steps, in order, are:</w:t>
      </w:r>
    </w:p>
    <w:p>
      <w:pPr>
        <w:spacing w:after="240" w:line="408" w:lineRule="auto"/>
      </w:pPr>
      <w:r>
        <w:rPr>
          <w:rFonts w:ascii="Calibri" w:cs="Calibri" w:eastAsia="Calibri" w:hAnsi="Calibri"/>
          <w:b/>
          <w:bCs/>
          <w:i w:val="false"/>
          <w:iCs w:val="false"/>
          <w:strike w:val="false"/>
          <w:color w:val="1A1A1A"/>
          <w:sz w:val="23"/>
          <w:szCs w:val="23"/>
        </w:rPr>
        <w:t xml:space="preserve">Tier 1 — Verbal Warning</w:t>
      </w:r>
    </w:p>
    <w:p>
      <w:pPr>
        <w:spacing w:after="240" w:line="408" w:lineRule="auto"/>
      </w:pPr>
      <w:r>
        <w:rPr>
          <w:rFonts w:ascii="Calibri" w:cs="Calibri" w:eastAsia="Calibri" w:hAnsi="Calibri"/>
          <w:b w:val="false"/>
          <w:bCs w:val="false"/>
          <w:i w:val="false"/>
          <w:iCs w:val="false"/>
          <w:strike w:val="false"/>
          <w:color w:val="1A1A1A"/>
          <w:sz w:val="23"/>
          <w:szCs w:val="23"/>
        </w:rPr>
        <w:t xml:space="preserve">Security and staff address the behavior on the spot. The person is told the policy, told what is required to be on the premises, and told what will happen if the conduct continues. This is documented internally.</w:t>
      </w:r>
    </w:p>
    <w:p>
      <w:pPr>
        <w:pBdr>
          <w:bottom w:val="single" w:color="CCCCCC" w:sz="6"/>
        </w:pBdr>
        <w:spacing w:after="240" w:before="240"/>
      </w:pPr>
    </w:p>
    <w:p>
      <w:pPr>
        <w:spacing w:after="240" w:line="408" w:lineRule="auto"/>
      </w:pPr>
      <w:r>
        <w:rPr>
          <w:rFonts w:ascii="Calibri" w:cs="Calibri" w:eastAsia="Calibri" w:hAnsi="Calibri"/>
          <w:b/>
          <w:bCs/>
          <w:i w:val="false"/>
          <w:iCs w:val="false"/>
          <w:strike w:val="false"/>
          <w:color w:val="1A1A1A"/>
          <w:sz w:val="23"/>
          <w:szCs w:val="23"/>
        </w:rPr>
        <w:t xml:space="preserve">Tier 2 — Incident Documentation and BOLO Log</w:t>
      </w:r>
    </w:p>
    <w:p>
      <w:pPr>
        <w:spacing w:after="240" w:line="408" w:lineRule="auto"/>
      </w:pPr>
      <w:r>
        <w:rPr>
          <w:rFonts w:ascii="Calibri" w:cs="Calibri" w:eastAsia="Calibri" w:hAnsi="Calibri"/>
          <w:b w:val="false"/>
          <w:bCs w:val="false"/>
          <w:i w:val="false"/>
          <w:iCs w:val="false"/>
          <w:strike w:val="false"/>
          <w:color w:val="1A1A1A"/>
          <w:sz w:val="23"/>
          <w:szCs w:val="23"/>
        </w:rPr>
        <w:t xml:space="preserve">The facility records the incident: what happened, who was involved, a description and photograph if available, and the date. This record is kept internally and can be shared with other locations within the same organization — sister sites, other campuses, other buildings under the same ownership. This is not a public ban. It is internal institutional memory.</w:t>
      </w:r>
    </w:p>
    <w:p>
      <w:pPr>
        <w:pBdr>
          <w:bottom w:val="single" w:color="CCCCCC" w:sz="6"/>
        </w:pBdr>
        <w:spacing w:after="240" w:before="240"/>
      </w:pPr>
    </w:p>
    <w:p>
      <w:pPr>
        <w:spacing w:after="240" w:line="408" w:lineRule="auto"/>
      </w:pPr>
      <w:r>
        <w:rPr>
          <w:rFonts w:ascii="Calibri" w:cs="Calibri" w:eastAsia="Calibri" w:hAnsi="Calibri"/>
          <w:b/>
          <w:bCs/>
          <w:i w:val="false"/>
          <w:iCs w:val="false"/>
          <w:strike w:val="false"/>
          <w:color w:val="1A1A1A"/>
          <w:sz w:val="23"/>
          <w:szCs w:val="23"/>
        </w:rPr>
        <w:t xml:space="preserve">Tier 3 — Notice of Trespass (the document Nathan was asking about)</w:t>
      </w:r>
    </w:p>
    <w:p>
      <w:pPr>
        <w:spacing w:after="240" w:line="408" w:lineRule="auto"/>
      </w:pPr>
      <w:r>
        <w:rPr>
          <w:rFonts w:ascii="Calibri" w:cs="Calibri" w:eastAsia="Calibri" w:hAnsi="Calibri"/>
          <w:b w:val="false"/>
          <w:bCs w:val="false"/>
          <w:i w:val="false"/>
          <w:iCs w:val="false"/>
          <w:strike w:val="false"/>
          <w:color w:val="1A1A1A"/>
          <w:sz w:val="23"/>
          <w:szCs w:val="23"/>
        </w:rPr>
        <w:t xml:space="preserve">Once a pattern is established and a threshold is reached, law enforcement is called. Police issue what is commonly called a Notice of Trespass — sometimes called a Criminal Trespass Warning. In California, this is grounded in Penal Code § 602. The person is formally told they are not permitted on the premises. If they return after receiving that notice, they can be cited or arrested for criminal trespass. This is what the hospital had to do for people who kept showing up with no legitimate purpose.</w:t>
      </w:r>
    </w:p>
    <w:p>
      <w:pPr>
        <w:pBdr>
          <w:bottom w:val="single" w:color="CCCCCC" w:sz="6"/>
        </w:pBdr>
        <w:spacing w:after="240" w:before="240"/>
      </w:pPr>
    </w:p>
    <w:p>
      <w:pPr>
        <w:spacing w:after="240" w:line="408" w:lineRule="auto"/>
      </w:pPr>
      <w:r>
        <w:rPr>
          <w:rFonts w:ascii="Calibri" w:cs="Calibri" w:eastAsia="Calibri" w:hAnsi="Calibri"/>
          <w:b/>
          <w:bCs/>
          <w:i w:val="false"/>
          <w:iCs w:val="false"/>
          <w:strike w:val="false"/>
          <w:color w:val="1A1A1A"/>
          <w:sz w:val="23"/>
          <w:szCs w:val="23"/>
        </w:rPr>
        <w:t xml:space="preserve">Tier 4 — Court-Issued Stay-Away or Workplace Violence Restraining Order</w:t>
      </w:r>
    </w:p>
    <w:p>
      <w:pPr>
        <w:spacing w:after="240" w:line="408" w:lineRule="auto"/>
      </w:pPr>
      <w:r>
        <w:rPr>
          <w:rFonts w:ascii="Calibri" w:cs="Calibri" w:eastAsia="Calibri" w:hAnsi="Calibri"/>
          <w:b w:val="false"/>
          <w:bCs w:val="false"/>
          <w:i w:val="false"/>
          <w:iCs w:val="false"/>
          <w:strike w:val="false"/>
          <w:color w:val="1A1A1A"/>
          <w:sz w:val="23"/>
          <w:szCs w:val="23"/>
        </w:rPr>
        <w:t xml:space="preserve">The higher tier Nathan was also referring to — the document that is "a higher tier of you cannot be here" — is a court order. In California, employers and facilities can seek a Workplace Violence Restraining Order under Code of Civil Procedure § 527.8. This is issued by a judge, is legally enforceable, and carries consequences if violated. It is not just internal policy — it has the force of law.</w:t>
      </w:r>
    </w:p>
    <w:p>
      <w:pPr>
        <w:pBdr>
          <w:bottom w:val="single" w:color="CCCCCC" w:sz="6"/>
        </w:pBdr>
        <w:spacing w:after="240" w:before="240"/>
      </w:pPr>
    </w:p>
    <w:p>
      <w:pPr>
        <w:pBdr>
          <w:bottom w:val="single" w:color="1A1A1A" w:sz="6"/>
        </w:pBdr>
        <w:spacing w:after="240" w:before="240"/>
      </w:pPr>
    </w:p>
    <w:p>
      <w:pPr>
        <w:pStyle w:val="Heading2"/>
        <w:spacing w:after="240" w:before="480" w:line="408" w:lineRule="auto"/>
      </w:pPr>
      <w:r>
        <w:rPr>
          <w:rFonts w:ascii="Calibri" w:cs="Calibri" w:eastAsia="Calibri" w:hAnsi="Calibri"/>
          <w:color w:val="1A1A1A"/>
          <w:sz w:val="23"/>
          <w:szCs w:val="23"/>
        </w:rPr>
        <w:t xml:space="preserve">6   The Book — How Multi-Site Records Work</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This is the part that gets misread if you are not careful about scope.</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The warning at the door is about this property. If the behavior continues, the person will not be allowed on these premises. That is the prediction. That is the sentence staff should say.</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What is separately true — and stays in this record — is internal institutional memory. Organizations that run more than one site keep a book: photo, description, name if they have it, and the reason the person was restricted. Sister sites within the same organization can be notified. Inside that network, other doors can already know who you are before you walk in.</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The comparison from my time at Amazon: in the city I worked in, people who were not allowed at one site were not allowed at the other locations in that network. That record existed across all the locations for that business. A lot of businesses do this when the problem is significant enough.</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That is internal sharing within one organization — not a claim that every unrelated business in town has been called. The scope is the organization's own footprint. But within that footprint, the record travels.</w:t>
      </w:r>
    </w:p>
    <w:p>
      <w:pPr>
        <w:pBdr>
          <w:bottom w:val="single" w:color="1A1A1A" w:sz="6"/>
        </w:pBdr>
        <w:spacing w:after="240" w:before="240"/>
      </w:pPr>
    </w:p>
    <w:p>
      <w:pPr>
        <w:pStyle w:val="Heading2"/>
        <w:spacing w:after="240" w:before="480" w:line="408" w:lineRule="auto"/>
      </w:pPr>
      <w:r>
        <w:rPr>
          <w:rFonts w:ascii="Calibri" w:cs="Calibri" w:eastAsia="Calibri" w:hAnsi="Calibri"/>
          <w:color w:val="1A1A1A"/>
          <w:sz w:val="23"/>
          <w:szCs w:val="23"/>
        </w:rPr>
        <w:t xml:space="preserve">7   Scope — What This Record Is and Is Not Saying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77777" w:sz="6"/>
              <w:left w:val="single" w:color="777777" w:sz="6"/>
              <w:bottom w:val="single" w:color="777777" w:sz="6"/>
              <w:right w:val="single" w:color="777777" w:sz="6"/>
            </w:tcBorders>
            <w:shd w:fill="F5F5F5" w:color="auto" w:val="clear"/>
            <w:tcMar>
              <w:top w:type="dxa" w:w="150"/>
              <w:left w:type="dxa" w:w="210"/>
              <w:bottom w:type="dxa" w:w="150"/>
              <w:right w:type="dxa" w:w="210"/>
            </w:tcMar>
          </w:tcPr>
          <w:p>
            <w:pPr>
              <w:spacing w:after="120" w:line="408" w:lineRule="auto"/>
            </w:pPr>
            <w:r>
              <w:rPr>
                <w:b/>
                <w:bCs/>
                <w:i w:val="false"/>
                <w:iCs w:val="false"/>
                <w:color w:val="1A1A1A"/>
              </w:rPr>
              <w:t xml:space="preserve">Important distinction</w:t>
            </w:r>
          </w:p>
          <w:p>
            <w:pPr>
              <w:spacing w:after="120" w:line="408" w:lineRule="auto"/>
            </w:pPr>
            <w:r>
              <w:t xml:space="preserve">The warning is not: "You will be banned everywhere, and every business in the city already knows your name."</w:t>
            </w:r>
          </w:p>
          <w:p>
            <w:pPr>
              <w:spacing w:after="120" w:line="408" w:lineRule="auto"/>
            </w:pPr>
            <w:r>
              <w:t xml:space="preserve">The warning is: "If you keep doing what you are doing here, you will not be allowed on this premises."</w:t>
            </w:r>
          </w:p>
          <w:p>
            <w:pPr>
              <w:spacing w:after="120" w:line="408" w:lineRule="auto"/>
            </w:pPr>
            <w:r>
              <w:t xml:space="preserve">Those are different sentences. The second one is the accurate one to say at the door.</w:t>
            </w:r>
          </w:p>
        </w:tc>
      </w:tr>
    </w:tbl>
    <w:p>
      <w:pPr>
        <w:spacing w:after="240" w:before="0"/>
      </w:pP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The book and multi-site sharing are real and they belong in this record — but they describe what happens inside an organization's own network, not a prediction about every door in town. Unless there is coordination with law enforcement, other unrelated businesses are not automatically on alert. Shared awareness lives inside the same company.</w:t>
      </w:r>
    </w:p>
    <w:p>
      <w:pPr>
        <w:spacing w:after="240" w:before="60" w:line="408" w:lineRule="auto"/>
      </w:pPr>
      <w:r>
        <w:rPr>
          <w:rFonts w:ascii="Calibri" w:cs="Calibri" w:eastAsia="Calibri" w:hAnsi="Calibri"/>
          <w:b w:val="false"/>
          <w:bCs w:val="false"/>
          <w:i w:val="false"/>
          <w:iCs w:val="false"/>
          <w:strike w:val="false"/>
          <w:color w:val="1A1A1A"/>
          <w:sz w:val="23"/>
          <w:szCs w:val="23"/>
        </w:rPr>
        <w:t xml:space="preserve">One more important qualification: access restrictions in a healthcare facility cannot be used to block a person from receiving legitimate patient care or from exercising a legal right to visitation. The policy applies to unauthorized presence and disruptive conduct — it does not override medical necessity or patient rights.</w:t>
      </w:r>
    </w:p>
    <w:p>
      <w:pPr>
        <w:pBdr>
          <w:bottom w:val="single" w:color="CCCCCC" w:sz="6"/>
        </w:pBdr>
        <w:spacing w:after="240" w:before="240"/>
      </w:pPr>
    </w:p>
    <w:p>
      <w:pPr>
        <w:spacing w:after="240" w:line="408" w:lineRule="auto"/>
        <w:jc w:val="center"/>
      </w:pPr>
      <w:r>
        <w:rPr>
          <w:rFonts w:ascii="Calibri Light" w:cs="Calibri Light" w:eastAsia="Calibri Light" w:hAnsi="Calibri Light"/>
          <w:b w:val="false"/>
          <w:bCs w:val="false"/>
          <w:i/>
          <w:iCs/>
          <w:strike w:val="false"/>
          <w:color w:val="888888"/>
          <w:spacing w:val="10"/>
          <w:sz w:val="17"/>
          <w:szCs w:val="17"/>
        </w:rPr>
        <w:t xml:space="preserve">Personal Work Record · Hospital Access Control · Structured from voice note · September 2,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vsJ5G9pw3pixxVAfCfFgi</dc:title>
  <dc:creator>Un-named</dc:creator>
  <dc:description>Generated document</dc:description>
  <cp:lastModifiedBy>Un-named</cp:lastModifiedBy>
  <cp:revision>1</cp:revision>
  <dcterms:created xsi:type="dcterms:W3CDTF">2026-09-02T23:29:18.367Z</dcterms:created>
  <dcterms:modified xsi:type="dcterms:W3CDTF">2026-09-02T23:29:18.367Z</dcterms:modified>
</cp:coreProperties>
</file>

<file path=docProps/custom.xml><?xml version="1.0" encoding="utf-8"?>
<Properties xmlns="http://schemas.openxmlformats.org/officeDocument/2006/custom-properties" xmlns:vt="http://schemas.openxmlformats.org/officeDocument/2006/docPropsVTypes"/>
</file>