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365D"/>
          <w:sz w:val="40"/>
          <w:szCs w:val="40"/>
        </w:rPr>
        <w:t xml:space="preserve">Hospital Visitor Access,</w:t>
      </w:r>
    </w:p>
    <w:p>
      <w:pPr>
        <w:spacing w:after="200"/>
      </w:pPr>
      <w:r>
        <w:rPr>
          <w:rFonts w:ascii="Calibri" w:cs="Calibri" w:eastAsia="Calibri" w:hAnsi="Calibri"/>
          <w:b/>
          <w:bCs/>
          <w:color w:val="1B365D"/>
          <w:sz w:val="32"/>
          <w:szCs w:val="32"/>
        </w:rPr>
        <w:t xml:space="preserve">Premises Exclusion, and Internal Security Records</w:t>
      </w:r>
    </w:p>
    <w:p>
      <w:pPr>
        <w:spacing w:after="240" w:before="0" w:line="276"/>
      </w:pPr>
      <w:r>
        <w:rPr>
          <w:rFonts w:ascii="Calibri" w:cs="Calibri" w:eastAsia="Calibri" w:hAnsi="Calibri"/>
          <w:i/>
          <w:iCs/>
          <w:color w:val="64748B"/>
          <w:sz w:val="22"/>
          <w:szCs w:val="22"/>
        </w:rPr>
        <w:t xml:space="preserve">A unified work record compiled from a first-person voice note, a later scope correction, and multiple structured drafts.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shd w:fill="F8FAFC" w:val="clear"/>
            <w:tcMar>
              <w:top w:type="dxa" w:w="60"/>
              <w:left w:type="dxa" w:w="80"/>
              <w:bottom w:type="dxa" w:w="60"/>
              <w:right w:type="dxa" w:w="80"/>
            </w:tcMar>
            <w:vAlign w:val="center"/>
          </w:tcPr>
          <w:p>
            <w:r>
              <w:rPr>
                <w:rFonts w:ascii="Calibri" w:cs="Calibri" w:eastAsia="Calibri" w:hAnsi="Calibri"/>
                <w:b/>
                <w:bCs/>
                <w:color w:val="1B365D"/>
                <w:sz w:val="20"/>
                <w:szCs w:val="20"/>
              </w:rPr>
              <w:t xml:space="preserve">Title</w:t>
            </w:r>
          </w:p>
        </w:tc>
        <w:tc>
          <w:tcPr>
            <w:tcW w:type="dxa" w:w="7560"/>
            <w:shd w:fill="F8FAFC" w:val="clear"/>
            <w:tcMar>
              <w:top w:type="dxa" w:w="60"/>
              <w:left w:type="dxa" w:w="80"/>
              <w:bottom w:type="dxa" w:w="60"/>
              <w:right w:type="dxa" w:w="80"/>
            </w:tcMar>
            <w:vAlign w:val="center"/>
          </w:tcPr>
          <w:p>
            <w:r>
              <w:rPr>
                <w:rFonts w:ascii="Calibri" w:cs="Calibri" w:eastAsia="Calibri" w:hAnsi="Calibri"/>
                <w:color w:val="334155"/>
                <w:sz w:val="20"/>
                <w:szCs w:val="20"/>
              </w:rPr>
              <w:t xml:space="preserve">Hospital Visitor Access, Premises Exclusion, and Internal Security Records</w:t>
            </w:r>
          </w:p>
        </w:tc>
      </w:tr>
      <w:tr>
        <w:tc>
          <w:tcPr>
            <w:tcW w:type="dxa" w:w="2520"/>
            <w:shd w:fill="FFFFFF" w:val="clear"/>
            <w:tcMar>
              <w:top w:type="dxa" w:w="60"/>
              <w:left w:type="dxa" w:w="80"/>
              <w:bottom w:type="dxa" w:w="60"/>
              <w:right w:type="dxa" w:w="80"/>
            </w:tcMar>
            <w:vAlign w:val="center"/>
          </w:tcPr>
          <w:p>
            <w:r>
              <w:rPr>
                <w:rFonts w:ascii="Calibri" w:cs="Calibri" w:eastAsia="Calibri" w:hAnsi="Calibri"/>
                <w:b/>
                <w:bCs/>
                <w:color w:val="1B365D"/>
                <w:sz w:val="20"/>
                <w:szCs w:val="20"/>
              </w:rPr>
              <w:t xml:space="preserve">Document type</w:t>
            </w:r>
          </w:p>
        </w:tc>
        <w:tc>
          <w:tcPr>
            <w:tcW w:type="dxa" w:w="7560"/>
            <w:shd w:fill="FFFFFF" w:val="clear"/>
            <w:tcMar>
              <w:top w:type="dxa" w:w="60"/>
              <w:left w:type="dxa" w:w="80"/>
              <w:bottom w:type="dxa" w:w="60"/>
              <w:right w:type="dxa" w:w="80"/>
            </w:tcMar>
            <w:vAlign w:val="center"/>
          </w:tcPr>
          <w:p>
            <w:r>
              <w:rPr>
                <w:rFonts w:ascii="Calibri" w:cs="Calibri" w:eastAsia="Calibri" w:hAnsi="Calibri"/>
                <w:color w:val="334155"/>
                <w:sz w:val="20"/>
                <w:szCs w:val="20"/>
              </w:rPr>
              <w:t xml:space="preserve">Personal workplace record / structured voice-note synthesis</w:t>
            </w:r>
          </w:p>
        </w:tc>
      </w:tr>
      <w:tr>
        <w:tc>
          <w:tcPr>
            <w:tcW w:type="dxa" w:w="2520"/>
            <w:shd w:fill="F8FAFC" w:val="clear"/>
            <w:tcMar>
              <w:top w:type="dxa" w:w="60"/>
              <w:left w:type="dxa" w:w="80"/>
              <w:bottom w:type="dxa" w:w="60"/>
              <w:right w:type="dxa" w:w="80"/>
            </w:tcMar>
            <w:vAlign w:val="center"/>
          </w:tcPr>
          <w:p>
            <w:r>
              <w:rPr>
                <w:rFonts w:ascii="Calibri" w:cs="Calibri" w:eastAsia="Calibri" w:hAnsi="Calibri"/>
                <w:b/>
                <w:bCs/>
                <w:color w:val="1B365D"/>
                <w:sz w:val="20"/>
                <w:szCs w:val="20"/>
              </w:rPr>
              <w:t xml:space="preserve">Preparer</w:t>
            </w:r>
          </w:p>
        </w:tc>
        <w:tc>
          <w:tcPr>
            <w:tcW w:type="dxa" w:w="7560"/>
            <w:shd w:fill="F8FAFC" w:val="clear"/>
            <w:tcMar>
              <w:top w:type="dxa" w:w="60"/>
              <w:left w:type="dxa" w:w="80"/>
              <w:bottom w:type="dxa" w:w="60"/>
              <w:right w:type="dxa" w:w="80"/>
            </w:tcMar>
            <w:vAlign w:val="center"/>
          </w:tcPr>
          <w:p>
            <w:r>
              <w:rPr>
                <w:rFonts w:ascii="Calibri" w:cs="Calibri" w:eastAsia="Calibri" w:hAnsi="Calibri"/>
                <w:color w:val="334155"/>
                <w:sz w:val="20"/>
                <w:szCs w:val="20"/>
              </w:rPr>
              <w:t xml:space="preserve">Grok, built by xAI</w:t>
            </w:r>
          </w:p>
        </w:tc>
      </w:tr>
      <w:tr>
        <w:tc>
          <w:tcPr>
            <w:tcW w:type="dxa" w:w="2520"/>
            <w:shd w:fill="FFFFFF" w:val="clear"/>
            <w:tcMar>
              <w:top w:type="dxa" w:w="60"/>
              <w:left w:type="dxa" w:w="80"/>
              <w:bottom w:type="dxa" w:w="60"/>
              <w:right w:type="dxa" w:w="80"/>
            </w:tcMar>
            <w:vAlign w:val="center"/>
          </w:tcPr>
          <w:p>
            <w:r>
              <w:rPr>
                <w:rFonts w:ascii="Calibri" w:cs="Calibri" w:eastAsia="Calibri" w:hAnsi="Calibri"/>
                <w:b/>
                <w:bCs/>
                <w:color w:val="1B365D"/>
                <w:sz w:val="20"/>
                <w:szCs w:val="20"/>
              </w:rPr>
              <w:t xml:space="preserve">Prepared for</w:t>
            </w:r>
          </w:p>
        </w:tc>
        <w:tc>
          <w:tcPr>
            <w:tcW w:type="dxa" w:w="7560"/>
            <w:shd w:fill="FFFFFF" w:val="clear"/>
            <w:tcMar>
              <w:top w:type="dxa" w:w="60"/>
              <w:left w:type="dxa" w:w="80"/>
              <w:bottom w:type="dxa" w:w="60"/>
              <w:right w:type="dxa" w:w="80"/>
            </w:tcMar>
            <w:vAlign w:val="center"/>
          </w:tcPr>
          <w:p>
            <w:r>
              <w:rPr>
                <w:rFonts w:ascii="Calibri" w:cs="Calibri" w:eastAsia="Calibri" w:hAnsi="Calibri"/>
                <w:color w:val="334155"/>
                <w:sz w:val="20"/>
                <w:szCs w:val="20"/>
              </w:rPr>
              <w:t xml:space="preserve">Nathan Lewis — personal work file</w:t>
            </w:r>
          </w:p>
        </w:tc>
      </w:tr>
      <w:tr>
        <w:tc>
          <w:tcPr>
            <w:tcW w:type="dxa" w:w="2520"/>
            <w:shd w:fill="F8FAFC" w:val="clear"/>
            <w:tcMar>
              <w:top w:type="dxa" w:w="60"/>
              <w:left w:type="dxa" w:w="80"/>
              <w:bottom w:type="dxa" w:w="60"/>
              <w:right w:type="dxa" w:w="80"/>
            </w:tcMar>
            <w:vAlign w:val="center"/>
          </w:tcPr>
          <w:p>
            <w:r>
              <w:rPr>
                <w:rFonts w:ascii="Calibri" w:cs="Calibri" w:eastAsia="Calibri" w:hAnsi="Calibri"/>
                <w:b/>
                <w:bCs/>
                <w:color w:val="1B365D"/>
                <w:sz w:val="20"/>
                <w:szCs w:val="20"/>
              </w:rPr>
              <w:t xml:space="preserve">Date</w:t>
            </w:r>
          </w:p>
        </w:tc>
        <w:tc>
          <w:tcPr>
            <w:tcW w:type="dxa" w:w="7560"/>
            <w:shd w:fill="F8FAFC" w:val="clear"/>
            <w:tcMar>
              <w:top w:type="dxa" w:w="60"/>
              <w:left w:type="dxa" w:w="80"/>
              <w:bottom w:type="dxa" w:w="60"/>
              <w:right w:type="dxa" w:w="80"/>
            </w:tcMar>
            <w:vAlign w:val="center"/>
          </w:tcPr>
          <w:p>
            <w:r>
              <w:rPr>
                <w:rFonts w:ascii="Calibri" w:cs="Calibri" w:eastAsia="Calibri" w:hAnsi="Calibri"/>
                <w:color w:val="334155"/>
                <w:sz w:val="20"/>
                <w:szCs w:val="20"/>
              </w:rPr>
              <w:t xml:space="preserve">2 September 2026</w:t>
            </w:r>
          </w:p>
        </w:tc>
      </w:tr>
      <w:tr>
        <w:tc>
          <w:tcPr>
            <w:tcW w:type="dxa" w:w="2520"/>
            <w:shd w:fill="FFFFFF" w:val="clear"/>
            <w:tcMar>
              <w:top w:type="dxa" w:w="60"/>
              <w:left w:type="dxa" w:w="80"/>
              <w:bottom w:type="dxa" w:w="60"/>
              <w:right w:type="dxa" w:w="80"/>
            </w:tcMar>
            <w:vAlign w:val="center"/>
          </w:tcPr>
          <w:p>
            <w:r>
              <w:rPr>
                <w:rFonts w:ascii="Calibri" w:cs="Calibri" w:eastAsia="Calibri" w:hAnsi="Calibri"/>
                <w:b/>
                <w:bCs/>
                <w:color w:val="1B365D"/>
                <w:sz w:val="20"/>
                <w:szCs w:val="20"/>
              </w:rPr>
              <w:t xml:space="preserve">Setting</w:t>
            </w:r>
          </w:p>
        </w:tc>
        <w:tc>
          <w:tcPr>
            <w:tcW w:type="dxa" w:w="7560"/>
            <w:shd w:fill="FFFFFF" w:val="clear"/>
            <w:tcMar>
              <w:top w:type="dxa" w:w="60"/>
              <w:left w:type="dxa" w:w="80"/>
              <w:bottom w:type="dxa" w:w="60"/>
              <w:right w:type="dxa" w:w="80"/>
            </w:tcMar>
            <w:vAlign w:val="center"/>
          </w:tcPr>
          <w:p>
            <w:r>
              <w:rPr>
                <w:rFonts w:ascii="Calibri" w:cs="Calibri" w:eastAsia="Calibri" w:hAnsi="Calibri"/>
                <w:color w:val="334155"/>
                <w:sz w:val="20"/>
                <w:szCs w:val="20"/>
              </w:rPr>
              <w:t xml:space="preserve">Prior hospital employment; later comparison to multi-site employer practice (Amazon). Geographic context: Los Angeles, California.</w:t>
            </w:r>
          </w:p>
        </w:tc>
      </w:tr>
      <w:tr>
        <w:tc>
          <w:tcPr>
            <w:tcW w:type="dxa" w:w="2520"/>
            <w:shd w:fill="F8FAFC" w:val="clear"/>
            <w:tcMar>
              <w:top w:type="dxa" w:w="60"/>
              <w:left w:type="dxa" w:w="80"/>
              <w:bottom w:type="dxa" w:w="60"/>
              <w:right w:type="dxa" w:w="80"/>
            </w:tcMar>
            <w:vAlign w:val="center"/>
          </w:tcPr>
          <w:p>
            <w:r>
              <w:rPr>
                <w:rFonts w:ascii="Calibri" w:cs="Calibri" w:eastAsia="Calibri" w:hAnsi="Calibri"/>
                <w:b/>
                <w:bCs/>
                <w:color w:val="1B365D"/>
                <w:sz w:val="20"/>
                <w:szCs w:val="20"/>
              </w:rPr>
              <w:t xml:space="preserve">Sources merged</w:t>
            </w:r>
          </w:p>
        </w:tc>
        <w:tc>
          <w:tcPr>
            <w:tcW w:type="dxa" w:w="7560"/>
            <w:shd w:fill="F8FAFC" w:val="clear"/>
            <w:tcMar>
              <w:top w:type="dxa" w:w="60"/>
              <w:left w:type="dxa" w:w="80"/>
              <w:bottom w:type="dxa" w:w="60"/>
              <w:right w:type="dxa" w:w="80"/>
            </w:tcMar>
            <w:vAlign w:val="center"/>
          </w:tcPr>
          <w:p>
            <w:r>
              <w:rPr>
                <w:rFonts w:ascii="Calibri" w:cs="Calibri" w:eastAsia="Calibri" w:hAnsi="Calibri"/>
                <w:color w:val="334155"/>
                <w:sz w:val="20"/>
                <w:szCs w:val="20"/>
              </w:rPr>
              <w:t xml:space="preserve">Original voice note; speaker’s scope correction; Grok drafts; ChatGPT, Gemini, Copilot, and Perplexity drafts. One unrelated Claude output on travel filming was excluded.</w:t>
            </w:r>
          </w:p>
        </w:tc>
      </w:tr>
      <w:tr>
        <w:tc>
          <w:tcPr>
            <w:tcW w:type="dxa" w:w="2520"/>
            <w:shd w:fill="FFFFFF" w:val="clear"/>
            <w:tcMar>
              <w:top w:type="dxa" w:w="60"/>
              <w:left w:type="dxa" w:w="80"/>
              <w:bottom w:type="dxa" w:w="60"/>
              <w:right w:type="dxa" w:w="80"/>
            </w:tcMar>
            <w:vAlign w:val="center"/>
          </w:tcPr>
          <w:p>
            <w:r>
              <w:rPr>
                <w:rFonts w:ascii="Calibri" w:cs="Calibri" w:eastAsia="Calibri" w:hAnsi="Calibri"/>
                <w:b/>
                <w:bCs/>
                <w:color w:val="1B365D"/>
                <w:sz w:val="20"/>
                <w:szCs w:val="20"/>
              </w:rPr>
              <w:t xml:space="preserve">Status</w:t>
            </w:r>
          </w:p>
        </w:tc>
        <w:tc>
          <w:tcPr>
            <w:tcW w:type="dxa" w:w="7560"/>
            <w:shd w:fill="FFFFFF" w:val="clear"/>
            <w:tcMar>
              <w:top w:type="dxa" w:w="60"/>
              <w:left w:type="dxa" w:w="80"/>
              <w:bottom w:type="dxa" w:w="60"/>
              <w:right w:type="dxa" w:w="80"/>
            </w:tcMar>
            <w:vAlign w:val="center"/>
          </w:tcPr>
          <w:p>
            <w:r>
              <w:rPr>
                <w:rFonts w:ascii="Calibri" w:cs="Calibri" w:eastAsia="Calibri" w:hAnsi="Calibri"/>
                <w:color w:val="334155"/>
                <w:sz w:val="20"/>
                <w:szCs w:val="20"/>
              </w:rPr>
              <w:t xml:space="preserve">Personal record. Not legal advice. Not an official hospital or employer policy.</w:t>
            </w:r>
          </w:p>
        </w:tc>
      </w:tr>
    </w:tbl>
    <w:p>
      <w:pPr>
        <w:pStyle w:val="Heading1"/>
        <w:pBdr>
          <w:bottom w:val="single" w:color="CBD5E1" w:sz="8" w:space="6"/>
        </w:pBdr>
        <w:spacing w:after="140" w:before="340"/>
      </w:pPr>
      <w:r>
        <w:rPr>
          <w:rFonts w:ascii="Calibri" w:cs="Calibri" w:eastAsia="Calibri" w:hAnsi="Calibri"/>
          <w:b/>
          <w:bCs/>
          <w:color w:val="1B365D"/>
          <w:sz w:val="28"/>
          <w:szCs w:val="28"/>
        </w:rPr>
        <w:t xml:space="preserve">Content summary</w:t>
      </w:r>
    </w:p>
    <w:p>
      <w:pPr>
        <w:spacing w:after="180" w:before="0" w:line="276"/>
      </w:pPr>
      <w:r>
        <w:rPr>
          <w:rFonts w:ascii="Calibri" w:cs="Calibri" w:eastAsia="Calibri" w:hAnsi="Calibri"/>
          <w:color w:val="334155"/>
          <w:sz w:val="22"/>
          <w:szCs w:val="22"/>
        </w:rPr>
        <w:t xml:space="preserve">This record preserves a recurring workplace observation: hospitals and other controlled sites moved from informal walk-in access to active visitor control. Entry now commonly requires identification, a named destination, and a legitimate purpose. A hospital is a workplace and a care environment, not a place to occupy because someone walked through the door.</w:t>
      </w:r>
    </w:p>
    <w:p>
      <w:pPr>
        <w:spacing w:after="180" w:before="0" w:line="276"/>
      </w:pPr>
      <w:r>
        <w:rPr>
          <w:rFonts w:ascii="Calibri" w:cs="Calibri" w:eastAsia="Calibri" w:hAnsi="Calibri"/>
          <w:color w:val="334155"/>
          <w:sz w:val="22"/>
          <w:szCs w:val="22"/>
        </w:rPr>
        <w:t xml:space="preserve">The record uses a hypothetical front-desk incident — a woman cursing at security and reception — to show the correct sequence: ask the purpose questions, pull the person aside, call security, document, and warn about this property. If the conduct continues, the facility can build a file, share that file with its own other sites, involve police for a Notice of Trespass, and, at a higher tier, seek a court stay-away or workplace-violence restraining order for this workplace.</w:t>
      </w:r>
    </w:p>
    <w:p>
      <w:pPr>
        <w:spacing w:after="180" w:before="0" w:line="276"/>
      </w:pPr>
      <w:r>
        <w:rPr>
          <w:rFonts w:ascii="Calibri" w:cs="Calibri" w:eastAsia="Calibri" w:hAnsi="Calibri"/>
          <w:color w:val="334155"/>
          <w:sz w:val="22"/>
          <w:szCs w:val="22"/>
        </w:rPr>
        <w:t xml:space="preserve">The speaker’s correction is the spine of the document. The warning is not “you will be banned everywhere.” The warning is: if this behavior continues, you will not be allowed on these premises. What is separately true is institutional memory: a book or system with photo, description, and history, which sister sites in the same organization can use. Amazon’s city network is the comparison, not a claim that every unrelated business already knows the person.</w:t>
      </w:r>
    </w:p>
    <w:p>
      <w:pPr>
        <w:pStyle w:val="Heading1"/>
        <w:pBdr>
          <w:bottom w:val="single" w:color="CBD5E1" w:sz="8" w:space="6"/>
        </w:pBdr>
        <w:spacing w:after="140" w:before="340"/>
      </w:pPr>
      <w:r>
        <w:rPr>
          <w:rFonts w:ascii="Calibri" w:cs="Calibri" w:eastAsia="Calibri" w:hAnsi="Calibri"/>
          <w:b/>
          <w:bCs/>
          <w:color w:val="1B365D"/>
          <w:sz w:val="28"/>
          <w:szCs w:val="28"/>
        </w:rPr>
        <w:t xml:space="preserve">Overview</w:t>
      </w:r>
    </w:p>
    <w:p>
      <w:pPr>
        <w:spacing w:after="180" w:before="0" w:line="276"/>
      </w:pPr>
      <w:r>
        <w:rPr>
          <w:rFonts w:ascii="Calibri" w:cs="Calibri" w:eastAsia="Calibri" w:hAnsi="Calibri"/>
          <w:color w:val="334155"/>
          <w:sz w:val="22"/>
          <w:szCs w:val="22"/>
        </w:rPr>
        <w:t xml:space="preserve">The document is arranged so the original intent is visible before the polished account.</w:t>
      </w:r>
    </w:p>
    <w:p>
      <w:pPr>
        <w:pStyle w:val="ListParagraph"/>
        <w:numPr>
          <w:ilvl w:val="0"/>
          <w:numId w:val="2"/>
        </w:numPr>
        <w:spacing w:after="70" w:line="276"/>
      </w:pPr>
      <w:r>
        <w:rPr>
          <w:rFonts w:ascii="Calibri" w:cs="Calibri" w:eastAsia="Calibri" w:hAnsi="Calibri"/>
          <w:color w:val="334155"/>
          <w:sz w:val="22"/>
          <w:szCs w:val="22"/>
        </w:rPr>
        <w:t xml:space="preserve">Section A restates the speaker’s prompt in detailed, complete form — what was meant, including the later correction.</w:t>
      </w:r>
    </w:p>
    <w:p>
      <w:pPr>
        <w:pStyle w:val="ListParagraph"/>
        <w:numPr>
          <w:ilvl w:val="0"/>
          <w:numId w:val="2"/>
        </w:numPr>
        <w:spacing w:after="70" w:line="276"/>
      </w:pPr>
      <w:r>
        <w:rPr>
          <w:rFonts w:ascii="Calibri" w:cs="Calibri" w:eastAsia="Calibri" w:hAnsi="Calibri"/>
          <w:color w:val="334155"/>
          <w:sz w:val="22"/>
          <w:szCs w:val="22"/>
        </w:rPr>
        <w:t xml:space="preserve">Section B is the unified narrative: old policy versus new policy, the incident, the desk questions, the book, the Amazon comparison, and the four-tier ladder on this property.</w:t>
      </w:r>
    </w:p>
    <w:p>
      <w:pPr>
        <w:pStyle w:val="ListParagraph"/>
        <w:numPr>
          <w:ilvl w:val="0"/>
          <w:numId w:val="2"/>
        </w:numPr>
        <w:spacing w:after="70" w:line="276"/>
      </w:pPr>
      <w:r>
        <w:rPr>
          <w:rFonts w:ascii="Calibri" w:cs="Calibri" w:eastAsia="Calibri" w:hAnsi="Calibri"/>
          <w:color w:val="334155"/>
          <w:sz w:val="22"/>
          <w:szCs w:val="22"/>
        </w:rPr>
        <w:t xml:space="preserve">Section C is language for use: a spoken voice-note script, a desk script, and a factual incident log.</w:t>
      </w:r>
    </w:p>
    <w:p>
      <w:pPr>
        <w:pStyle w:val="ListParagraph"/>
        <w:numPr>
          <w:ilvl w:val="0"/>
          <w:numId w:val="2"/>
        </w:numPr>
        <w:spacing w:after="70" w:line="276"/>
      </w:pPr>
      <w:r>
        <w:rPr>
          <w:rFonts w:ascii="Calibri" w:cs="Calibri" w:eastAsia="Calibri" w:hAnsi="Calibri"/>
          <w:color w:val="334155"/>
          <w:sz w:val="22"/>
          <w:szCs w:val="22"/>
        </w:rPr>
        <w:t xml:space="preserve">Section D is the name list for the paperwork and the court step.</w:t>
      </w:r>
    </w:p>
    <w:p>
      <w:pPr>
        <w:pStyle w:val="ListParagraph"/>
        <w:numPr>
          <w:ilvl w:val="0"/>
          <w:numId w:val="2"/>
        </w:numPr>
        <w:spacing w:after="70" w:line="276"/>
      </w:pPr>
      <w:r>
        <w:rPr>
          <w:rFonts w:ascii="Calibri" w:cs="Calibri" w:eastAsia="Calibri" w:hAnsi="Calibri"/>
          <w:color w:val="334155"/>
          <w:sz w:val="22"/>
          <w:szCs w:val="22"/>
        </w:rPr>
        <w:t xml:space="preserve">Section E notes what was kept from the other drafts and what was rejected, including the mismatched Claude response.</w:t>
      </w:r>
    </w:p>
    <w:p>
      <w:pPr>
        <w:spacing w:after="180" w:before="0" w:line="276"/>
      </w:pPr>
      <w:r>
        <w:rPr>
          <w:rFonts w:ascii="Calibri" w:cs="Calibri" w:eastAsia="Calibri" w:hAnsi="Calibri"/>
          <w:color w:val="334155"/>
          <w:sz w:val="22"/>
          <w:szCs w:val="22"/>
        </w:rPr>
        <w:t xml:space="preserve">Word-choice rule used throughout: do not say “solicit this business” unless the person is actually selling, panhandling, or distributing. The conduct described is unauthorized presence, refusal to screen, verbal abuse, disruption, and — if they will not leave — trespass. Do not say “banned everywhere.” Say “banned from these premises,” then, if true, “other sites in this organization can be notified.”</w:t>
      </w:r>
    </w:p>
    <w:p>
      <w:pPr>
        <w:pStyle w:val="Heading1"/>
        <w:pBdr>
          <w:bottom w:val="single" w:color="CBD5E1" w:sz="8" w:space="6"/>
        </w:pBdr>
        <w:spacing w:after="140" w:before="340"/>
      </w:pPr>
      <w:r>
        <w:rPr>
          <w:rFonts w:ascii="Calibri" w:cs="Calibri" w:eastAsia="Calibri" w:hAnsi="Calibri"/>
          <w:b/>
          <w:bCs/>
          <w:color w:val="1B365D"/>
          <w:sz w:val="28"/>
          <w:szCs w:val="28"/>
        </w:rPr>
        <w:t xml:space="preserve">A. Revised detailed prompt</w:t>
      </w:r>
    </w:p>
    <w:p>
      <w:pPr>
        <w:spacing w:after="180" w:before="0" w:line="276"/>
      </w:pPr>
      <w:r>
        <w:rPr>
          <w:rFonts w:ascii="Calibri" w:cs="Calibri" w:eastAsia="Calibri" w:hAnsi="Calibri"/>
          <w:color w:val="334155"/>
          <w:sz w:val="22"/>
          <w:szCs w:val="22"/>
        </w:rPr>
        <w:t xml:space="preserve">This is the original request rewritten as a complete brief. It is what the later sections answer.</w:t>
      </w:r>
    </w:p>
    <w:p>
      <w:pPr>
        <w:spacing w:after="180" w:before="0" w:line="276"/>
      </w:pPr>
      <w:r>
        <w:rPr>
          <w:rFonts w:ascii="Calibri" w:cs="Calibri" w:eastAsia="Calibri" w:hAnsi="Calibri"/>
          <w:color w:val="334155"/>
          <w:sz w:val="22"/>
          <w:szCs w:val="22"/>
        </w:rPr>
        <w:t xml:space="preserve">Help me structure a detailed voice note from hospital work, and keep it as a reusable work record. During the years I worked at a hospital, visitor policy changed. Early on, people could walk in, say they were a visitor, answer a loose “where are you going,” and continue. Front desk and security did not always have a real green light to stop anyone. The site had security at the front entrance, a greeter or door person at the desk, and for a period patient-watch security, which that hospital phased out before I left.</w:t>
      </w:r>
    </w:p>
    <w:p>
      <w:pPr>
        <w:spacing w:after="180" w:before="0" w:line="276"/>
      </w:pPr>
      <w:r>
        <w:rPr>
          <w:rFonts w:ascii="Calibri" w:cs="Calibri" w:eastAsia="Calibri" w:hAnsi="Calibri"/>
          <w:color w:val="334155"/>
          <w:sz w:val="22"/>
          <w:szCs w:val="22"/>
        </w:rPr>
        <w:t xml:space="preserve">The new rule applied to anyone entering the building, not only people who called themselves visitors. You need identification. You need to know who you are going to see. You need a purpose for being there. A hospital is a business with a reason to exist. It is not a playground and not a place for anyone who shows up to hang out.</w:t>
      </w:r>
    </w:p>
    <w:p>
      <w:pPr>
        <w:spacing w:after="180" w:before="0" w:line="276"/>
      </w:pPr>
      <w:r>
        <w:rPr>
          <w:rFonts w:ascii="Calibri" w:cs="Calibri" w:eastAsia="Calibri" w:hAnsi="Calibri"/>
          <w:color w:val="334155"/>
          <w:sz w:val="22"/>
          <w:szCs w:val="22"/>
        </w:rPr>
        <w:t xml:space="preserve">Use this hypothetical. A woman comes in rude and cursing at the security officer and at the person at the front desk. Treat the desk person as me. I call security. Security has her step aside and states the rule: this is a hospital; you have to have a reason to be here; you cannot walk in the front door and go wherever you want; are you here to see somebody; do you have business here; are you here for the ER; what are you here to do; do you have identification; if you are visiting, we need an ID, a destination, and a purpose. You are not an employee. You are not going to occupy this property all day.</w:t>
      </w:r>
    </w:p>
    <w:p>
      <w:pPr>
        <w:spacing w:after="180" w:before="0" w:line="276"/>
      </w:pPr>
      <w:r>
        <w:rPr>
          <w:rFonts w:ascii="Calibri" w:cs="Calibri" w:eastAsia="Calibri" w:hAnsi="Calibri"/>
          <w:color w:val="334155"/>
          <w:sz w:val="22"/>
          <w:szCs w:val="22"/>
        </w:rPr>
        <w:t xml:space="preserve">If she continues that conduct on this property, the next step is a ban from these premises. That is the warning. Do not project that she will be banned from every place she ever walks into. Do predict that if the behavior continues, she will not be allowed on this property.</w:t>
      </w:r>
    </w:p>
    <w:p>
      <w:pPr>
        <w:spacing w:after="180" w:before="0" w:line="276"/>
      </w:pPr>
      <w:r>
        <w:rPr>
          <w:rFonts w:ascii="Calibri" w:cs="Calibri" w:eastAsia="Calibri" w:hAnsi="Calibri"/>
          <w:color w:val="334155"/>
          <w:sz w:val="22"/>
          <w:szCs w:val="22"/>
        </w:rPr>
        <w:t xml:space="preserve">Separately, record the book. Hospitals and other multi-site employers keep a record — image, description, history — so the next shift is not starting from zero. They notify other locations in the same organization. When I worked at Amazon, that record existed at all of the locations in the city I worked. Employees and visitors who were not allowed on a site were not allowed at those other sites in the network either. A lot of businesses do this when the problem is no longer a one-time argument at one door.</w:t>
      </w:r>
    </w:p>
    <w:p>
      <w:pPr>
        <w:spacing w:after="180" w:before="0" w:line="276"/>
      </w:pPr>
      <w:r>
        <w:rPr>
          <w:rFonts w:ascii="Calibri" w:cs="Calibri" w:eastAsia="Calibri" w:hAnsi="Calibri"/>
          <w:color w:val="334155"/>
          <w:sz w:val="22"/>
          <w:szCs w:val="22"/>
        </w:rPr>
        <w:t xml:space="preserve">Also name the police paperwork I could not remember. When people kept showing up just to hang out, we had to call the police. They serve something. After an established history, there is a higher tier, and then the person is no longer allowed at that location. Period. Look up the usual California names for that sequence.</w:t>
      </w:r>
    </w:p>
    <w:p>
      <w:pPr>
        <w:spacing w:after="180" w:before="0" w:line="276"/>
      </w:pPr>
      <w:r>
        <w:rPr>
          <w:rFonts w:ascii="Calibri" w:cs="Calibri" w:eastAsia="Calibri" w:hAnsi="Calibri"/>
          <w:color w:val="334155"/>
          <w:sz w:val="22"/>
          <w:szCs w:val="22"/>
        </w:rPr>
        <w:t xml:space="preserve">This pattern has been showing up at a lot of places I work, more recently. I want the structured note detailed enough to reuse, accurate about scope, and saved as a record.</w:t>
      </w:r>
    </w:p>
    <w:p>
      <w:pPr>
        <w:pStyle w:val="Heading1"/>
        <w:pBdr>
          <w:bottom w:val="single" w:color="CBD5E1" w:sz="8" w:space="6"/>
        </w:pBdr>
        <w:spacing w:after="140" w:before="340"/>
      </w:pPr>
      <w:r>
        <w:rPr>
          <w:rFonts w:ascii="Calibri" w:cs="Calibri" w:eastAsia="Calibri" w:hAnsi="Calibri"/>
          <w:b/>
          <w:bCs/>
          <w:color w:val="1B365D"/>
          <w:sz w:val="28"/>
          <w:szCs w:val="28"/>
        </w:rPr>
        <w:t xml:space="preserve">B. Unified account</w:t>
      </w:r>
    </w:p>
    <w:p>
      <w:pPr>
        <w:pStyle w:val="Heading2"/>
        <w:spacing w:after="100" w:before="240"/>
      </w:pPr>
      <w:r>
        <w:rPr>
          <w:rFonts w:ascii="Calibri" w:cs="Calibri" w:eastAsia="Calibri" w:hAnsi="Calibri"/>
          <w:b/>
          <w:bCs/>
          <w:color w:val="1B365D"/>
          <w:sz w:val="24"/>
          <w:szCs w:val="24"/>
        </w:rPr>
        <w:t xml:space="preserve">1. What a hospital is, and what it is not</w:t>
      </w:r>
    </w:p>
    <w:p>
      <w:pPr>
        <w:spacing w:after="180" w:before="0" w:line="276"/>
      </w:pPr>
      <w:r>
        <w:rPr>
          <w:rFonts w:ascii="Calibri" w:cs="Calibri" w:eastAsia="Calibri" w:hAnsi="Calibri"/>
          <w:color w:val="334155"/>
          <w:sz w:val="22"/>
          <w:szCs w:val="22"/>
        </w:rPr>
        <w:t xml:space="preserve">A hospital is an operational healthcare workplace. Legitimate reasons to enter include visiting a named patient, seeking care including the ER, attending an appointment, accompanying someone receiving services, making an authorized delivery, performing work, or conducting other approved business.</w:t>
      </w:r>
    </w:p>
    <w:p>
      <w:pPr>
        <w:spacing w:after="180" w:before="0" w:line="276"/>
      </w:pPr>
      <w:r>
        <w:rPr>
          <w:rFonts w:ascii="Calibri" w:cs="Calibri" w:eastAsia="Calibri" w:hAnsi="Calibri"/>
          <w:color w:val="334155"/>
          <w:sz w:val="22"/>
          <w:szCs w:val="22"/>
        </w:rPr>
        <w:t xml:space="preserve">Walking through an entrance does not create permission to occupy the building, wander, socialize in the lobby all day, or ignore staff. Hospitals hold patients, medications, equipment, restricted clinical areas, and protected information. Uncontrolled access is a safety and operations problem, not a hospitality failure.</w:t>
      </w:r>
    </w:p>
    <w:p>
      <w:pPr>
        <w:spacing w:after="180" w:before="0" w:line="276"/>
      </w:pPr>
      <w:r>
        <w:rPr>
          <w:rFonts w:ascii="Calibri" w:cs="Calibri" w:eastAsia="Calibri" w:hAnsi="Calibri"/>
          <w:color w:val="334155"/>
          <w:sz w:val="22"/>
          <w:szCs w:val="22"/>
        </w:rPr>
        <w:t xml:space="preserve">Visitor control is not an unlimited power to block emergency care or legitimate visitation. A person in medical distress is on a different track from a person who will not name a purpose and is cursing at the desk. Those two people are not the same case.</w:t>
      </w:r>
    </w:p>
    <w:p>
      <w:pPr>
        <w:pStyle w:val="Heading2"/>
        <w:spacing w:after="100" w:before="240"/>
      </w:pPr>
      <w:r>
        <w:rPr>
          <w:rFonts w:ascii="Calibri" w:cs="Calibri" w:eastAsia="Calibri" w:hAnsi="Calibri"/>
          <w:b/>
          <w:bCs/>
          <w:color w:val="1B365D"/>
          <w:sz w:val="24"/>
          <w:szCs w:val="24"/>
        </w:rPr>
        <w:t xml:space="preserve">2. Old access versus the later rule</w:t>
      </w:r>
    </w:p>
    <w:p>
      <w:pPr>
        <w:spacing w:after="180" w:before="0" w:line="276"/>
      </w:pPr>
      <w:r>
        <w:rPr>
          <w:rFonts w:ascii="Calibri" w:cs="Calibri" w:eastAsia="Calibri" w:hAnsi="Calibri"/>
          <w:color w:val="334155"/>
          <w:sz w:val="22"/>
          <w:szCs w:val="22"/>
        </w:rPr>
        <w:t xml:space="preserve">Early in that employment, access was comparatively informal. A person could enter, identify as a visitor, and often continue with little screening. Staff monitoring the door did not always have clear authority to stop anyone.</w:t>
      </w:r>
    </w:p>
    <w:p>
      <w:pPr>
        <w:spacing w:after="180" w:before="0" w:line="276"/>
      </w:pPr>
      <w:r>
        <w:rPr>
          <w:rFonts w:ascii="Calibri" w:cs="Calibri" w:eastAsia="Calibri" w:hAnsi="Calibri"/>
          <w:color w:val="334155"/>
          <w:sz w:val="22"/>
          <w:szCs w:val="22"/>
        </w:rPr>
        <w:t xml:space="preserve">The facility then moved to active access control. Security at the main entrance and a greeter or door person at the front desk became the first filter. Patient-watch security existed for a period and was phased out before the speaker left. The entry rule stayed.</w:t>
      </w:r>
    </w:p>
    <w:p>
      <w:pPr>
        <w:spacing w:after="180" w:before="0" w:line="276"/>
      </w:pPr>
      <w:r>
        <w:rPr>
          <w:rFonts w:ascii="Calibri" w:cs="Calibri" w:eastAsia="Calibri" w:hAnsi="Calibri"/>
          <w:color w:val="334155"/>
          <w:sz w:val="22"/>
          <w:szCs w:val="22"/>
        </w:rPr>
        <w:t xml:space="preserve">Under the later system, a person entering could be expected to provide:</w:t>
      </w:r>
    </w:p>
    <w:p>
      <w:pPr>
        <w:pStyle w:val="ListParagraph"/>
        <w:numPr>
          <w:ilvl w:val="0"/>
          <w:numId w:val="2"/>
        </w:numPr>
        <w:spacing w:after="70" w:line="276"/>
      </w:pPr>
      <w:r>
        <w:rPr>
          <w:rFonts w:ascii="Calibri" w:cs="Calibri" w:eastAsia="Calibri" w:hAnsi="Calibri"/>
          <w:color w:val="334155"/>
          <w:sz w:val="22"/>
          <w:szCs w:val="22"/>
        </w:rPr>
        <w:t xml:space="preserve">Identification.</w:t>
      </w:r>
    </w:p>
    <w:p>
      <w:pPr>
        <w:pStyle w:val="ListParagraph"/>
        <w:numPr>
          <w:ilvl w:val="0"/>
          <w:numId w:val="2"/>
        </w:numPr>
        <w:spacing w:after="70" w:line="276"/>
      </w:pPr>
      <w:r>
        <w:rPr>
          <w:rFonts w:ascii="Calibri" w:cs="Calibri" w:eastAsia="Calibri" w:hAnsi="Calibri"/>
          <w:color w:val="334155"/>
          <w:sz w:val="22"/>
          <w:szCs w:val="22"/>
        </w:rPr>
        <w:t xml:space="preserve">The name of the person or department they were there to see.</w:t>
      </w:r>
    </w:p>
    <w:p>
      <w:pPr>
        <w:pStyle w:val="ListParagraph"/>
        <w:numPr>
          <w:ilvl w:val="0"/>
          <w:numId w:val="2"/>
        </w:numPr>
        <w:spacing w:after="70" w:line="276"/>
      </w:pPr>
      <w:r>
        <w:rPr>
          <w:rFonts w:ascii="Calibri" w:cs="Calibri" w:eastAsia="Calibri" w:hAnsi="Calibri"/>
          <w:color w:val="334155"/>
          <w:sz w:val="22"/>
          <w:szCs w:val="22"/>
        </w:rPr>
        <w:t xml:space="preserve">Their destination in the building.</w:t>
      </w:r>
    </w:p>
    <w:p>
      <w:pPr>
        <w:pStyle w:val="ListParagraph"/>
        <w:numPr>
          <w:ilvl w:val="0"/>
          <w:numId w:val="2"/>
        </w:numPr>
        <w:spacing w:after="70" w:line="276"/>
      </w:pPr>
      <w:r>
        <w:rPr>
          <w:rFonts w:ascii="Calibri" w:cs="Calibri" w:eastAsia="Calibri" w:hAnsi="Calibri"/>
          <w:color w:val="334155"/>
          <w:sz w:val="22"/>
          <w:szCs w:val="22"/>
        </w:rPr>
        <w:t xml:space="preserve">A legitimate reason for being on site.</w:t>
      </w:r>
    </w:p>
    <w:p>
      <w:pPr>
        <w:spacing w:after="180" w:before="0" w:line="276"/>
      </w:pPr>
      <w:r>
        <w:rPr>
          <w:rFonts w:ascii="Calibri" w:cs="Calibri" w:eastAsia="Calibri" w:hAnsi="Calibri"/>
          <w:color w:val="334155"/>
          <w:sz w:val="22"/>
          <w:szCs w:val="22"/>
        </w:rPr>
        <w:t xml:space="preserve">Employees were a different category because credentials could establish the relationship. Visitors had to establish why they needed access. That is the shift from passive watching to asking.</w:t>
      </w:r>
    </w:p>
    <w:p>
      <w:pPr>
        <w:pStyle w:val="Heading2"/>
        <w:spacing w:after="100" w:before="240"/>
      </w:pPr>
      <w:r>
        <w:rPr>
          <w:rFonts w:ascii="Calibri" w:cs="Calibri" w:eastAsia="Calibri" w:hAnsi="Calibri"/>
          <w:b/>
          <w:bCs/>
          <w:color w:val="1B365D"/>
          <w:sz w:val="24"/>
          <w:szCs w:val="24"/>
        </w:rPr>
        <w:t xml:space="preserve">3. The incident used to explain the rule</w:t>
      </w:r>
    </w:p>
    <w:p>
      <w:pPr>
        <w:spacing w:after="180" w:before="0" w:line="276"/>
      </w:pPr>
      <w:r>
        <w:rPr>
          <w:rFonts w:ascii="Calibri" w:cs="Calibri" w:eastAsia="Calibri" w:hAnsi="Calibri"/>
          <w:color w:val="334155"/>
          <w:sz w:val="22"/>
          <w:szCs w:val="22"/>
        </w:rPr>
        <w:t xml:space="preserve">A woman enters. She is rude. She curses at the security officer and at the person at the front desk. Treat the desk person as the speaker. The desk calls security. Security moves her off the main line so the entrance can keep working.</w:t>
      </w:r>
    </w:p>
    <w:p>
      <w:pPr>
        <w:spacing w:after="180" w:before="0" w:line="276"/>
      </w:pPr>
      <w:r>
        <w:rPr>
          <w:rFonts w:ascii="Calibri" w:cs="Calibri" w:eastAsia="Calibri" w:hAnsi="Calibri"/>
          <w:color w:val="334155"/>
          <w:sz w:val="22"/>
          <w:szCs w:val="22"/>
        </w:rPr>
        <w:t xml:space="preserve">The questions are not decoration:</w:t>
      </w:r>
    </w:p>
    <w:p>
      <w:pPr>
        <w:pStyle w:val="ListParagraph"/>
        <w:numPr>
          <w:ilvl w:val="0"/>
          <w:numId w:val="2"/>
        </w:numPr>
        <w:spacing w:after="70" w:line="276"/>
      </w:pPr>
      <w:r>
        <w:rPr>
          <w:rFonts w:ascii="Calibri" w:cs="Calibri" w:eastAsia="Calibri" w:hAnsi="Calibri"/>
          <w:color w:val="334155"/>
          <w:sz w:val="22"/>
          <w:szCs w:val="22"/>
        </w:rPr>
        <w:t xml:space="preserve">Why are you here?</w:t>
      </w:r>
    </w:p>
    <w:p>
      <w:pPr>
        <w:pStyle w:val="ListParagraph"/>
        <w:numPr>
          <w:ilvl w:val="0"/>
          <w:numId w:val="2"/>
        </w:numPr>
        <w:spacing w:after="70" w:line="276"/>
      </w:pPr>
      <w:r>
        <w:rPr>
          <w:rFonts w:ascii="Calibri" w:cs="Calibri" w:eastAsia="Calibri" w:hAnsi="Calibri"/>
          <w:color w:val="334155"/>
          <w:sz w:val="22"/>
          <w:szCs w:val="22"/>
        </w:rPr>
        <w:t xml:space="preserve">Are you here to visit someone? Who?</w:t>
      </w:r>
    </w:p>
    <w:p>
      <w:pPr>
        <w:pStyle w:val="ListParagraph"/>
        <w:numPr>
          <w:ilvl w:val="0"/>
          <w:numId w:val="2"/>
        </w:numPr>
        <w:spacing w:after="70" w:line="276"/>
      </w:pPr>
      <w:r>
        <w:rPr>
          <w:rFonts w:ascii="Calibri" w:cs="Calibri" w:eastAsia="Calibri" w:hAnsi="Calibri"/>
          <w:color w:val="334155"/>
          <w:sz w:val="22"/>
          <w:szCs w:val="22"/>
        </w:rPr>
        <w:t xml:space="preserve">Are you here for the ER?</w:t>
      </w:r>
    </w:p>
    <w:p>
      <w:pPr>
        <w:pStyle w:val="ListParagraph"/>
        <w:numPr>
          <w:ilvl w:val="0"/>
          <w:numId w:val="2"/>
        </w:numPr>
        <w:spacing w:after="70" w:line="276"/>
      </w:pPr>
      <w:r>
        <w:rPr>
          <w:rFonts w:ascii="Calibri" w:cs="Calibri" w:eastAsia="Calibri" w:hAnsi="Calibri"/>
          <w:color w:val="334155"/>
          <w:sz w:val="22"/>
          <w:szCs w:val="22"/>
        </w:rPr>
        <w:t xml:space="preserve">Do you have an appointment or other authorized business?</w:t>
      </w:r>
    </w:p>
    <w:p>
      <w:pPr>
        <w:pStyle w:val="ListParagraph"/>
        <w:numPr>
          <w:ilvl w:val="0"/>
          <w:numId w:val="2"/>
        </w:numPr>
        <w:spacing w:after="70" w:line="276"/>
      </w:pPr>
      <w:r>
        <w:rPr>
          <w:rFonts w:ascii="Calibri" w:cs="Calibri" w:eastAsia="Calibri" w:hAnsi="Calibri"/>
          <w:color w:val="334155"/>
          <w:sz w:val="22"/>
          <w:szCs w:val="22"/>
        </w:rPr>
        <w:t xml:space="preserve">Where are you trying to go?</w:t>
      </w:r>
    </w:p>
    <w:p>
      <w:pPr>
        <w:pStyle w:val="ListParagraph"/>
        <w:numPr>
          <w:ilvl w:val="0"/>
          <w:numId w:val="2"/>
        </w:numPr>
        <w:spacing w:after="70" w:line="276"/>
      </w:pPr>
      <w:r>
        <w:rPr>
          <w:rFonts w:ascii="Calibri" w:cs="Calibri" w:eastAsia="Calibri" w:hAnsi="Calibri"/>
          <w:color w:val="334155"/>
          <w:sz w:val="22"/>
          <w:szCs w:val="22"/>
        </w:rPr>
        <w:t xml:space="preserve">Do you have identification?</w:t>
      </w:r>
    </w:p>
    <w:p>
      <w:pPr>
        <w:spacing w:after="180" w:before="0" w:line="276"/>
      </w:pPr>
      <w:r>
        <w:rPr>
          <w:rFonts w:ascii="Calibri" w:cs="Calibri" w:eastAsia="Calibri" w:hAnsi="Calibri"/>
          <w:color w:val="334155"/>
          <w:sz w:val="22"/>
          <w:szCs w:val="22"/>
        </w:rPr>
        <w:t xml:space="preserve">Security’s statement of the rule, cleaned of heat but not of meaning: this is a hospital. You have to have a reason to be here. You cannot walk in the front door and go wherever you want. You are not an employee. You are not going to hang around this property all day. If you continue this conduct here, you can be banned from these premises.</w:t>
      </w:r>
    </w:p>
    <w:p>
      <w:pPr>
        <w:pStyle w:val="Heading2"/>
        <w:spacing w:after="100" w:before="240"/>
      </w:pPr>
      <w:r>
        <w:rPr>
          <w:rFonts w:ascii="Calibri" w:cs="Calibri" w:eastAsia="Calibri" w:hAnsi="Calibri"/>
          <w:b/>
          <w:bCs/>
          <w:color w:val="1B365D"/>
          <w:sz w:val="24"/>
          <w:szCs w:val="24"/>
        </w:rPr>
        <w:t xml:space="preserve">4. Isolated friction versus a pattern</w:t>
      </w:r>
    </w:p>
    <w:p>
      <w:pPr>
        <w:spacing w:after="180" w:before="0" w:line="276"/>
      </w:pPr>
      <w:r>
        <w:rPr>
          <w:rFonts w:ascii="Calibri" w:cs="Calibri" w:eastAsia="Calibri" w:hAnsi="Calibri"/>
          <w:color w:val="334155"/>
          <w:sz w:val="22"/>
          <w:szCs w:val="22"/>
        </w:rPr>
        <w:t xml:space="preserve">One frustrated person is not automatically a permanent ban. A file starts to matter when the conduct repeats or when a single incident is serious enough on its own. Examples that change the case:</w:t>
      </w:r>
    </w:p>
    <w:p>
      <w:pPr>
        <w:pStyle w:val="ListParagraph"/>
        <w:numPr>
          <w:ilvl w:val="0"/>
          <w:numId w:val="2"/>
        </w:numPr>
        <w:spacing w:after="70" w:line="276"/>
      </w:pPr>
      <w:r>
        <w:rPr>
          <w:rFonts w:ascii="Calibri" w:cs="Calibri" w:eastAsia="Calibri" w:hAnsi="Calibri"/>
          <w:color w:val="334155"/>
          <w:sz w:val="22"/>
          <w:szCs w:val="22"/>
        </w:rPr>
        <w:t xml:space="preserve">Entering without legitimate business, more than once.</w:t>
      </w:r>
    </w:p>
    <w:p>
      <w:pPr>
        <w:pStyle w:val="ListParagraph"/>
        <w:numPr>
          <w:ilvl w:val="0"/>
          <w:numId w:val="2"/>
        </w:numPr>
        <w:spacing w:after="70" w:line="276"/>
      </w:pPr>
      <w:r>
        <w:rPr>
          <w:rFonts w:ascii="Calibri" w:cs="Calibri" w:eastAsia="Calibri" w:hAnsi="Calibri"/>
          <w:color w:val="334155"/>
          <w:sz w:val="22"/>
          <w:szCs w:val="22"/>
        </w:rPr>
        <w:t xml:space="preserve">Refusing visitor screening.</w:t>
      </w:r>
    </w:p>
    <w:p>
      <w:pPr>
        <w:pStyle w:val="ListParagraph"/>
        <w:numPr>
          <w:ilvl w:val="0"/>
          <w:numId w:val="2"/>
        </w:numPr>
        <w:spacing w:after="70" w:line="276"/>
      </w:pPr>
      <w:r>
        <w:rPr>
          <w:rFonts w:ascii="Calibri" w:cs="Calibri" w:eastAsia="Calibri" w:hAnsi="Calibri"/>
          <w:color w:val="334155"/>
          <w:sz w:val="22"/>
          <w:szCs w:val="22"/>
        </w:rPr>
        <w:t xml:space="preserve">Trying to reach unauthorized or restricted areas.</w:t>
      </w:r>
    </w:p>
    <w:p>
      <w:pPr>
        <w:pStyle w:val="ListParagraph"/>
        <w:numPr>
          <w:ilvl w:val="0"/>
          <w:numId w:val="2"/>
        </w:numPr>
        <w:spacing w:after="70" w:line="276"/>
      </w:pPr>
      <w:r>
        <w:rPr>
          <w:rFonts w:ascii="Calibri" w:cs="Calibri" w:eastAsia="Calibri" w:hAnsi="Calibri"/>
          <w:color w:val="334155"/>
          <w:sz w:val="22"/>
          <w:szCs w:val="22"/>
        </w:rPr>
        <w:t xml:space="preserve">Staying after being told to leave.</w:t>
      </w:r>
    </w:p>
    <w:p>
      <w:pPr>
        <w:pStyle w:val="ListParagraph"/>
        <w:numPr>
          <w:ilvl w:val="0"/>
          <w:numId w:val="2"/>
        </w:numPr>
        <w:spacing w:after="70" w:line="276"/>
      </w:pPr>
      <w:r>
        <w:rPr>
          <w:rFonts w:ascii="Calibri" w:cs="Calibri" w:eastAsia="Calibri" w:hAnsi="Calibri"/>
          <w:color w:val="334155"/>
          <w:sz w:val="22"/>
          <w:szCs w:val="22"/>
        </w:rPr>
        <w:t xml:space="preserve">Coming back after a prior security intervention.</w:t>
      </w:r>
    </w:p>
    <w:p>
      <w:pPr>
        <w:pStyle w:val="ListParagraph"/>
        <w:numPr>
          <w:ilvl w:val="0"/>
          <w:numId w:val="2"/>
        </w:numPr>
        <w:spacing w:after="70" w:line="276"/>
      </w:pPr>
      <w:r>
        <w:rPr>
          <w:rFonts w:ascii="Calibri" w:cs="Calibri" w:eastAsia="Calibri" w:hAnsi="Calibri"/>
          <w:color w:val="334155"/>
          <w:sz w:val="22"/>
          <w:szCs w:val="22"/>
        </w:rPr>
        <w:t xml:space="preserve">Harassing or threatening employees.</w:t>
      </w:r>
    </w:p>
    <w:p>
      <w:pPr>
        <w:pStyle w:val="ListParagraph"/>
        <w:numPr>
          <w:ilvl w:val="0"/>
          <w:numId w:val="2"/>
        </w:numPr>
        <w:spacing w:after="70" w:line="276"/>
      </w:pPr>
      <w:r>
        <w:rPr>
          <w:rFonts w:ascii="Calibri" w:cs="Calibri" w:eastAsia="Calibri" w:hAnsi="Calibri"/>
          <w:color w:val="334155"/>
          <w:sz w:val="22"/>
          <w:szCs w:val="22"/>
        </w:rPr>
        <w:t xml:space="preserve">Creating a real disturbance or interfering with operations.</w:t>
      </w:r>
    </w:p>
    <w:p>
      <w:pPr>
        <w:spacing w:after="180" w:before="0" w:line="276"/>
      </w:pPr>
      <w:r>
        <w:rPr>
          <w:rFonts w:ascii="Calibri" w:cs="Calibri" w:eastAsia="Calibri" w:hAnsi="Calibri"/>
          <w:color w:val="334155"/>
          <w:sz w:val="22"/>
          <w:szCs w:val="22"/>
        </w:rPr>
        <w:t xml:space="preserve">Documentation is what turns those events into institutional memory. Without it, the next employee treats the tenth visit like the first.</w:t>
      </w:r>
    </w:p>
    <w:p>
      <w:pPr>
        <w:pStyle w:val="Heading2"/>
        <w:spacing w:after="100" w:before="240"/>
      </w:pPr>
      <w:r>
        <w:rPr>
          <w:rFonts w:ascii="Calibri" w:cs="Calibri" w:eastAsia="Calibri" w:hAnsi="Calibri"/>
          <w:b/>
          <w:bCs/>
          <w:color w:val="1B365D"/>
          <w:sz w:val="24"/>
          <w:szCs w:val="24"/>
        </w:rPr>
        <w:t xml:space="preserve">5. The book — and what it is not</w:t>
      </w:r>
    </w:p>
    <w:p>
      <w:pPr>
        <w:spacing w:after="180" w:before="0" w:line="276"/>
      </w:pPr>
      <w:r>
        <w:rPr>
          <w:rFonts w:ascii="Calibri" w:cs="Calibri" w:eastAsia="Calibri" w:hAnsi="Calibri"/>
          <w:color w:val="334155"/>
          <w:sz w:val="22"/>
          <w:szCs w:val="22"/>
        </w:rPr>
        <w:t xml:space="preserve">Multiple workplaces the speaker has seen keep a record on people who become a recurring security problem. Depending on the site, that record can hold:</w:t>
      </w:r>
    </w:p>
    <w:p>
      <w:pPr>
        <w:pStyle w:val="ListParagraph"/>
        <w:numPr>
          <w:ilvl w:val="0"/>
          <w:numId w:val="2"/>
        </w:numPr>
        <w:spacing w:after="70" w:line="276"/>
      </w:pPr>
      <w:r>
        <w:rPr>
          <w:rFonts w:ascii="Calibri" w:cs="Calibri" w:eastAsia="Calibri" w:hAnsi="Calibri"/>
          <w:color w:val="334155"/>
          <w:sz w:val="22"/>
          <w:szCs w:val="22"/>
        </w:rPr>
        <w:t xml:space="preserve">Name, when known.</w:t>
      </w:r>
    </w:p>
    <w:p>
      <w:pPr>
        <w:pStyle w:val="ListParagraph"/>
        <w:numPr>
          <w:ilvl w:val="0"/>
          <w:numId w:val="2"/>
        </w:numPr>
        <w:spacing w:after="70" w:line="276"/>
      </w:pPr>
      <w:r>
        <w:rPr>
          <w:rFonts w:ascii="Calibri" w:cs="Calibri" w:eastAsia="Calibri" w:hAnsi="Calibri"/>
          <w:color w:val="334155"/>
          <w:sz w:val="22"/>
          <w:szCs w:val="22"/>
        </w:rPr>
        <w:t xml:space="preserve">Physical description.</w:t>
      </w:r>
    </w:p>
    <w:p>
      <w:pPr>
        <w:pStyle w:val="ListParagraph"/>
        <w:numPr>
          <w:ilvl w:val="0"/>
          <w:numId w:val="2"/>
        </w:numPr>
        <w:spacing w:after="70" w:line="276"/>
      </w:pPr>
      <w:r>
        <w:rPr>
          <w:rFonts w:ascii="Calibri" w:cs="Calibri" w:eastAsia="Calibri" w:hAnsi="Calibri"/>
          <w:color w:val="334155"/>
          <w:sz w:val="22"/>
          <w:szCs w:val="22"/>
        </w:rPr>
        <w:t xml:space="preserve">Photograph or camera still.</w:t>
      </w:r>
    </w:p>
    <w:p>
      <w:pPr>
        <w:pStyle w:val="ListParagraph"/>
        <w:numPr>
          <w:ilvl w:val="0"/>
          <w:numId w:val="2"/>
        </w:numPr>
        <w:spacing w:after="70" w:line="276"/>
      </w:pPr>
      <w:r>
        <w:rPr>
          <w:rFonts w:ascii="Calibri" w:cs="Calibri" w:eastAsia="Calibri" w:hAnsi="Calibri"/>
          <w:color w:val="334155"/>
          <w:sz w:val="22"/>
          <w:szCs w:val="22"/>
        </w:rPr>
        <w:t xml:space="preserve">Dates, door, and what happened.</w:t>
      </w:r>
    </w:p>
    <w:p>
      <w:pPr>
        <w:pStyle w:val="ListParagraph"/>
        <w:numPr>
          <w:ilvl w:val="0"/>
          <w:numId w:val="2"/>
        </w:numPr>
        <w:spacing w:after="70" w:line="276"/>
      </w:pPr>
      <w:r>
        <w:rPr>
          <w:rFonts w:ascii="Calibri" w:cs="Calibri" w:eastAsia="Calibri" w:hAnsi="Calibri"/>
          <w:color w:val="334155"/>
          <w:sz w:val="22"/>
          <w:szCs w:val="22"/>
        </w:rPr>
        <w:t xml:space="preserve">Prior warnings and whether police were called.</w:t>
      </w:r>
    </w:p>
    <w:p>
      <w:pPr>
        <w:pStyle w:val="ListParagraph"/>
        <w:numPr>
          <w:ilvl w:val="0"/>
          <w:numId w:val="2"/>
        </w:numPr>
        <w:spacing w:after="70" w:line="276"/>
      </w:pPr>
      <w:r>
        <w:rPr>
          <w:rFonts w:ascii="Calibri" w:cs="Calibri" w:eastAsia="Calibri" w:hAnsi="Calibri"/>
          <w:color w:val="334155"/>
          <w:sz w:val="22"/>
          <w:szCs w:val="22"/>
        </w:rPr>
        <w:t xml:space="preserve">Whether the person is restricted, and whether security or police should be called if they return.</w:t>
      </w:r>
    </w:p>
    <w:p>
      <w:pPr>
        <w:spacing w:after="180" w:before="0" w:line="276"/>
      </w:pPr>
      <w:r>
        <w:rPr>
          <w:rFonts w:ascii="Calibri" w:cs="Calibri" w:eastAsia="Calibri" w:hAnsi="Calibri"/>
          <w:color w:val="334155"/>
          <w:sz w:val="22"/>
          <w:szCs w:val="22"/>
        </w:rPr>
        <w:t xml:space="preserve">The purpose is continuity on this property, and notice inside the same organization. Sister sites can already have the picture and the note. That is the accurate version of “they will know who you are.” It means this organization’s other doors, not every door in the city.</w:t>
      </w:r>
    </w:p>
    <w:p>
      <w:pPr>
        <w:spacing w:after="180" w:before="0" w:line="276"/>
      </w:pPr>
      <w:r>
        <w:rPr>
          <w:rFonts w:ascii="Calibri" w:cs="Calibri" w:eastAsia="Calibri" w:hAnsi="Calibri"/>
          <w:color w:val="334155"/>
          <w:sz w:val="22"/>
          <w:szCs w:val="22"/>
        </w:rPr>
        <w:t xml:space="preserve">Amazon, in the city the speaker worked, kept that kind of record for employees and visitors who were not allowed on site. It followed the network. You did not start over at the next warehouse as if nothing had happened. Many multi-site businesses do some version of this once the problem is no longer local to one lobby.</w:t>
      </w:r>
    </w:p>
    <w:p>
      <w:pPr>
        <w:spacing w:after="180" w:before="0" w:line="276"/>
      </w:pPr>
      <w:r>
        <w:rPr>
          <w:rFonts w:ascii="Calibri" w:cs="Calibri" w:eastAsia="Calibri" w:hAnsi="Calibri"/>
          <w:color w:val="334155"/>
          <w:sz w:val="22"/>
          <w:szCs w:val="22"/>
        </w:rPr>
        <w:t xml:space="preserve">Say it in two sentences if it has to be said out loud:</w:t>
      </w:r>
    </w:p>
    <w:p>
      <w:pPr>
        <w:spacing w:after="180" w:before="0" w:line="276"/>
      </w:pPr>
      <w:r>
        <w:rPr>
          <w:rFonts w:ascii="Calibri" w:cs="Calibri" w:eastAsia="Calibri" w:hAnsi="Calibri"/>
          <w:color w:val="334155"/>
          <w:sz w:val="22"/>
          <w:szCs w:val="22"/>
        </w:rPr>
        <w:t xml:space="preserve">If this continues, you will be banned from this property. We keep a record — photo and description — and other sites in this organization can be notified.</w:t>
      </w:r>
    </w:p>
    <w:p>
      <w:pPr>
        <w:spacing w:after="180" w:before="0" w:line="276"/>
      </w:pPr>
      <w:r>
        <w:rPr>
          <w:rFonts w:ascii="Calibri" w:cs="Calibri" w:eastAsia="Calibri" w:hAnsi="Calibri"/>
          <w:color w:val="334155"/>
          <w:sz w:val="22"/>
          <w:szCs w:val="22"/>
        </w:rPr>
        <w:t xml:space="preserve">Do not say: everywhere you go, they already know you, and the answer is already no.</w:t>
      </w:r>
    </w:p>
    <w:p>
      <w:pPr>
        <w:pStyle w:val="Heading2"/>
        <w:spacing w:after="100" w:before="240"/>
      </w:pPr>
      <w:r>
        <w:rPr>
          <w:rFonts w:ascii="Calibri" w:cs="Calibri" w:eastAsia="Calibri" w:hAnsi="Calibri"/>
          <w:b/>
          <w:bCs/>
          <w:color w:val="1B365D"/>
          <w:sz w:val="24"/>
          <w:szCs w:val="24"/>
        </w:rPr>
        <w:t xml:space="preserve">6. Escalation ladder on this property</w:t>
      </w:r>
    </w:p>
    <w:p>
      <w:pPr>
        <w:spacing w:after="180" w:before="0" w:line="276"/>
      </w:pPr>
      <w:r>
        <w:rPr>
          <w:rFonts w:ascii="Calibri" w:cs="Calibri" w:eastAsia="Calibri" w:hAnsi="Calibri"/>
          <w:b/>
          <w:bCs/>
          <w:color w:val="334155"/>
          <w:sz w:val="22"/>
          <w:szCs w:val="22"/>
        </w:rPr>
        <w:t xml:space="preserve">Tier 1 — Verbal warning and removal. </w:t>
      </w:r>
      <w:r>
        <w:rPr>
          <w:rFonts w:ascii="Calibri" w:cs="Calibri" w:eastAsia="Calibri" w:hAnsi="Calibri"/>
          <w:color w:val="334155"/>
          <w:sz w:val="22"/>
          <w:szCs w:val="22"/>
        </w:rPr>
        <w:t xml:space="preserve">Staff or security, as the owner’s agent, ask for a purpose or tell the person to leave. If they refuse, they are walked off. That is notice that this site is not open for hanging out.</w:t>
      </w:r>
    </w:p>
    <w:p>
      <w:pPr>
        <w:spacing w:after="180" w:before="0" w:line="276"/>
      </w:pPr>
      <w:r>
        <w:rPr>
          <w:rFonts w:ascii="Calibri" w:cs="Calibri" w:eastAsia="Calibri" w:hAnsi="Calibri"/>
          <w:b/>
          <w:bCs/>
          <w:color w:val="334155"/>
          <w:sz w:val="22"/>
          <w:szCs w:val="22"/>
        </w:rPr>
        <w:t xml:space="preserve">Tier 2 — Written trespass notice, often with police. </w:t>
      </w:r>
      <w:r>
        <w:rPr>
          <w:rFonts w:ascii="Calibri" w:cs="Calibri" w:eastAsia="Calibri" w:hAnsi="Calibri"/>
          <w:color w:val="334155"/>
          <w:sz w:val="22"/>
          <w:szCs w:val="22"/>
        </w:rPr>
        <w:t xml:space="preserve">Usual names in California: Notice of Trespass, trespass warning, no-trespass letter. Officers also say they are “reading trespass” — telling that person, at the facility’s request, that they are not welcome on this property and that coming back is a crime. The hospital also puts them on an internal restricted-visitor or banned-from-campus list. A PC 602 letter can be filed with local police so officers already have standing if the person returns to this property. In California that authorization can remain in effect for a year.</w:t>
      </w:r>
    </w:p>
    <w:p>
      <w:pPr>
        <w:spacing w:after="180" w:before="0" w:line="276"/>
      </w:pPr>
      <w:r>
        <w:rPr>
          <w:rFonts w:ascii="Calibri" w:cs="Calibri" w:eastAsia="Calibri" w:hAnsi="Calibri"/>
          <w:i/>
          <w:iCs/>
          <w:color w:val="334155"/>
          <w:sz w:val="22"/>
          <w:szCs w:val="22"/>
        </w:rPr>
        <w:t xml:space="preserve">The statute most often in play is Penal Code section 602, </w:t>
      </w:r>
      <w:r>
        <w:rPr>
          <w:rFonts w:ascii="Calibri" w:cs="Calibri" w:eastAsia="Calibri" w:hAnsi="Calibri"/>
          <w:color w:val="334155"/>
          <w:sz w:val="22"/>
          <w:szCs w:val="22"/>
        </w:rPr>
        <w:t xml:space="preserve">especially 602(o) (refusing to leave after the owner, the owner’s agent, or a peace officer acting at their request tells them to), 602(k) (entering with intent to interfere with a lawful business), and 602.1 (remaining at a business open to the public and refusing to leave when the conduct interferes with the business). There is no statewide magic number of incidents. Policy and seriousness decide the pace. Threats, violence, or a major disruption can skip steps.</w:t>
      </w:r>
    </w:p>
    <w:p>
      <w:pPr>
        <w:spacing w:after="180" w:before="0" w:line="276"/>
      </w:pPr>
      <w:r>
        <w:rPr>
          <w:rFonts w:ascii="Calibri" w:cs="Calibri" w:eastAsia="Calibri" w:hAnsi="Calibri"/>
          <w:b/>
          <w:bCs/>
          <w:color w:val="334155"/>
          <w:sz w:val="22"/>
          <w:szCs w:val="22"/>
        </w:rPr>
        <w:t xml:space="preserve">Tier 3 — Return after being served. </w:t>
      </w:r>
      <w:r>
        <w:rPr>
          <w:rFonts w:ascii="Calibri" w:cs="Calibri" w:eastAsia="Calibri" w:hAnsi="Calibri"/>
          <w:color w:val="334155"/>
          <w:sz w:val="22"/>
          <w:szCs w:val="22"/>
        </w:rPr>
        <w:t xml:space="preserve">Coming back to this property is no longer a visitor argument. It is trespass. Police can cite or arrest. The desk does not re-try the whole conversation.</w:t>
      </w:r>
    </w:p>
    <w:p>
      <w:pPr>
        <w:spacing w:after="180" w:before="0" w:line="276"/>
      </w:pPr>
      <w:r>
        <w:rPr>
          <w:rFonts w:ascii="Calibri" w:cs="Calibri" w:eastAsia="Calibri" w:hAnsi="Calibri"/>
          <w:b/>
          <w:bCs/>
          <w:color w:val="334155"/>
          <w:sz w:val="22"/>
          <w:szCs w:val="22"/>
        </w:rPr>
        <w:t xml:space="preserve">Tier 4 — Court order tied to this workplace. </w:t>
      </w:r>
      <w:r>
        <w:rPr>
          <w:rFonts w:ascii="Calibri" w:cs="Calibri" w:eastAsia="Calibri" w:hAnsi="Calibri"/>
          <w:color w:val="334155"/>
          <w:sz w:val="22"/>
          <w:szCs w:val="22"/>
        </w:rPr>
        <w:t xml:space="preserve">That is the higher tier the original note was reaching for after an established history. In California the usual civil tool for the employer is a Workplace Violence Restraining Order under Code of Civil Procedure section 527.8. A criminal case can also produce a stay-away order. Then the person is ordered to stay away from this workplace. Violating that order is its own offense. Other names that appear in other systems — exclusion notice, barment, ban-and-bar, Criminal Trespass Warning — describe the same idea at the property-owner level, not a citywide ban.</w:t>
      </w:r>
    </w:p>
    <w:p>
      <w:pPr>
        <w:pStyle w:val="Heading1"/>
        <w:pBdr>
          <w:bottom w:val="single" w:color="CBD5E1" w:sz="8" w:space="6"/>
        </w:pBdr>
        <w:spacing w:after="140" w:before="340"/>
      </w:pPr>
      <w:r>
        <w:rPr>
          <w:rFonts w:ascii="Calibri" w:cs="Calibri" w:eastAsia="Calibri" w:hAnsi="Calibri"/>
          <w:b/>
          <w:bCs/>
          <w:color w:val="1B365D"/>
          <w:sz w:val="28"/>
          <w:szCs w:val="28"/>
        </w:rPr>
        <w:t xml:space="preserve">C. Language for use</w:t>
      </w:r>
    </w:p>
    <w:p>
      <w:pPr>
        <w:pStyle w:val="Heading2"/>
        <w:spacing w:after="100" w:before="240"/>
      </w:pPr>
      <w:r>
        <w:rPr>
          <w:rFonts w:ascii="Calibri" w:cs="Calibri" w:eastAsia="Calibri" w:hAnsi="Calibri"/>
          <w:b/>
          <w:bCs/>
          <w:color w:val="1B365D"/>
          <w:sz w:val="24"/>
          <w:szCs w:val="24"/>
        </w:rPr>
        <w:t xml:space="preserve">Spoken voice-note script</w:t>
      </w:r>
    </w:p>
    <w:p>
      <w:pPr>
        <w:spacing w:after="180" w:before="0" w:line="276"/>
      </w:pPr>
      <w:r>
        <w:rPr>
          <w:rFonts w:ascii="Calibri" w:cs="Calibri" w:eastAsia="Calibri" w:hAnsi="Calibri"/>
          <w:color w:val="334155"/>
          <w:sz w:val="22"/>
          <w:szCs w:val="22"/>
        </w:rPr>
        <w:t xml:space="preserve">The hospital I worked at used to run on an honor system. People walked in, said they were a visitor, and that was often enough. Front desk and security did not always have a real green light to stop anyone. There was security at the front entrance, a greeter or door person at the desk, and for a while patient-watch security, which that hospital later phased out. The access rule that replaced the honor system stayed.</w:t>
      </w:r>
    </w:p>
    <w:p>
      <w:pPr>
        <w:spacing w:after="180" w:before="0" w:line="276"/>
      </w:pPr>
      <w:r>
        <w:rPr>
          <w:rFonts w:ascii="Calibri" w:cs="Calibri" w:eastAsia="Calibri" w:hAnsi="Calibri"/>
          <w:color w:val="334155"/>
          <w:sz w:val="22"/>
          <w:szCs w:val="22"/>
        </w:rPr>
        <w:t xml:space="preserve">Anyone coming in needed identification, a person or department they were there to see, and a purpose. Visit, appointment, work, or the ER. Not hanging out. It is a business. It is not a playground.</w:t>
      </w:r>
    </w:p>
    <w:p>
      <w:pPr>
        <w:spacing w:after="180" w:before="0" w:line="276"/>
      </w:pPr>
      <w:r>
        <w:rPr>
          <w:rFonts w:ascii="Calibri" w:cs="Calibri" w:eastAsia="Calibri" w:hAnsi="Calibri"/>
          <w:color w:val="334155"/>
          <w:sz w:val="22"/>
          <w:szCs w:val="22"/>
        </w:rPr>
        <w:t xml:space="preserve">A woman comes in cursing at security and at the front desk. Say the desk person is me. I call security. They pull her aside and state the policy. This is a hospital. You have to have a reason to be here. You cannot walk in the front door, go wherever you want, and do whatever you please. Are you here to see somebody? Do you have business here? Are you here for the ER? Do you have ID? If you are visiting, we need an ID, a destination, and a purpose. You are not an employee. You are not going to occupy this property all day.</w:t>
      </w:r>
    </w:p>
    <w:p>
      <w:pPr>
        <w:spacing w:after="180" w:before="0" w:line="276"/>
      </w:pPr>
      <w:r>
        <w:rPr>
          <w:rFonts w:ascii="Calibri" w:cs="Calibri" w:eastAsia="Calibri" w:hAnsi="Calibri"/>
          <w:color w:val="334155"/>
          <w:sz w:val="22"/>
          <w:szCs w:val="22"/>
        </w:rPr>
        <w:t xml:space="preserve">If she keeps treating the location that way, the next step is a ban from these premises. That is the warning. Not a speech about the whole city.</w:t>
      </w:r>
    </w:p>
    <w:p>
      <w:pPr>
        <w:spacing w:after="180" w:before="0" w:line="276"/>
      </w:pPr>
      <w:r>
        <w:rPr>
          <w:rFonts w:ascii="Calibri" w:cs="Calibri" w:eastAsia="Calibri" w:hAnsi="Calibri"/>
          <w:color w:val="334155"/>
          <w:sz w:val="22"/>
          <w:szCs w:val="22"/>
        </w:rPr>
        <w:t xml:space="preserve">What is also true is the book. When people kept showing up just to hang out, the hospital kept a record — image, description, history. Other locations in that same system could be notified. At Amazon it was the same idea: employees and visitors who were not allowed on site were in a record that followed the network in that city. A lot of businesses do that once it stops being a one-time argument at one door.</w:t>
      </w:r>
    </w:p>
    <w:p>
      <w:pPr>
        <w:spacing w:after="180" w:before="0" w:line="276"/>
      </w:pPr>
      <w:r>
        <w:rPr>
          <w:rFonts w:ascii="Calibri" w:cs="Calibri" w:eastAsia="Calibri" w:hAnsi="Calibri"/>
          <w:color w:val="334155"/>
          <w:sz w:val="22"/>
          <w:szCs w:val="22"/>
        </w:rPr>
        <w:t xml:space="preserve">If it still does not stop on this property, police get called. They serve a Notice of Trespass. Officers call it reading trespass. After that, coming back to this property can be treated as trespass. If the history is long enough or the conduct is bad enough, the higher tier is a court order for this workplace. Then the person is no longer allowed at that location. Period.</w:t>
      </w:r>
    </w:p>
    <w:p>
      <w:pPr>
        <w:pStyle w:val="Heading2"/>
        <w:spacing w:after="100" w:before="240"/>
      </w:pPr>
      <w:r>
        <w:rPr>
          <w:rFonts w:ascii="Calibri" w:cs="Calibri" w:eastAsia="Calibri" w:hAnsi="Calibri"/>
          <w:b/>
          <w:bCs/>
          <w:color w:val="1B365D"/>
          <w:sz w:val="24"/>
          <w:szCs w:val="24"/>
        </w:rPr>
        <w:t xml:space="preserve">Desk script</w:t>
      </w:r>
    </w:p>
    <w:p>
      <w:pPr>
        <w:spacing w:after="180" w:before="0" w:line="276"/>
      </w:pPr>
      <w:r>
        <w:rPr>
          <w:rFonts w:ascii="Calibri" w:cs="Calibri" w:eastAsia="Calibri" w:hAnsi="Calibri"/>
          <w:color w:val="334155"/>
          <w:sz w:val="22"/>
          <w:szCs w:val="22"/>
        </w:rPr>
        <w:t xml:space="preserve">Calm tone. Do not match cursing.</w:t>
      </w:r>
    </w:p>
    <w:p>
      <w:pPr>
        <w:spacing w:after="180" w:before="0" w:line="276"/>
      </w:pPr>
      <w:r>
        <w:rPr>
          <w:rFonts w:ascii="Calibri" w:cs="Calibri" w:eastAsia="Calibri" w:hAnsi="Calibri"/>
          <w:color w:val="334155"/>
          <w:sz w:val="22"/>
          <w:szCs w:val="22"/>
        </w:rPr>
        <w:t xml:space="preserve">This is a hospital. Entry is for a patient visit, an appointment, work, or emergency care. I need identification, who you are here to see, and where you are going. If you do not have that, I cannot let you through. If you need the ER, I can point you there. If you do not have business here, you need to leave this property.</w:t>
      </w:r>
    </w:p>
    <w:p>
      <w:pPr>
        <w:spacing w:after="180" w:before="0" w:line="276"/>
      </w:pPr>
      <w:r>
        <w:rPr>
          <w:rFonts w:ascii="Calibri" w:cs="Calibri" w:eastAsia="Calibri" w:hAnsi="Calibri"/>
          <w:color w:val="334155"/>
          <w:sz w:val="22"/>
          <w:szCs w:val="22"/>
        </w:rPr>
        <w:t xml:space="preserve">If they escalate:</w:t>
      </w:r>
    </w:p>
    <w:p>
      <w:pPr>
        <w:spacing w:after="180" w:before="0" w:line="276"/>
      </w:pPr>
      <w:r>
        <w:rPr>
          <w:rFonts w:ascii="Calibri" w:cs="Calibri" w:eastAsia="Calibri" w:hAnsi="Calibri"/>
          <w:color w:val="334155"/>
          <w:sz w:val="22"/>
          <w:szCs w:val="22"/>
        </w:rPr>
        <w:t xml:space="preserve">I am not going to continue this while you are yelling. I am calling security. If you keep this up, you can be banned from these premises.</w:t>
      </w:r>
    </w:p>
    <w:p>
      <w:pPr>
        <w:spacing w:after="180" w:before="0" w:line="276"/>
      </w:pPr>
      <w:r>
        <w:rPr>
          <w:rFonts w:ascii="Calibri" w:cs="Calibri" w:eastAsia="Calibri" w:hAnsi="Calibri"/>
          <w:color w:val="334155"/>
          <w:sz w:val="22"/>
          <w:szCs w:val="22"/>
        </w:rPr>
        <w:t xml:space="preserve">Only if it is already a repeat and the organization actually shares a list:</w:t>
      </w:r>
    </w:p>
    <w:p>
      <w:pPr>
        <w:spacing w:after="180" w:before="0" w:line="276"/>
      </w:pPr>
      <w:r>
        <w:rPr>
          <w:rFonts w:ascii="Calibri" w:cs="Calibri" w:eastAsia="Calibri" w:hAnsi="Calibri"/>
          <w:color w:val="334155"/>
          <w:sz w:val="22"/>
          <w:szCs w:val="22"/>
        </w:rPr>
        <w:t xml:space="preserve">We keep a record of people restricted from this site. Other locations in this organization can be notified. The issue right now is this property. If you continue, you will not be allowed back here.</w:t>
      </w:r>
    </w:p>
    <w:p>
      <w:pPr>
        <w:pStyle w:val="Heading2"/>
        <w:spacing w:after="100" w:before="240"/>
      </w:pPr>
      <w:r>
        <w:rPr>
          <w:rFonts w:ascii="Calibri" w:cs="Calibri" w:eastAsia="Calibri" w:hAnsi="Calibri"/>
          <w:b/>
          <w:bCs/>
          <w:color w:val="1B365D"/>
          <w:sz w:val="24"/>
          <w:szCs w:val="24"/>
        </w:rPr>
        <w:t xml:space="preserve">Incident log language</w:t>
      </w:r>
    </w:p>
    <w:p>
      <w:pPr>
        <w:spacing w:after="180" w:before="0" w:line="276"/>
      </w:pPr>
      <w:r>
        <w:rPr>
          <w:rFonts w:ascii="Calibri" w:cs="Calibri" w:eastAsia="Calibri" w:hAnsi="Calibri"/>
          <w:color w:val="334155"/>
          <w:sz w:val="22"/>
          <w:szCs w:val="22"/>
        </w:rPr>
        <w:t xml:space="preserve">On [date] at approximately [time], an individual entered through [entrance]. Staff began standard visitor screening and asked for identification and a purpose for entering, including whether the person was visiting a patient, seeking care, attending an appointment, or conducting authorized business.</w:t>
      </w:r>
    </w:p>
    <w:p>
      <w:pPr>
        <w:spacing w:after="180" w:before="0" w:line="276"/>
      </w:pPr>
      <w:r>
        <w:rPr>
          <w:rFonts w:ascii="Calibri" w:cs="Calibri" w:eastAsia="Calibri" w:hAnsi="Calibri"/>
          <w:color w:val="334155"/>
          <w:sz w:val="22"/>
          <w:szCs w:val="22"/>
        </w:rPr>
        <w:t xml:space="preserve">The individual did not provide the requested information and used profane, hostile language toward [front-desk staff / security]. Because of the disruption and the failure to complete the entry process, security was called.</w:t>
      </w:r>
    </w:p>
    <w:p>
      <w:pPr>
        <w:spacing w:after="180" w:before="0" w:line="276"/>
      </w:pPr>
      <w:r>
        <w:rPr>
          <w:rFonts w:ascii="Calibri" w:cs="Calibri" w:eastAsia="Calibri" w:hAnsi="Calibri"/>
          <w:color w:val="334155"/>
          <w:sz w:val="22"/>
          <w:szCs w:val="22"/>
        </w:rPr>
        <w:t xml:space="preserve">Security spoke with the individual at [location]. The individual was told that presence on the property requires a legitimate purpose and compliance with visitor procedures. The individual was told that continued disruption, refusal to follow directions, refusal to leave when instructed, or unauthorized return could result in removal, a formal trespass warning, addition to the restricted-visitor record, notice to other sites in this organization if policy allows, and possible law-enforcement involvement.</w:t>
      </w:r>
    </w:p>
    <w:p>
      <w:pPr>
        <w:spacing w:after="180" w:before="0" w:line="276"/>
      </w:pPr>
      <w:r>
        <w:rPr>
          <w:rFonts w:ascii="Calibri" w:cs="Calibri" w:eastAsia="Calibri" w:hAnsi="Calibri"/>
          <w:color w:val="334155"/>
          <w:sz w:val="22"/>
          <w:szCs w:val="22"/>
        </w:rPr>
        <w:t xml:space="preserve">The incident was documented and referred to [security supervisor / manager / risk management] for review. A still or description [was / was not] added to the restricted-access record.</w:t>
      </w:r>
    </w:p>
    <w:p>
      <w:pPr>
        <w:spacing w:after="180" w:before="0" w:line="276"/>
      </w:pPr>
      <w:r>
        <w:rPr>
          <w:rFonts w:ascii="Calibri" w:cs="Calibri" w:eastAsia="Calibri" w:hAnsi="Calibri"/>
          <w:color w:val="334155"/>
          <w:sz w:val="22"/>
          <w:szCs w:val="22"/>
        </w:rPr>
        <w:t xml:space="preserve">Write the same day: date, time, door, your name and role, description, any name or ID, what was said and done, whether a patient was named, who was called and when, whether trespass was read or paper was served, how the person left, and whether sister sites should be notified.</w:t>
      </w:r>
    </w:p>
    <w:p>
      <w:pPr>
        <w:pStyle w:val="Heading1"/>
        <w:pBdr>
          <w:bottom w:val="single" w:color="CBD5E1" w:sz="8" w:space="6"/>
        </w:pBdr>
        <w:spacing w:after="140" w:before="340"/>
      </w:pPr>
      <w:r>
        <w:rPr>
          <w:rFonts w:ascii="Calibri" w:cs="Calibri" w:eastAsia="Calibri" w:hAnsi="Calibri"/>
          <w:b/>
          <w:bCs/>
          <w:color w:val="1B365D"/>
          <w:sz w:val="28"/>
          <w:szCs w:val="28"/>
        </w:rPr>
        <w:t xml:space="preserve">D. Names of the documents</w:t>
      </w:r>
    </w:p>
    <w:p>
      <w:pPr>
        <w:pStyle w:val="ListParagraph"/>
        <w:numPr>
          <w:ilvl w:val="0"/>
          <w:numId w:val="2"/>
        </w:numPr>
        <w:spacing w:after="70" w:line="276"/>
      </w:pPr>
      <w:r>
        <w:rPr>
          <w:rFonts w:ascii="Calibri" w:cs="Calibri" w:eastAsia="Calibri" w:hAnsi="Calibri"/>
          <w:color w:val="334155"/>
          <w:sz w:val="22"/>
          <w:szCs w:val="22"/>
        </w:rPr>
        <w:t xml:space="preserve">Verbal warning / request to leave — staff or security, first step, this property.</w:t>
      </w:r>
    </w:p>
    <w:p>
      <w:pPr>
        <w:pStyle w:val="ListParagraph"/>
        <w:numPr>
          <w:ilvl w:val="0"/>
          <w:numId w:val="2"/>
        </w:numPr>
        <w:spacing w:after="70" w:line="276"/>
      </w:pPr>
      <w:r>
        <w:rPr>
          <w:rFonts w:ascii="Calibri" w:cs="Calibri" w:eastAsia="Calibri" w:hAnsi="Calibri"/>
          <w:color w:val="334155"/>
          <w:sz w:val="22"/>
          <w:szCs w:val="22"/>
        </w:rPr>
        <w:t xml:space="preserve">Restricted-visitor list / banned-from-premises list / internal BOLO-style book — photo, description, history; may be shared with other sites in the same organization.</w:t>
      </w:r>
    </w:p>
    <w:p>
      <w:pPr>
        <w:pStyle w:val="ListParagraph"/>
        <w:numPr>
          <w:ilvl w:val="0"/>
          <w:numId w:val="2"/>
        </w:numPr>
        <w:spacing w:after="70" w:line="276"/>
      </w:pPr>
      <w:r>
        <w:rPr>
          <w:rFonts w:ascii="Calibri" w:cs="Calibri" w:eastAsia="Calibri" w:hAnsi="Calibri"/>
          <w:color w:val="334155"/>
          <w:sz w:val="22"/>
          <w:szCs w:val="22"/>
        </w:rPr>
        <w:t xml:space="preserve">Notice of Trespass / trespass warning / “reading trespass” — usual on-scene police action at the facility’s request.</w:t>
      </w:r>
    </w:p>
    <w:p>
      <w:pPr>
        <w:pStyle w:val="ListParagraph"/>
        <w:numPr>
          <w:ilvl w:val="0"/>
          <w:numId w:val="2"/>
        </w:numPr>
        <w:spacing w:after="70" w:line="276"/>
      </w:pPr>
      <w:r>
        <w:rPr>
          <w:rFonts w:ascii="Calibri" w:cs="Calibri" w:eastAsia="Calibri" w:hAnsi="Calibri"/>
          <w:color w:val="334155"/>
          <w:sz w:val="22"/>
          <w:szCs w:val="22"/>
        </w:rPr>
        <w:t xml:space="preserve">No-trespass letter / PC 602 letter / letter of agency — written authorization on file with police for this property.</w:t>
      </w:r>
    </w:p>
    <w:p>
      <w:pPr>
        <w:pStyle w:val="ListParagraph"/>
        <w:numPr>
          <w:ilvl w:val="0"/>
          <w:numId w:val="2"/>
        </w:numPr>
        <w:spacing w:after="70" w:line="276"/>
      </w:pPr>
      <w:r>
        <w:rPr>
          <w:rFonts w:ascii="Calibri" w:cs="Calibri" w:eastAsia="Calibri" w:hAnsi="Calibri"/>
          <w:color w:val="334155"/>
          <w:sz w:val="22"/>
          <w:szCs w:val="22"/>
        </w:rPr>
        <w:t xml:space="preserve">Facility exclusion / campus ban / barment / ban-and-bar / Criminal Trespass Warning — property-owner language for the same withdrawal of permission; scope is whatever the paper actually names.</w:t>
      </w:r>
    </w:p>
    <w:p>
      <w:pPr>
        <w:pStyle w:val="ListParagraph"/>
        <w:numPr>
          <w:ilvl w:val="0"/>
          <w:numId w:val="2"/>
        </w:numPr>
        <w:spacing w:after="70" w:line="276"/>
      </w:pPr>
      <w:r>
        <w:rPr>
          <w:rFonts w:ascii="Calibri" w:cs="Calibri" w:eastAsia="Calibri" w:hAnsi="Calibri"/>
          <w:color w:val="334155"/>
          <w:sz w:val="22"/>
          <w:szCs w:val="22"/>
        </w:rPr>
        <w:t xml:space="preserve">Workplace Violence Restraining Order (Code of Civil Procedure § 527.8) — court order the employer can seek for this workplace.</w:t>
      </w:r>
    </w:p>
    <w:p>
      <w:pPr>
        <w:pStyle w:val="ListParagraph"/>
        <w:numPr>
          <w:ilvl w:val="0"/>
          <w:numId w:val="2"/>
        </w:numPr>
        <w:spacing w:after="70" w:line="276"/>
      </w:pPr>
      <w:r>
        <w:rPr>
          <w:rFonts w:ascii="Calibri" w:cs="Calibri" w:eastAsia="Calibri" w:hAnsi="Calibri"/>
          <w:color w:val="334155"/>
          <w:sz w:val="22"/>
          <w:szCs w:val="22"/>
        </w:rPr>
        <w:t xml:space="preserve">Stay-away order — court order, usually out of a criminal case.</w:t>
      </w:r>
    </w:p>
    <w:p>
      <w:pPr>
        <w:pStyle w:val="Heading1"/>
        <w:pBdr>
          <w:bottom w:val="single" w:color="CBD5E1" w:sz="8" w:space="6"/>
        </w:pBdr>
        <w:spacing w:after="140" w:before="340"/>
      </w:pPr>
      <w:r>
        <w:rPr>
          <w:rFonts w:ascii="Calibri" w:cs="Calibri" w:eastAsia="Calibri" w:hAnsi="Calibri"/>
          <w:b/>
          <w:bCs/>
          <w:color w:val="1B365D"/>
          <w:sz w:val="28"/>
          <w:szCs w:val="28"/>
        </w:rPr>
        <w:t xml:space="preserve">E. How the source drafts were used</w:t>
      </w:r>
    </w:p>
    <w:p>
      <w:pPr>
        <w:spacing w:after="180" w:before="0" w:line="276"/>
      </w:pPr>
      <w:r>
        <w:rPr>
          <w:rFonts w:ascii="Calibri" w:cs="Calibri" w:eastAsia="Calibri" w:hAnsi="Calibri"/>
          <w:color w:val="334155"/>
          <w:sz w:val="22"/>
          <w:szCs w:val="22"/>
        </w:rPr>
        <w:t xml:space="preserve">Kept from the speaker: the policy change, the three roles at the door, patient watch being phased out, the cursing incident with the desk treated as the speaker, the four purpose questions, the later correction that the ban is this property, the book with image and description, the Amazon city-network comparison, and the request to name the police paper and the higher tier.</w:t>
      </w:r>
    </w:p>
    <w:p>
      <w:pPr>
        <w:spacing w:after="180" w:before="0" w:line="276"/>
      </w:pPr>
      <w:r>
        <w:rPr>
          <w:rFonts w:ascii="Calibri" w:cs="Calibri" w:eastAsia="Calibri" w:hAnsi="Calibri"/>
          <w:color w:val="334155"/>
          <w:sz w:val="22"/>
          <w:szCs w:val="22"/>
        </w:rPr>
        <w:t xml:space="preserve">Kept from the other drafts where they helped: ChatGPT’s isolation-versus-pattern list and the explicit “not banned everywhere” principle. Gemini’s short incident-record shape and the BOLO/trespass-book label for the internal file. Copilot’s clean old-versus-new contrast and the reminder that documentation is what makes a later trespass notice hold. Perplexity’s word-choice correction on “solicit,” the hospital-specific limit that emergency care and lawful visitation are a different case, and the incident-log template.</w:t>
      </w:r>
    </w:p>
    <w:p>
      <w:pPr>
        <w:spacing w:after="180" w:before="0" w:line="276"/>
      </w:pPr>
      <w:r>
        <w:rPr>
          <w:rFonts w:ascii="Calibri" w:cs="Calibri" w:eastAsia="Calibri" w:hAnsi="Calibri"/>
          <w:color w:val="334155"/>
          <w:sz w:val="22"/>
          <w:szCs w:val="22"/>
        </w:rPr>
        <w:t xml:space="preserve">Rejected or cut: any line that forecasts a citywide ban. Claude’s travel-video write-up, which belongs to a different prompt and was not used. Citation padding that treats state-hospital visiting hours or generic vendor blogs as if they were this facility’s policy. Softening that turns a cursing, uncooperative walk-in into a generic “visitor disagreement.”</w:t>
      </w:r>
    </w:p>
    <w:p>
      <w:pPr>
        <w:spacing w:after="180" w:before="80" w:line="276"/>
      </w:pPr>
      <w:r>
        <w:rPr>
          <w:rFonts w:ascii="Calibri" w:cs="Calibri" w:eastAsia="Calibri" w:hAnsi="Calibri"/>
          <w:i/>
          <w:iCs/>
          <w:color w:val="64748B"/>
          <w:sz w:val="22"/>
          <w:szCs w:val="22"/>
        </w:rPr>
        <w:t xml:space="preserve">This document is a personal work record of observation and practice. Actual steps at any site follow that facility’s security policy, visitor policy, and local law-enforcement procedure. It is not legal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120"/>
    </w:pPr>
    <w:r>
      <w:rPr>
        <w:rFonts w:ascii="Calibri" w:cs="Calibri" w:eastAsia="Calibri" w:hAnsi="Calibri"/>
        <w:color w:val="64748B"/>
        <w:sz w:val="16"/>
        <w:szCs w:val="16"/>
      </w:rPr>
      <w:t xml:space="preserve">Prepared by Grok (xAI)  ·  2 September 2026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pBdr>
      <w:spacing w:after="160"/>
    </w:pPr>
    <w:r>
      <w:rPr>
        <w:rFonts w:ascii="Calibri" w:cs="Calibri" w:eastAsia="Calibri" w:hAnsi="Calibri"/>
        <w:b/>
        <w:bCs/>
        <w:color w:val="1B365D"/>
        <w:sz w:val="16"/>
        <w:szCs w:val="16"/>
      </w:rPr>
      <w:t xml:space="preserve">UNIFIED WORK RECORD</w:t>
    </w:r>
    <w:r>
      <w:rPr>
        <w:rFonts w:ascii="Calibri" w:cs="Calibri" w:eastAsia="Calibri" w:hAnsi="Calibri"/>
        <w:color w:val="64748B"/>
        <w:sz w:val="16"/>
        <w:szCs w:val="16"/>
      </w:rPr>
      <w:t xml:space="preserve">   ·   Hospital visitor access and premises exclusion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2026-09-02T19:14:54.556Z</dcterms:created>
  <dcterms:modified xsi:type="dcterms:W3CDTF">2026-09-02T19:14:54.556Z</dcterms:modified>
</cp:coreProperties>
</file>

<file path=docProps/custom.xml><?xml version="1.0" encoding="utf-8"?>
<Properties xmlns="http://schemas.openxmlformats.org/officeDocument/2006/custom-properties" xmlns:vt="http://schemas.openxmlformats.org/officeDocument/2006/docPropsVTypes"/>
</file>