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Hospital Visitor Access, Security Escalation, and Premises Exclusion</w:t>
      </w:r>
    </w:p>
    <w:p>
      <w:pPr>
        <w:spacing w:after="60"/>
      </w:pPr>
      <w:r>
        <w:rPr>
          <w:b/>
          <w:bCs/>
        </w:rPr>
        <w:t xml:space="preserve">Prepared by: </w:t>
      </w:r>
      <w:r>
        <w:t xml:space="preserve">Claude (Anthropic) — synthesized from multi-AI source material and original account</w:t>
      </w:r>
    </w:p>
    <w:p>
      <w:pPr>
        <w:spacing w:after="60"/>
      </w:pPr>
      <w:r>
        <w:rPr>
          <w:b/>
          <w:bCs/>
        </w:rPr>
        <w:t xml:space="preserve">Date Recorded: </w:t>
      </w:r>
      <w:r>
        <w:t xml:space="preserve">September 2, 2026</w:t>
      </w:r>
    </w:p>
    <w:p>
      <w:pPr>
        <w:spacing w:after="60"/>
      </w:pPr>
      <w:r>
        <w:rPr>
          <w:b/>
          <w:bCs/>
        </w:rPr>
        <w:t xml:space="preserve">Source: </w:t>
      </w:r>
      <w:r>
        <w:t xml:space="preserve">Personal workplace recollection; cross-referenced with ChatGPT, Google Gemini, Microsoft Copilot, and Perplexity AI drafts</w:t>
      </w:r>
    </w:p>
    <w:p>
      <w:pPr>
        <w:spacing w:after="60"/>
      </w:pPr>
      <w:r>
        <w:rPr>
          <w:b/>
          <w:bCs/>
        </w:rPr>
        <w:t xml:space="preserve">Purpose: </w:t>
      </w:r>
      <w:r>
        <w:t xml:space="preserve">Preserve a recurring workplace-security observation concerning visitor access, disruptive conduct, documentation, and premises-specific exclusion — for personal reference across multiple work settings.</w:t>
      </w:r>
    </w:p>
    <w:p>
      <w:pPr>
        <w:pStyle w:val="Heading1"/>
        <w:spacing w:after="160" w:before="320"/>
      </w:pPr>
      <w:r>
        <w:t xml:space="preserve">Overview</w:t>
      </w:r>
    </w:p>
    <w:p>
      <w:pPr>
        <w:spacing w:after="160"/>
      </w:pPr>
      <w:r>
        <w:t xml:space="preserve">This document consolidates several independently drafted versions of the same account — the original voice note plus parallel structuring passes from ChatGPT, Google Gemini, Microsoft Copilot, and Perplexity AI — into a single reference record. Each version covered the same core narrative (a hospital's shift from informal to controlled visitor access, a hypothetical disruptive-visitor incident, and the escalation path toward formal trespass exclusion) but varied in terminology precision, legal grounding, and framing of scope.</w:t>
      </w:r>
    </w:p>
    <w:p>
      <w:pPr>
        <w:spacing w:after="160"/>
      </w:pPr>
      <w:r>
        <w:t xml:space="preserve">The synthesis below keeps the strongest, most accurate elements from each pass: the plain-language walkthrough of policy change and staff response, the correct terminology for trespass escalation, the internal record-keeping / BOLO-log concept, and — critically — the scope correction that this describes premises-specific exclusion (with possible multi-site sharing within one organization), not an automatic universal ban. It also incorporates the healthcare-specific qualification that visitor restrictions cannot be used to block legitimate patient care or visitation rights, and a brief statewide legal anchor (California Penal Code § 602) noted by two of the source passes, offered here as general context rather than legal advice.</w:t>
      </w:r>
    </w:p>
    <w:p>
      <w:pPr>
        <w:spacing w:after="160"/>
      </w:pPr>
      <w:r>
        <w:t xml:space="preserve">Note: one of the source transcripts (from the Perplexity pass) included an unrelated file reference to a document titled "UIARC_Preliminary_Information_Collection_Charter_Perplexity.docx." That reference appears to be extraneous to this topic and has been excluded from this record as out of scope.</w:t>
      </w:r>
    </w:p>
    <w:p>
      <w:pPr>
        <w:pStyle w:val="Heading1"/>
        <w:spacing w:after="160" w:before="320"/>
      </w:pPr>
      <w:r>
        <w:t xml:space="preserve">1. Background — Policy Shift</w:t>
      </w:r>
    </w:p>
    <w:p>
      <w:pPr>
        <w:spacing w:after="160"/>
      </w:pPr>
      <w:r>
        <w:t xml:space="preserve">During a prior period of hospital employment, visitor-access procedures changed substantially:</w:t>
      </w:r>
    </w:p>
    <w:p>
      <w:pPr>
        <w:pStyle w:val="ListParagraph"/>
        <w:numPr>
          <w:ilvl w:val="0"/>
          <w:numId w:val="1"/>
        </w:numPr>
        <w:spacing w:after="80"/>
      </w:pPr>
      <w:r>
        <w:t xml:space="preserve">Earlier practice: visitors could enter and self-identify ("I'm a visitor") with minimal verification; staff had limited practical authority to stop or question people once inside.</w:t>
      </w:r>
    </w:p>
    <w:p>
      <w:pPr>
        <w:pStyle w:val="ListParagraph"/>
        <w:numPr>
          <w:ilvl w:val="0"/>
          <w:numId w:val="1"/>
        </w:numPr>
        <w:spacing w:after="80"/>
      </w:pPr>
      <w:r>
        <w:t xml:space="preserve">Security presence existed at that time — a front-entrance post, a greeter/door role, and a patient-watch security function — though patient watch was phased out before the account holder left that hospital.</w:t>
      </w:r>
    </w:p>
    <w:p>
      <w:pPr>
        <w:pStyle w:val="ListParagraph"/>
        <w:numPr>
          <w:ilvl w:val="0"/>
          <w:numId w:val="1"/>
        </w:numPr>
        <w:spacing w:after="80"/>
      </w:pPr>
      <w:r>
        <w:t xml:space="preserve">Revised policy: entry requires identification, a named person or department being visited, and a stated legitimate purpose.</w:t>
      </w:r>
    </w:p>
    <w:p>
      <w:pPr>
        <w:pStyle w:val="ListParagraph"/>
        <w:numPr>
          <w:ilvl w:val="0"/>
          <w:numId w:val="1"/>
        </w:numPr>
        <w:spacing w:after="80"/>
      </w:pPr>
      <w:r>
        <w:t xml:space="preserve">Underlying rationale: a hospital is an operational healthcare facility and a business — not an open public space or a place to "hang out." It contains patients, protected health information, restricted clinical areas, medications, and equipment that require controlled access.</w:t>
      </w:r>
    </w:p>
    <w:p>
      <w:pPr>
        <w:pStyle w:val="Heading1"/>
        <w:spacing w:after="160" w:before="320"/>
      </w:pPr>
      <w:r>
        <w:t xml:space="preserve">2. Visitor Verification Requirements</w:t>
      </w:r>
    </w:p>
    <w:p>
      <w:pPr>
        <w:spacing w:after="160"/>
      </w:pPr>
      <w:r>
        <w:t xml:space="preserve">Under the updated model, a visitor could be expected to provide:</w:t>
      </w:r>
    </w:p>
    <w:p>
      <w:pPr>
        <w:pStyle w:val="ListParagraph"/>
        <w:numPr>
          <w:ilvl w:val="0"/>
          <w:numId w:val="1"/>
        </w:numPr>
        <w:spacing w:after="80"/>
      </w:pPr>
      <w:r>
        <w:t xml:space="preserve">Valid identification</w:t>
      </w:r>
    </w:p>
    <w:p>
      <w:pPr>
        <w:pStyle w:val="ListParagraph"/>
        <w:numPr>
          <w:ilvl w:val="0"/>
          <w:numId w:val="1"/>
        </w:numPr>
        <w:spacing w:after="80"/>
      </w:pPr>
      <w:r>
        <w:t xml:space="preserve">The name of the person they intend to visit</w:t>
      </w:r>
    </w:p>
    <w:p>
      <w:pPr>
        <w:pStyle w:val="ListParagraph"/>
        <w:numPr>
          <w:ilvl w:val="0"/>
          <w:numId w:val="1"/>
        </w:numPr>
        <w:spacing w:after="80"/>
      </w:pPr>
      <w:r>
        <w:t xml:space="preserve">Their intended destination within the facility</w:t>
      </w:r>
    </w:p>
    <w:p>
      <w:pPr>
        <w:pStyle w:val="ListParagraph"/>
        <w:numPr>
          <w:ilvl w:val="0"/>
          <w:numId w:val="1"/>
        </w:numPr>
        <w:spacing w:after="80"/>
      </w:pPr>
      <w:r>
        <w:t xml:space="preserve">A stated reason for entry (e.g., patient visit, ER, appointment, authorized business, delivery)</w:t>
      </w:r>
    </w:p>
    <w:p>
      <w:pPr>
        <w:spacing w:after="160"/>
      </w:pPr>
      <w:r>
        <w:t xml:space="preserve">Employees and other authorized personnel are generally distinguished by credentials; the verification burden described here applies to visitors and members of the public without an established relationship to the facility.</w:t>
      </w:r>
    </w:p>
    <w:p>
      <w:pPr>
        <w:pStyle w:val="Heading1"/>
        <w:spacing w:after="160" w:before="320"/>
      </w:pPr>
      <w:r>
        <w:t xml:space="preserve">3. Incident Example (Hypothetical / Composite)</w:t>
      </w:r>
    </w:p>
    <w:p>
      <w:pPr>
        <w:spacing w:after="160"/>
      </w:pPr>
      <w:r>
        <w:t xml:space="preserve">A visitor enters the hospital and becomes verbally aggressive — cursing at front-desk staff and security — while refusing to state a purpose or cooperate with entry screening. Front-desk staff (hypothetically, the account holder) contact security. Security separates the individual from the main reception area and addresses the situation directly.</w:t>
      </w:r>
    </w:p>
    <w:p>
      <w:pPr>
        <w:pStyle w:val="Heading2"/>
        <w:spacing w:after="120" w:before="240"/>
      </w:pPr>
      <w:r>
        <w:t xml:space="preserve">Core questions security asks:</w:t>
      </w:r>
    </w:p>
    <w:p>
      <w:pPr>
        <w:pStyle w:val="ListParagraph"/>
        <w:numPr>
          <w:ilvl w:val="0"/>
          <w:numId w:val="1"/>
        </w:numPr>
        <w:spacing w:after="80"/>
      </w:pPr>
      <w:r>
        <w:t xml:space="preserve">Are you here to see someone specific?</w:t>
      </w:r>
    </w:p>
    <w:p>
      <w:pPr>
        <w:pStyle w:val="ListParagraph"/>
        <w:numPr>
          <w:ilvl w:val="0"/>
          <w:numId w:val="1"/>
        </w:numPr>
        <w:spacing w:after="80"/>
      </w:pPr>
      <w:r>
        <w:t xml:space="preserve">Are you here for the emergency room?</w:t>
      </w:r>
    </w:p>
    <w:p>
      <w:pPr>
        <w:pStyle w:val="ListParagraph"/>
        <w:numPr>
          <w:ilvl w:val="0"/>
          <w:numId w:val="1"/>
        </w:numPr>
        <w:spacing w:after="80"/>
      </w:pPr>
      <w:r>
        <w:t xml:space="preserve">Do you have an appointment or other authorized business?</w:t>
      </w:r>
    </w:p>
    <w:p>
      <w:pPr>
        <w:pStyle w:val="ListParagraph"/>
        <w:numPr>
          <w:ilvl w:val="0"/>
          <w:numId w:val="1"/>
        </w:numPr>
        <w:spacing w:after="80"/>
      </w:pPr>
      <w:r>
        <w:t xml:space="preserve">Who are you trying to see, and where are you trying to go?</w:t>
      </w:r>
    </w:p>
    <w:p>
      <w:pPr>
        <w:pStyle w:val="ListParagraph"/>
        <w:numPr>
          <w:ilvl w:val="0"/>
          <w:numId w:val="1"/>
        </w:numPr>
        <w:spacing w:after="80"/>
      </w:pPr>
      <w:r>
        <w:t xml:space="preserve">Can you provide identification?</w:t>
      </w:r>
    </w:p>
    <w:p>
      <w:pPr>
        <w:pStyle w:val="Heading2"/>
        <w:spacing w:after="120" w:before="240"/>
      </w:pPr>
      <w:r>
        <w:t xml:space="preserve">Boundary-setting language used by security:</w:t>
      </w:r>
    </w:p>
    <w:p>
      <w:pPr>
        <w:spacing w:after="160"/>
      </w:pPr>
      <w:r>
        <w:t xml:space="preserve">"This is a hospital — not a place you can walk into and go wherever you want, whenever you want. You need a reason to be here. You're not an employee, and you can't show up and stay on the premises just to hang out. If this behavior continues, you'll be banned from this property, and it will be documented in our internal records so staff here can recognize you if you come back."</w:t>
      </w:r>
    </w:p>
    <w:p>
      <w:pPr>
        <w:pStyle w:val="Heading2"/>
        <w:spacing w:after="120" w:before="240"/>
      </w:pPr>
      <w:r>
        <w:t xml:space="preserve">Clarification on an earlier draft of this account:</w:t>
      </w:r>
    </w:p>
    <w:p>
      <w:pPr>
        <w:spacing w:after="160"/>
      </w:pPr>
      <w:r>
        <w:t xml:space="preserve">An earlier transcription of this incident (produced from voice-to-text) included language suggesting that security told the visitor other locations would be "on alert" and would immediately recognize and deny her the moment she arrived — as though every site were actively watching for her in real time. That phrasing was a transcription artifact, not the intended meaning. The accurate version, consistent with the record-keeping practice described in Section 6 and 7, is narrower: the business maintains an internal, up-to-date record of who is not permitted on its premises, and that record can be shared across that business's own locations. It does not mean other locations are placed on active alert, and it does not imply real-time recognition at the door — unless law enforcement is separately coordinating on the matter, which is a distinct process (see Section 5).</w:t>
      </w:r>
    </w:p>
    <w:p>
      <w:pPr>
        <w:pStyle w:val="Heading1"/>
        <w:spacing w:after="160" w:before="320"/>
      </w:pPr>
      <w:r>
        <w:t xml:space="preserve">4. Escalation Principle: Isolated Incident vs. Pattern</w:t>
      </w:r>
    </w:p>
    <w:p>
      <w:pPr>
        <w:spacing w:after="160"/>
      </w:pPr>
      <w:r>
        <w:t xml:space="preserve">A single frustrated or difficult interaction does not, by itself, result in a permanent ban. Escalation is tied to a documented pattern, which can include:</w:t>
      </w:r>
    </w:p>
    <w:p>
      <w:pPr>
        <w:pStyle w:val="ListParagraph"/>
        <w:numPr>
          <w:ilvl w:val="0"/>
          <w:numId w:val="1"/>
        </w:numPr>
        <w:spacing w:after="80"/>
      </w:pPr>
      <w:r>
        <w:t xml:space="preserve">Repeatedly entering without legitimate business</w:t>
      </w:r>
    </w:p>
    <w:p>
      <w:pPr>
        <w:pStyle w:val="ListParagraph"/>
        <w:numPr>
          <w:ilvl w:val="0"/>
          <w:numId w:val="1"/>
        </w:numPr>
        <w:spacing w:after="80"/>
      </w:pPr>
      <w:r>
        <w:t xml:space="preserve">Refusing visitor-screening procedures</w:t>
      </w:r>
    </w:p>
    <w:p>
      <w:pPr>
        <w:pStyle w:val="ListParagraph"/>
        <w:numPr>
          <w:ilvl w:val="0"/>
          <w:numId w:val="1"/>
        </w:numPr>
        <w:spacing w:after="80"/>
      </w:pPr>
      <w:r>
        <w:t xml:space="preserve">Attempting to access restricted or unauthorized areas</w:t>
      </w:r>
    </w:p>
    <w:p>
      <w:pPr>
        <w:pStyle w:val="ListParagraph"/>
        <w:numPr>
          <w:ilvl w:val="0"/>
          <w:numId w:val="1"/>
        </w:numPr>
        <w:spacing w:after="80"/>
      </w:pPr>
      <w:r>
        <w:t xml:space="preserve">Remaining on the property after being told to leave</w:t>
      </w:r>
    </w:p>
    <w:p>
      <w:pPr>
        <w:pStyle w:val="ListParagraph"/>
        <w:numPr>
          <w:ilvl w:val="0"/>
          <w:numId w:val="1"/>
        </w:numPr>
        <w:spacing w:after="80"/>
      </w:pPr>
      <w:r>
        <w:t xml:space="preserve">Returning repeatedly after prior security interventions</w:t>
      </w:r>
    </w:p>
    <w:p>
      <w:pPr>
        <w:pStyle w:val="ListParagraph"/>
        <w:numPr>
          <w:ilvl w:val="0"/>
          <w:numId w:val="1"/>
        </w:numPr>
        <w:spacing w:after="80"/>
      </w:pPr>
      <w:r>
        <w:t xml:space="preserve">Harassing or threatening staff</w:t>
      </w:r>
    </w:p>
    <w:p>
      <w:pPr>
        <w:pStyle w:val="ListParagraph"/>
        <w:numPr>
          <w:ilvl w:val="0"/>
          <w:numId w:val="1"/>
        </w:numPr>
        <w:spacing w:after="80"/>
      </w:pPr>
      <w:r>
        <w:t xml:space="preserve">Creating significant disturbances or interfering with operations</w:t>
      </w:r>
    </w:p>
    <w:p>
      <w:pPr>
        <w:spacing w:after="160"/>
      </w:pPr>
      <w:r>
        <w:t xml:space="preserve">As incidents accumulate, security and management document what occurred, building an institutional history so that each new encounter isn't handled in isolation by whichever staff member happens to be present.</w:t>
      </w:r>
    </w:p>
    <w:p>
      <w:pPr>
        <w:pStyle w:val="Heading1"/>
        <w:spacing w:after="160" w:before="320"/>
      </w:pPr>
      <w:r>
        <w:t xml:space="preserve">5. Correct Terminology</w:t>
      </w:r>
    </w:p>
    <w:p>
      <w:pPr>
        <w:spacing w:after="160"/>
      </w:pPr>
      <w:r>
        <w:t xml:space="preserve">The process referenced in the original account — police involvement, a formal document served after a threshold of incidents, and a resulting inability to return — corresponds to the following terms, used variably depending on organization and jurisdiction:</w:t>
      </w:r>
    </w:p>
    <w:p>
      <w:pPr>
        <w:pStyle w:val="ListParagraph"/>
        <w:numPr>
          <w:ilvl w:val="0"/>
          <w:numId w:val="2"/>
        </w:numPr>
        <w:spacing w:after="80"/>
      </w:pPr>
      <w:r>
        <w:t xml:space="preserve">Trespass Warning / Notice of Trespass — an initial formal notice, often issued with police involvement, that a person is no longer permitted on a specific property.</w:t>
      </w:r>
    </w:p>
    <w:p>
      <w:pPr>
        <w:pStyle w:val="ListParagraph"/>
        <w:numPr>
          <w:ilvl w:val="0"/>
          <w:numId w:val="2"/>
        </w:numPr>
        <w:spacing w:after="80"/>
      </w:pPr>
      <w:r>
        <w:t xml:space="preserve">Criminal Trespass Warning (CTW) — the formal document specifically naming the property and the consequence of an unauthorized return.</w:t>
      </w:r>
    </w:p>
    <w:p>
      <w:pPr>
        <w:pStyle w:val="ListParagraph"/>
        <w:numPr>
          <w:ilvl w:val="0"/>
          <w:numId w:val="2"/>
        </w:numPr>
        <w:spacing w:after="80"/>
      </w:pPr>
      <w:r>
        <w:t xml:space="preserve">No-Trespass Order / Exclusion Notice / Barment Notice — related terms used by some organizations and jurisdictions for the same function.</w:t>
      </w:r>
    </w:p>
    <w:p>
      <w:pPr>
        <w:pStyle w:val="ListParagraph"/>
        <w:numPr>
          <w:ilvl w:val="0"/>
          <w:numId w:val="2"/>
        </w:numPr>
        <w:spacing w:after="80"/>
      </w:pPr>
      <w:r>
        <w:t xml:space="preserve">Criminal Trespass (the enforcement stage) — if the person returns after valid notice, they can be arrested for trespassing, since they were already on record as informed that access was withdrawn.</w:t>
      </w:r>
    </w:p>
    <w:p>
      <w:pPr>
        <w:spacing w:after="160"/>
      </w:pPr>
      <w:r>
        <w:t xml:space="preserve">General legal context: some jurisdictions, including California (Penal Code § 602), address refusal to leave property after a lawful directive from an owner, authorized agent, or law enforcement acting on the owner's behalf. This is offered as general background, not legal advice, and specific procedures, terminology, and thresholds vary by state and organization.</w:t>
      </w:r>
    </w:p>
    <w:p>
      <w:pPr>
        <w:pStyle w:val="Heading1"/>
        <w:spacing w:after="160" w:before="320"/>
      </w:pPr>
      <w:r>
        <w:t xml:space="preserve">6. Internal Documentation and Record-Keeping</w:t>
      </w:r>
    </w:p>
    <w:p>
      <w:pPr>
        <w:spacing w:after="160"/>
      </w:pPr>
      <w:r>
        <w:t xml:space="preserve">Separately from the formal trespass process, organizations often maintain their own internal security records for individuals who create recurring concerns. Common terms for this include a BOLO ("be on the lookout") log, a trespass book, or a do-not-admit / persona non grata list.</w:t>
      </w:r>
    </w:p>
    <w:p>
      <w:pPr>
        <w:spacing w:after="160"/>
      </w:pPr>
      <w:r>
        <w:t xml:space="preserve">Such records can include:</w:t>
      </w:r>
    </w:p>
    <w:p>
      <w:pPr>
        <w:pStyle w:val="ListParagraph"/>
        <w:numPr>
          <w:ilvl w:val="0"/>
          <w:numId w:val="1"/>
        </w:numPr>
        <w:spacing w:after="80"/>
      </w:pPr>
      <w:r>
        <w:t xml:space="preserve">Name, if known, and physical description</w:t>
      </w:r>
    </w:p>
    <w:p>
      <w:pPr>
        <w:pStyle w:val="ListParagraph"/>
        <w:numPr>
          <w:ilvl w:val="0"/>
          <w:numId w:val="1"/>
        </w:numPr>
        <w:spacing w:after="80"/>
      </w:pPr>
      <w:r>
        <w:t xml:space="preserve">Photograph or security-camera image</w:t>
      </w:r>
    </w:p>
    <w:p>
      <w:pPr>
        <w:pStyle w:val="ListParagraph"/>
        <w:numPr>
          <w:ilvl w:val="0"/>
          <w:numId w:val="1"/>
        </w:numPr>
        <w:spacing w:after="80"/>
      </w:pPr>
      <w:r>
        <w:t xml:space="preserve">Dates and descriptions of prior incidents</w:t>
      </w:r>
    </w:p>
    <w:p>
      <w:pPr>
        <w:pStyle w:val="ListParagraph"/>
        <w:numPr>
          <w:ilvl w:val="0"/>
          <w:numId w:val="1"/>
        </w:numPr>
        <w:spacing w:after="80"/>
      </w:pPr>
      <w:r>
        <w:t xml:space="preserve">Security reports and any warnings already issued</w:t>
      </w:r>
    </w:p>
    <w:p>
      <w:pPr>
        <w:pStyle w:val="ListParagraph"/>
        <w:numPr>
          <w:ilvl w:val="0"/>
          <w:numId w:val="1"/>
        </w:numPr>
        <w:spacing w:after="80"/>
      </w:pPr>
      <w:r>
        <w:t xml:space="preserve">Instructions on permitted or prohibited access, including whether to contact police if the person returns</w:t>
      </w:r>
    </w:p>
    <w:p>
      <w:pPr>
        <w:spacing w:after="160"/>
      </w:pPr>
      <w:r>
        <w:t xml:space="preserve">Purpose: continuity. Without a shared record, an individual could repeatedly encounter different staff, none of whom are aware of prior incidents. A centralized log lets any staff member recognize that intervention has already occurred.</w:t>
      </w:r>
    </w:p>
    <w:p>
      <w:pPr>
        <w:pStyle w:val="Heading1"/>
        <w:spacing w:after="160" w:before="320"/>
      </w:pPr>
      <w:r>
        <w:t xml:space="preserve">7. Multi-Site Sharing — Scope Correction</w:t>
      </w:r>
    </w:p>
    <w:p>
      <w:pPr>
        <w:spacing w:after="160"/>
      </w:pPr>
      <w:r>
        <w:t xml:space="preserve">A comparable system was also observed at Amazon, where employee and visitor exclusion records were maintained and shared across multiple facilities operated by the same company within a city.</w:t>
      </w:r>
    </w:p>
    <w:p>
      <w:pPr>
        <w:spacing w:after="160"/>
      </w:pPr>
      <w:r>
        <w:t xml:space="preserve">This establishes a real but bounded principle:</w:t>
      </w:r>
    </w:p>
    <w:p>
      <w:pPr>
        <w:pStyle w:val="ListParagraph"/>
        <w:numPr>
          <w:ilvl w:val="0"/>
          <w:numId w:val="1"/>
        </w:numPr>
        <w:spacing w:after="80"/>
      </w:pPr>
      <w:r>
        <w:t xml:space="preserve">An organization operating multiple related facilities may share exclusion information across its own locations, where its policies and applicable law permit it.</w:t>
      </w:r>
    </w:p>
    <w:p>
      <w:pPr>
        <w:pStyle w:val="ListParagraph"/>
        <w:numPr>
          <w:ilvl w:val="0"/>
          <w:numId w:val="1"/>
        </w:numPr>
        <w:spacing w:after="80"/>
      </w:pPr>
      <w:r>
        <w:t xml:space="preserve">This is not the same as being "banned everywhere." One private organization's security determination does not extend to unrelated businesses or properties it does not control.</w:t>
      </w:r>
    </w:p>
    <w:p>
      <w:pPr>
        <w:spacing w:after="160"/>
      </w:pPr>
      <w:r>
        <w:t xml:space="preserve">Accurate framing: continued unauthorized or seriously disruptive behavior can result in loss of permission to enter the specific property where it occurs, and an organization with multiple related facilities may apply or communicate that exclusion across its own network when its policies allow it — nothing broader than that.</w:t>
      </w:r>
    </w:p>
    <w:p>
      <w:pPr>
        <w:pStyle w:val="Heading1"/>
        <w:spacing w:after="160" w:before="320"/>
      </w:pPr>
      <w:r>
        <w:t xml:space="preserve">8. Hospital-Specific Qualification</w:t>
      </w:r>
    </w:p>
    <w:p>
      <w:pPr>
        <w:spacing w:after="160"/>
      </w:pPr>
      <w:r>
        <w:t xml:space="preserve">Hospitals carry an added consideration: patients have visitation rights, and members of the public may have a genuine need for care. Visitor-access restrictions are not a general-purpose tool to arbitrarily block treatment or legitimate visitation.</w:t>
      </w:r>
    </w:p>
    <w:p>
      <w:pPr>
        <w:spacing w:after="160"/>
      </w:pPr>
      <w:r>
        <w:t xml:space="preserve">The operative distinction is between someone seeking emergency care or legitimate visitation, and someone who repeatedly enters without purpose, ignores security instructions, wanders the building, or disrupts operations. Hospitals can set reasonable access procedures and restrict specific individuals where safety, security, patient welfare, or operational need justifies it — without that authority extending to denying access to genuine care-seekers.</w:t>
      </w:r>
    </w:p>
    <w:p>
      <w:pPr>
        <w:pStyle w:val="Heading1"/>
        <w:spacing w:after="160" w:before="320"/>
      </w:pPr>
      <w:r>
        <w:t xml:space="preserve">9. Core Principle (Corrected Framing)</w:t>
      </w:r>
    </w:p>
    <w:p>
      <w:pPr>
        <w:spacing w:after="160"/>
      </w:pPr>
      <w:r>
        <w:t xml:space="preserve">What this record is not meant to convey:</w:t>
      </w:r>
    </w:p>
    <w:p>
      <w:pPr>
        <w:spacing w:after="160"/>
      </w:pPr>
      <w:r>
        <w:rPr>
          <w:i/>
          <w:iCs/>
        </w:rPr>
        <w:t xml:space="preserve">"If you cause trouble at one location, every business will know who you are and you will be banned everywhere." — this overstates what actually happens.</w:t>
      </w:r>
    </w:p>
    <w:p>
      <w:pPr>
        <w:spacing w:after="160"/>
      </w:pPr>
      <w:r>
        <w:t xml:space="preserve">What it is meant to convey:</w:t>
      </w:r>
    </w:p>
    <w:p>
      <w:pPr>
        <w:spacing w:after="160"/>
      </w:pPr>
      <w:r>
        <w:t xml:space="preserve">A controlled workplace may require a legitimate reason for being on the premises and compliance with reasonable visitor and security procedures. Repeated refusal, disruptive conduct, unauthorized presence, or refusal to leave can be documented. As that history develops, response can escalate from a verbal warning to formal exclusion from that property. Where an organization operates multiple facilities with a shared security system, relevant exclusion information may also be communicated among those specific facilities — and no further.</w:t>
      </w:r>
    </w:p>
    <w:p>
      <w:pPr>
        <w:spacing w:after="160"/>
      </w:pPr>
      <w:r>
        <w:t xml:space="preserve">Key ideas preserved: access authorization, progressive intervention, documentation, institutional memory, and premises-specific (or organization-specific) exclusion — not universal or automatic banning.</w:t>
      </w:r>
    </w:p>
    <w:p>
      <w:pPr>
        <w:pStyle w:val="Heading1"/>
        <w:spacing w:after="160" w:before="320"/>
      </w:pPr>
      <w:r>
        <w:t xml:space="preserve">10. Broader Workplace Observation</w:t>
      </w:r>
    </w:p>
    <w:p>
      <w:pPr>
        <w:spacing w:after="160"/>
      </w:pPr>
      <w:r>
        <w:t xml:space="preserve">This pattern extends well beyond hospitals. Large employers, warehouses, corporate campuses, residential programs, government facilities, schools, and other controlled workplaces face the same recurring question: who is entitled to be here, why, and what happens when someone repeatedly disregards the rules governing access.</w:t>
      </w:r>
    </w:p>
    <w:p>
      <w:pPr>
        <w:spacing w:after="160"/>
      </w:pPr>
      <w:r>
        <w:t xml:space="preserve">The general escalation sequence:</w:t>
      </w:r>
    </w:p>
    <w:p>
      <w:pPr>
        <w:spacing w:after="160"/>
      </w:pPr>
      <w:r>
        <w:rPr>
          <w:b/>
          <w:bCs/>
        </w:rPr>
        <w:t xml:space="preserve">Encounter  →  Verification  →  Warning  →  Security Intervention  →  Incident Documentation  →  Pattern Recognition  →  Access Restriction  →  Formal Exclusion (when warranted)</w:t>
      </w:r>
    </w:p>
    <w:p>
      <w:pPr>
        <w:spacing w:after="160"/>
      </w:pPr>
      <w:r>
        <w:t xml:space="preserve">The account holder has noted this type of incident recurring more frequently across recent work settings, which motivated preserving this structured record for personal reference.</w:t>
      </w:r>
    </w:p>
    <w:p>
      <w:pPr>
        <w:pStyle w:val="Heading1"/>
        <w:spacing w:after="160" w:before="320"/>
      </w:pPr>
      <w:r>
        <w:t xml:space="preserve">11. Structured Voice-Note Version (Original Prompt, Revised)</w:t>
      </w:r>
    </w:p>
    <w:p>
      <w:pPr>
        <w:spacing w:after="160"/>
      </w:pPr>
      <w:r>
        <w:t xml:space="preserve">A cleaned-up, structured revision of the original spoken account, correcting terminology and scope while preserving the original narrative and intent:</w:t>
      </w:r>
    </w:p>
    <w:p>
      <w:pPr>
        <w:spacing w:after="160"/>
      </w:pPr>
      <w:r>
        <w:t xml:space="preserve">Background: I worked at a hospital during a period when its visitor policy changed. Previously, visitors could walk in and self-identify with little to no verification — staff didn't really have the authority or process to stop or question them. There was security at the front entrance, including a greeter/door role, and at one point a patient-watch security function (phased out before I left). The policy changed to require identification, a named person you're visiting, and a stated purpose. It's a business and a clinical facility — not a place for anyone to just show up and hang out.</w:t>
      </w:r>
    </w:p>
    <w:p>
      <w:pPr>
        <w:spacing w:after="160"/>
      </w:pPr>
      <w:r>
        <w:t xml:space="preserve">Incident (hypothetical): A woman comes in, is very rude, and starts cursing at the security guard and the front-desk person — hypothetically, me. I call security. They step her aside and lay it out: this is a hospital, you need a reason to be here, you can't just walk in and go wherever you want. Are you here to see someone? Do you have business here? Are you going to the ER? Do you have ID? If you're visiting a patient, we need ID and to know where you're going. You're not an employee, and you're not going to walk around and hang out on the premises all day.</w:t>
      </w:r>
    </w:p>
    <w:p>
      <w:pPr>
        <w:spacing w:after="160"/>
      </w:pPr>
      <w:r>
        <w:t xml:space="preserve">Warning given: If you continue this behavior, you'll be banned from this specific premises. If it comes to that, staff here will know who you are if you come back — we already have a record, and we've flagged it in advance.</w:t>
      </w:r>
    </w:p>
    <w:p>
      <w:pPr>
        <w:spacing w:after="160"/>
      </w:pPr>
      <w:r>
        <w:t xml:space="preserve">Escalation path (corrected terminology): We had to do this before for people who kept showing up just to hang out. If someone keeps it up, you call the police, and they serve a formal Trespass Warning / Notice of Trespass. That requires an established documented history of incidents. Once that threshold is reached and the notice is served, the person is no longer allowed back at that location — and returning afterward can be treated as criminal trespass, since they were already on notice.</w:t>
      </w:r>
    </w:p>
    <w:p>
      <w:pPr>
        <w:spacing w:after="160"/>
      </w:pPr>
      <w:r>
        <w:t xml:space="preserve">Scope clarification (intent): This is not meant to suggest the person is banned from everywhere. It means they're no longer allowed on that specific premises if the behavior continues. Organizations do keep internal records — a description, sometimes an image — and where a company operates multiple locations (as I also saw at Amazon, across every location in the city), that exclusion record can be shared within the organization's own network, kept accurate and up to date. That is different from other locations being placed on active alert or expecting the person's arrival in real time — that kind of heightened, advance-notice response would generally only apply where law enforcement is separately coordinating on the matter. Absent that, it's simply a shared record: if the person shows up at another location within the same business, staff there can check the record and know not to admit them — it stays bounded to that organization's own properties, not the world at large.</w:t>
      </w:r>
    </w:p>
    <w:p>
      <w:pPr>
        <w:pStyle w:val="Heading1"/>
        <w:spacing w:after="160" w:before="320"/>
      </w:pPr>
      <w:r>
        <w:t xml:space="preserve">12. Word-Choice Notes for Future Documentation</w:t>
      </w:r>
    </w:p>
    <w:p>
      <w:pPr>
        <w:pStyle w:val="ListParagraph"/>
        <w:numPr>
          <w:ilvl w:val="0"/>
          <w:numId w:val="1"/>
        </w:numPr>
        <w:spacing w:after="80"/>
      </w:pPr>
      <w:r>
        <w:t xml:space="preserve">Prefer "remained on the premises without authorization" or "engaged in disruptive conduct" over "solicited the business," unless the person was actually selling something, panhandling, or distributing materials.</w:t>
      </w:r>
    </w:p>
    <w:p>
      <w:pPr>
        <w:pStyle w:val="ListParagraph"/>
        <w:numPr>
          <w:ilvl w:val="0"/>
          <w:numId w:val="1"/>
        </w:numPr>
        <w:spacing w:after="80"/>
      </w:pPr>
      <w:r>
        <w:t xml:space="preserve">Prefer "may be excluded from this property" over "will be banned everywhere."</w:t>
      </w:r>
    </w:p>
    <w:p>
      <w:pPr>
        <w:pStyle w:val="ListParagraph"/>
        <w:numPr>
          <w:ilvl w:val="0"/>
          <w:numId w:val="1"/>
        </w:numPr>
        <w:spacing w:after="80"/>
      </w:pPr>
      <w:r>
        <w:t xml:space="preserve">If affiliated locations are involved, state it precisely: "the organization may apply this exclusion to other affiliated facilities, consistent with its written policy and the scope of the notice" — rather than implying an unlimited, cross-industry ban.</w:t>
      </w:r>
    </w:p>
    <w:p>
      <w:pPr>
        <w:pStyle w:val="Heading1"/>
        <w:spacing w:after="160" w:before="320"/>
      </w:pPr>
      <w:r>
        <w:t xml:space="preserve">General Reference Note</w:t>
      </w:r>
    </w:p>
    <w:p>
      <w:pPr>
        <w:spacing w:after="160"/>
      </w:pPr>
      <w:r>
        <w:rPr>
          <w:i/>
          <w:iCs/>
          <w:sz w:val="20"/>
          <w:szCs w:val="20"/>
        </w:rPr>
        <w:t xml:space="preserve">This document reflects general workplace-security concepts, informal recollection, and non-legal-advice reference material. Legal procedures, terminology, and thresholds for trespass warnings and exclusions vary by jurisdiction and by organization; nothing here should be treated as a substitute for an organization's actual written security policy or applicable state law.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31"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2026-09-02T20:35:35.528Z</dcterms:created>
  <dcterms:modified xsi:type="dcterms:W3CDTF">2026-09-02T20:35:35.540Z</dcterms:modified>
</cp:coreProperties>
</file>

<file path=docProps/custom.xml><?xml version="1.0" encoding="utf-8"?>
<Properties xmlns="http://schemas.openxmlformats.org/officeDocument/2006/custom-properties" xmlns:vt="http://schemas.openxmlformats.org/officeDocument/2006/docPropsVTypes"/>
</file>