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44"/>
          <w:szCs w:val="44"/>
        </w:rPr>
        <w:t xml:space="preserve">Hospital Visitor Policy</w:t>
      </w:r>
    </w:p>
    <w:p>
      <w:pPr>
        <w:spacing w:after="80" w:before="0" w:line="276"/>
      </w:pPr>
      <w:r>
        <w:rPr>
          <w:rFonts w:ascii="Calibri" w:cs="Calibri" w:eastAsia="Calibri" w:hAnsi="Calibri"/>
          <w:i/>
          <w:iCs/>
          <w:color w:val="64748B"/>
          <w:sz w:val="22"/>
          <w:szCs w:val="22"/>
        </w:rPr>
        <w:t xml:space="preserve">Why access is controlled, what staff can require at the door, and what happens on this property if someone keeps coming back with no legitimate purpose.</w:t>
      </w:r>
    </w:p>
    <w:p>
      <w:pPr>
        <w:spacing w:after="280" w:before="0" w:line="276"/>
      </w:pPr>
      <w:r>
        <w:rPr>
          <w:rFonts w:ascii="Calibri" w:cs="Calibri" w:eastAsia="Calibri" w:hAnsi="Calibri"/>
          <w:color w:val="64748B"/>
          <w:sz w:val="18"/>
          <w:szCs w:val="18"/>
        </w:rPr>
        <w:t xml:space="preserve">Record date: September 2, 2026. Revised same day after speaker dissent to a preparer-added “do not say” line. Location context: Los Angeles, California.</w:t>
      </w:r>
    </w:p>
    <w:p>
      <w:pPr>
        <w:pStyle w:val="Heading1"/>
        <w:pBdr>
          <w:bottom w:val="single" w:color="CBD5E1" w:sz="8" w:space="6"/>
        </w:pBdr>
        <w:spacing w:after="160" w:before="320"/>
      </w:pPr>
      <w:r>
        <w:rPr>
          <w:rFonts w:ascii="Calibri" w:cs="Calibri" w:eastAsia="Calibri" w:hAnsi="Calibri"/>
          <w:b/>
          <w:bCs/>
          <w:color w:val="1B365D"/>
          <w:sz w:val="28"/>
          <w:szCs w:val="28"/>
        </w:rPr>
        <w:t xml:space="preserve">Two facts that both belong in this note</w:t>
      </w:r>
    </w:p>
    <w:p>
      <w:pPr>
        <w:spacing w:after="200" w:before="0" w:line="276"/>
      </w:pPr>
      <w:r>
        <w:rPr>
          <w:rFonts w:ascii="Calibri" w:cs="Calibri" w:eastAsia="Calibri" w:hAnsi="Calibri"/>
          <w:color w:val="334155"/>
          <w:sz w:val="22"/>
          <w:szCs w:val="22"/>
        </w:rPr>
        <w:t xml:space="preserve">The warning at the door is about this property. If the behavior continues, the person will not be allowed on these premises. That is the prediction.</w:t>
      </w:r>
    </w:p>
    <w:p>
      <w:pPr>
        <w:spacing w:after="200" w:before="0" w:line="276"/>
      </w:pPr>
      <w:r>
        <w:rPr>
          <w:rFonts w:ascii="Calibri" w:cs="Calibri" w:eastAsia="Calibri" w:hAnsi="Calibri"/>
          <w:color w:val="334155"/>
          <w:sz w:val="22"/>
          <w:szCs w:val="22"/>
        </w:rPr>
        <w:t xml:space="preserve">That is not a claim that every unrelated business has already banned them. It also does not erase the second fact: organizations that run more than one site keep a book — photo, description, name if they have it, history — and they notify their other locations. Inside that organization, other doors can already know who the person is. At Amazon, in the city the speaker worked, people who were not allowed on a site were not allowed at those locations. Both facts stay in the record. Neither one is a sentence the speaker is forbidden to say. See the formal dissent log dated 2 September 2026.</w:t>
      </w:r>
    </w:p>
    <w:p>
      <w:pPr>
        <w:pStyle w:val="Heading1"/>
        <w:pBdr>
          <w:bottom w:val="single" w:color="CBD5E1" w:sz="8" w:space="6"/>
        </w:pBdr>
        <w:spacing w:after="160" w:before="320"/>
      </w:pPr>
      <w:r>
        <w:rPr>
          <w:rFonts w:ascii="Calibri" w:cs="Calibri" w:eastAsia="Calibri" w:hAnsi="Calibri"/>
          <w:b/>
          <w:bCs/>
          <w:color w:val="1B365D"/>
          <w:sz w:val="28"/>
          <w:szCs w:val="28"/>
        </w:rPr>
        <w:t xml:space="preserve">1. The point of the policy</w:t>
      </w:r>
    </w:p>
    <w:p>
      <w:pPr>
        <w:spacing w:after="200" w:before="0" w:line="276"/>
      </w:pPr>
      <w:r>
        <w:rPr>
          <w:rFonts w:ascii="Calibri" w:cs="Calibri" w:eastAsia="Calibri" w:hAnsi="Calibri"/>
          <w:color w:val="334155"/>
          <w:sz w:val="22"/>
          <w:szCs w:val="22"/>
        </w:rPr>
        <w:t xml:space="preserve">A hospital is a business with a specific purpose. It is not a public park, a hangout, or a playground. People come there for care, to visit a named patient, to work, or to conduct authorized business.</w:t>
      </w:r>
    </w:p>
    <w:p>
      <w:pPr>
        <w:spacing w:after="200" w:before="0" w:line="276"/>
      </w:pPr>
      <w:r>
        <w:rPr>
          <w:rFonts w:ascii="Calibri" w:cs="Calibri" w:eastAsia="Calibri" w:hAnsi="Calibri"/>
          <w:color w:val="334155"/>
          <w:sz w:val="22"/>
          <w:szCs w:val="22"/>
        </w:rPr>
        <w:t xml:space="preserve">Visitor policy exists so the building knows who is inside, why they are there, and where they are going. Patients, staff, and operations all depend on that.</w:t>
      </w:r>
    </w:p>
    <w:p>
      <w:pPr>
        <w:pStyle w:val="Heading1"/>
        <w:pBdr>
          <w:bottom w:val="single" w:color="CBD5E1" w:sz="8" w:space="6"/>
        </w:pBdr>
        <w:spacing w:after="160" w:before="320"/>
      </w:pPr>
      <w:r>
        <w:rPr>
          <w:rFonts w:ascii="Calibri" w:cs="Calibri" w:eastAsia="Calibri" w:hAnsi="Calibri"/>
          <w:b/>
          <w:bCs/>
          <w:color w:val="1B365D"/>
          <w:sz w:val="28"/>
          <w:szCs w:val="28"/>
        </w:rPr>
        <w:t xml:space="preserve">2. How it used to work versus how it works now</w:t>
      </w:r>
    </w:p>
    <w:p>
      <w:pPr>
        <w:pStyle w:val="Heading2"/>
        <w:spacing w:after="120" w:before="240"/>
      </w:pPr>
      <w:r>
        <w:rPr>
          <w:rFonts w:ascii="Calibri" w:cs="Calibri" w:eastAsia="Calibri" w:hAnsi="Calibri"/>
          <w:b/>
          <w:bCs/>
          <w:color w:val="1B365D"/>
          <w:sz w:val="24"/>
          <w:szCs w:val="24"/>
        </w:rPr>
        <w:t xml:space="preserve">The old way</w:t>
      </w:r>
    </w:p>
    <w:p>
      <w:pPr>
        <w:spacing w:after="200" w:before="0" w:line="276"/>
      </w:pPr>
      <w:r>
        <w:rPr>
          <w:rFonts w:ascii="Calibri" w:cs="Calibri" w:eastAsia="Calibri" w:hAnsi="Calibri"/>
          <w:color w:val="334155"/>
          <w:sz w:val="22"/>
          <w:szCs w:val="22"/>
        </w:rPr>
        <w:t xml:space="preserve">For a long time the hospital ran close to an honor system. Someone walked in, said they were a visitor, and that was often enough. Front desk and security did not always have a clear green light to stop people. If you asked where they were going and they gave any answer, they walked through.</w:t>
      </w:r>
    </w:p>
    <w:p>
      <w:pPr>
        <w:pStyle w:val="Heading2"/>
        <w:spacing w:after="120" w:before="240"/>
      </w:pPr>
      <w:r>
        <w:rPr>
          <w:rFonts w:ascii="Calibri" w:cs="Calibri" w:eastAsia="Calibri" w:hAnsi="Calibri"/>
          <w:b/>
          <w:bCs/>
          <w:color w:val="1B365D"/>
          <w:sz w:val="24"/>
          <w:szCs w:val="24"/>
        </w:rPr>
        <w:t xml:space="preserve">The current way</w:t>
      </w:r>
    </w:p>
    <w:p>
      <w:pPr>
        <w:spacing w:after="200" w:before="0" w:line="276"/>
      </w:pPr>
      <w:r>
        <w:rPr>
          <w:rFonts w:ascii="Calibri" w:cs="Calibri" w:eastAsia="Calibri" w:hAnsi="Calibri"/>
          <w:color w:val="334155"/>
          <w:sz w:val="22"/>
          <w:szCs w:val="22"/>
        </w:rPr>
        <w:t xml:space="preserve">That changed. Anyone entering the building had to meet a basic standard:</w:t>
      </w:r>
    </w:p>
    <w:p>
      <w:pPr>
        <w:pStyle w:val="ListParagraph"/>
        <w:numPr>
          <w:ilvl w:val="0"/>
          <w:numId w:val="2"/>
        </w:numPr>
        <w:spacing w:after="80" w:line="276"/>
      </w:pPr>
      <w:r>
        <w:rPr>
          <w:rFonts w:ascii="Calibri" w:cs="Calibri" w:eastAsia="Calibri" w:hAnsi="Calibri"/>
          <w:color w:val="334155"/>
          <w:sz w:val="22"/>
          <w:szCs w:val="22"/>
        </w:rPr>
        <w:t xml:space="preserve">Show identification.</w:t>
      </w:r>
    </w:p>
    <w:p>
      <w:pPr>
        <w:pStyle w:val="ListParagraph"/>
        <w:numPr>
          <w:ilvl w:val="0"/>
          <w:numId w:val="2"/>
        </w:numPr>
        <w:spacing w:after="80" w:line="276"/>
      </w:pPr>
      <w:r>
        <w:rPr>
          <w:rFonts w:ascii="Calibri" w:cs="Calibri" w:eastAsia="Calibri" w:hAnsi="Calibri"/>
          <w:color w:val="334155"/>
          <w:sz w:val="22"/>
          <w:szCs w:val="22"/>
        </w:rPr>
        <w:t xml:space="preserve">Name the person or department they are there to see.</w:t>
      </w:r>
    </w:p>
    <w:p>
      <w:pPr>
        <w:pStyle w:val="ListParagraph"/>
        <w:numPr>
          <w:ilvl w:val="0"/>
          <w:numId w:val="2"/>
        </w:numPr>
        <w:spacing w:after="80" w:line="276"/>
      </w:pPr>
      <w:r>
        <w:rPr>
          <w:rFonts w:ascii="Calibri" w:cs="Calibri" w:eastAsia="Calibri" w:hAnsi="Calibri"/>
          <w:color w:val="334155"/>
          <w:sz w:val="22"/>
          <w:szCs w:val="22"/>
        </w:rPr>
        <w:t xml:space="preserve">State a legitimate purpose for being on site.</w:t>
      </w:r>
    </w:p>
    <w:p>
      <w:pPr>
        <w:pStyle w:val="ListParagraph"/>
        <w:numPr>
          <w:ilvl w:val="0"/>
          <w:numId w:val="2"/>
        </w:numPr>
        <w:spacing w:after="80" w:line="276"/>
      </w:pPr>
      <w:r>
        <w:rPr>
          <w:rFonts w:ascii="Calibri" w:cs="Calibri" w:eastAsia="Calibri" w:hAnsi="Calibri"/>
          <w:color w:val="334155"/>
          <w:sz w:val="22"/>
          <w:szCs w:val="22"/>
        </w:rPr>
        <w:t xml:space="preserve">Accept that access can be refused if those things are missing.</w:t>
      </w:r>
    </w:p>
    <w:p>
      <w:pPr>
        <w:spacing w:after="200" w:before="0" w:line="276"/>
      </w:pPr>
      <w:r>
        <w:rPr>
          <w:rFonts w:ascii="Calibri" w:cs="Calibri" w:eastAsia="Calibri" w:hAnsi="Calibri"/>
          <w:color w:val="334155"/>
          <w:sz w:val="22"/>
          <w:szCs w:val="22"/>
        </w:rPr>
        <w:t xml:space="preserve">Security at the main entrance, a greeter or door person at the front desk, and — for a period — patient-watch security were part of that system. Patient watch was later phased out at that facility. The access-control rule stayed: you do not just walk in and wander.</w:t>
      </w:r>
    </w:p>
    <w:p>
      <w:pPr>
        <w:pStyle w:val="Heading1"/>
        <w:pBdr>
          <w:bottom w:val="single" w:color="CBD5E1" w:sz="8" w:space="6"/>
        </w:pBdr>
        <w:spacing w:after="160" w:before="320"/>
      </w:pPr>
      <w:r>
        <w:rPr>
          <w:rFonts w:ascii="Calibri" w:cs="Calibri" w:eastAsia="Calibri" w:hAnsi="Calibri"/>
          <w:b/>
          <w:bCs/>
          <w:color w:val="1B365D"/>
          <w:sz w:val="28"/>
          <w:szCs w:val="28"/>
        </w:rPr>
        <w:t xml:space="preserve">3. What staff are allowed to ask</w:t>
      </w:r>
    </w:p>
    <w:p>
      <w:pPr>
        <w:spacing w:after="200" w:before="0" w:line="276"/>
      </w:pPr>
      <w:r>
        <w:rPr>
          <w:rFonts w:ascii="Calibri" w:cs="Calibri" w:eastAsia="Calibri" w:hAnsi="Calibri"/>
          <w:color w:val="334155"/>
          <w:sz w:val="22"/>
          <w:szCs w:val="22"/>
        </w:rPr>
        <w:t xml:space="preserve">Asking the next questions is the job, not an insult:</w:t>
      </w:r>
    </w:p>
    <w:p>
      <w:pPr>
        <w:pStyle w:val="ListParagraph"/>
        <w:numPr>
          <w:ilvl w:val="0"/>
          <w:numId w:val="2"/>
        </w:numPr>
        <w:spacing w:after="80" w:line="276"/>
      </w:pPr>
      <w:r>
        <w:rPr>
          <w:rFonts w:ascii="Calibri" w:cs="Calibri" w:eastAsia="Calibri" w:hAnsi="Calibri"/>
          <w:color w:val="334155"/>
          <w:sz w:val="22"/>
          <w:szCs w:val="22"/>
        </w:rPr>
        <w:t xml:space="preserve">Do you have identification?</w:t>
      </w:r>
    </w:p>
    <w:p>
      <w:pPr>
        <w:pStyle w:val="ListParagraph"/>
        <w:numPr>
          <w:ilvl w:val="0"/>
          <w:numId w:val="2"/>
        </w:numPr>
        <w:spacing w:after="80" w:line="276"/>
      </w:pPr>
      <w:r>
        <w:rPr>
          <w:rFonts w:ascii="Calibri" w:cs="Calibri" w:eastAsia="Calibri" w:hAnsi="Calibri"/>
          <w:color w:val="334155"/>
          <w:sz w:val="22"/>
          <w:szCs w:val="22"/>
        </w:rPr>
        <w:t xml:space="preserve">Who are you here to see?</w:t>
      </w:r>
    </w:p>
    <w:p>
      <w:pPr>
        <w:pStyle w:val="ListParagraph"/>
        <w:numPr>
          <w:ilvl w:val="0"/>
          <w:numId w:val="2"/>
        </w:numPr>
        <w:spacing w:after="80" w:line="276"/>
      </w:pPr>
      <w:r>
        <w:rPr>
          <w:rFonts w:ascii="Calibri" w:cs="Calibri" w:eastAsia="Calibri" w:hAnsi="Calibri"/>
          <w:color w:val="334155"/>
          <w:sz w:val="22"/>
          <w:szCs w:val="22"/>
        </w:rPr>
        <w:t xml:space="preserve">Are you here for a visit, an appointment, work, or the ER?</w:t>
      </w:r>
    </w:p>
    <w:p>
      <w:pPr>
        <w:pStyle w:val="ListParagraph"/>
        <w:numPr>
          <w:ilvl w:val="0"/>
          <w:numId w:val="2"/>
        </w:numPr>
        <w:spacing w:after="80" w:line="276"/>
      </w:pPr>
      <w:r>
        <w:rPr>
          <w:rFonts w:ascii="Calibri" w:cs="Calibri" w:eastAsia="Calibri" w:hAnsi="Calibri"/>
          <w:color w:val="334155"/>
          <w:sz w:val="22"/>
          <w:szCs w:val="22"/>
        </w:rPr>
        <w:t xml:space="preserve">Where are you going?</w:t>
      </w:r>
    </w:p>
    <w:p>
      <w:pPr>
        <w:spacing w:after="200" w:before="0" w:line="276"/>
      </w:pPr>
      <w:r>
        <w:rPr>
          <w:rFonts w:ascii="Calibri" w:cs="Calibri" w:eastAsia="Calibri" w:hAnsi="Calibri"/>
          <w:color w:val="334155"/>
          <w:sz w:val="22"/>
          <w:szCs w:val="22"/>
        </w:rPr>
        <w:t xml:space="preserve">If the person is a visitor, you need an ID, a destination, and a reason. If they are an employee, they should have credentials. If they need emergency care, that is a different track — they go to the ER. They do not get free run of the building.</w:t>
      </w:r>
    </w:p>
    <w:p>
      <w:pPr>
        <w:spacing w:after="200" w:before="0" w:line="276"/>
      </w:pPr>
      <w:r>
        <w:rPr>
          <w:rFonts w:ascii="Calibri" w:cs="Calibri" w:eastAsia="Calibri" w:hAnsi="Calibri"/>
          <w:color w:val="334155"/>
          <w:sz w:val="22"/>
          <w:szCs w:val="22"/>
        </w:rPr>
        <w:t xml:space="preserve">The sentence that matters: you are not an employee, and you are not going to show up and hang around this property all day. That is not how a hospital works.</w:t>
      </w:r>
    </w:p>
    <w:p>
      <w:pPr>
        <w:pStyle w:val="Heading1"/>
        <w:pBdr>
          <w:bottom w:val="single" w:color="CBD5E1" w:sz="8" w:space="6"/>
        </w:pBdr>
        <w:spacing w:after="160" w:before="320"/>
      </w:pPr>
      <w:r>
        <w:rPr>
          <w:rFonts w:ascii="Calibri" w:cs="Calibri" w:eastAsia="Calibri" w:hAnsi="Calibri"/>
          <w:b/>
          <w:bCs/>
          <w:color w:val="1B365D"/>
          <w:sz w:val="28"/>
          <w:szCs w:val="28"/>
        </w:rPr>
        <w:t xml:space="preserve">4. The incident this note is built around</w:t>
      </w:r>
    </w:p>
    <w:p>
      <w:pPr>
        <w:spacing w:after="200" w:before="0" w:line="276"/>
      </w:pPr>
      <w:r>
        <w:rPr>
          <w:rFonts w:ascii="Calibri" w:cs="Calibri" w:eastAsia="Calibri" w:hAnsi="Calibri"/>
          <w:color w:val="334155"/>
          <w:sz w:val="22"/>
          <w:szCs w:val="22"/>
        </w:rPr>
        <w:t xml:space="preserve">A woman came through the front entrance. She was rude. She was cursing at the security officer and at the person at the front desk. For this record, that front-desk person is me.</w:t>
      </w:r>
    </w:p>
    <w:p>
      <w:pPr>
        <w:spacing w:after="200" w:before="0" w:line="276"/>
      </w:pPr>
      <w:r>
        <w:rPr>
          <w:rFonts w:ascii="Calibri" w:cs="Calibri" w:eastAsia="Calibri" w:hAnsi="Calibri"/>
          <w:color w:val="334155"/>
          <w:sz w:val="22"/>
          <w:szCs w:val="22"/>
        </w:rPr>
        <w:t xml:space="preserve">I called security. Security pulled her aside. The conversation that followed was the policy stated out loud:</w:t>
      </w:r>
    </w:p>
    <w:p>
      <w:pPr>
        <w:spacing w:after="200" w:before="0" w:line="276"/>
      </w:pPr>
      <w:r>
        <w:rPr>
          <w:rFonts w:ascii="Calibri" w:cs="Calibri" w:eastAsia="Calibri" w:hAnsi="Calibri"/>
          <w:color w:val="334155"/>
          <w:sz w:val="22"/>
          <w:szCs w:val="22"/>
        </w:rPr>
        <w:t xml:space="preserve">This is a hospital. You have to have a reason to be here. You cannot walk in the front door, go wherever you want, and do whatever you please. That is not how it works. Are you here to see somebody? Do you have business here? Are you here for the ER? What are you here to do? Do you have identification? If you are visiting, we need an ID, we need to know where you are going, and we need to know what you are doing. You are not an employee. You are not going to occupy this property all day.</w:t>
      </w:r>
    </w:p>
    <w:p>
      <w:pPr>
        <w:spacing w:after="200" w:before="0" w:line="276"/>
      </w:pPr>
      <w:r>
        <w:rPr>
          <w:rFonts w:ascii="Calibri" w:cs="Calibri" w:eastAsia="Calibri" w:hAnsi="Calibri"/>
          <w:color w:val="334155"/>
          <w:sz w:val="22"/>
          <w:szCs w:val="22"/>
        </w:rPr>
        <w:t xml:space="preserve">If she continued to treat the location that way — no purpose, no ID, arguing and cursing at the door — the next step was a ban from these premises. The warning is about this property. The book, and notice to other sites in the same organization, is the separate fact that makes a later return recognizable.</w:t>
      </w:r>
    </w:p>
    <w:p>
      <w:pPr>
        <w:pStyle w:val="Heading1"/>
        <w:pBdr>
          <w:bottom w:val="single" w:color="CBD5E1" w:sz="8" w:space="6"/>
        </w:pBdr>
        <w:spacing w:after="160" w:before="320"/>
      </w:pPr>
      <w:r>
        <w:rPr>
          <w:rFonts w:ascii="Calibri" w:cs="Calibri" w:eastAsia="Calibri" w:hAnsi="Calibri"/>
          <w:b/>
          <w:bCs/>
          <w:color w:val="1B365D"/>
          <w:sz w:val="28"/>
          <w:szCs w:val="28"/>
        </w:rPr>
        <w:t xml:space="preserve">5. What the organization actually keeps</w:t>
      </w:r>
    </w:p>
    <w:p>
      <w:pPr>
        <w:spacing w:after="200" w:before="0" w:line="276"/>
      </w:pPr>
      <w:r>
        <w:rPr>
          <w:rFonts w:ascii="Calibri" w:cs="Calibri" w:eastAsia="Calibri" w:hAnsi="Calibri"/>
          <w:color w:val="334155"/>
          <w:sz w:val="22"/>
          <w:szCs w:val="22"/>
        </w:rPr>
        <w:t xml:space="preserve">When someone becomes a repeat problem, the facility does not rely on memory from one shift. They keep a record. In practice that record usually has:</w:t>
      </w:r>
    </w:p>
    <w:p>
      <w:pPr>
        <w:pStyle w:val="ListParagraph"/>
        <w:numPr>
          <w:ilvl w:val="0"/>
          <w:numId w:val="2"/>
        </w:numPr>
        <w:spacing w:after="80" w:line="276"/>
      </w:pPr>
      <w:r>
        <w:rPr>
          <w:rFonts w:ascii="Calibri" w:cs="Calibri" w:eastAsia="Calibri" w:hAnsi="Calibri"/>
          <w:color w:val="334155"/>
          <w:sz w:val="22"/>
          <w:szCs w:val="22"/>
        </w:rPr>
        <w:t xml:space="preserve">A photo or still from cameras, if they have one.</w:t>
      </w:r>
    </w:p>
    <w:p>
      <w:pPr>
        <w:pStyle w:val="ListParagraph"/>
        <w:numPr>
          <w:ilvl w:val="0"/>
          <w:numId w:val="2"/>
        </w:numPr>
        <w:spacing w:after="80" w:line="276"/>
      </w:pPr>
      <w:r>
        <w:rPr>
          <w:rFonts w:ascii="Calibri" w:cs="Calibri" w:eastAsia="Calibri" w:hAnsi="Calibri"/>
          <w:color w:val="334155"/>
          <w:sz w:val="22"/>
          <w:szCs w:val="22"/>
        </w:rPr>
        <w:t xml:space="preserve">A physical description.</w:t>
      </w:r>
    </w:p>
    <w:p>
      <w:pPr>
        <w:pStyle w:val="ListParagraph"/>
        <w:numPr>
          <w:ilvl w:val="0"/>
          <w:numId w:val="2"/>
        </w:numPr>
        <w:spacing w:after="80" w:line="276"/>
      </w:pPr>
      <w:r>
        <w:rPr>
          <w:rFonts w:ascii="Calibri" w:cs="Calibri" w:eastAsia="Calibri" w:hAnsi="Calibri"/>
          <w:color w:val="334155"/>
          <w:sz w:val="22"/>
          <w:szCs w:val="22"/>
        </w:rPr>
        <w:t xml:space="preserve">A name, if it was given or later identified.</w:t>
      </w:r>
    </w:p>
    <w:p>
      <w:pPr>
        <w:pStyle w:val="ListParagraph"/>
        <w:numPr>
          <w:ilvl w:val="0"/>
          <w:numId w:val="2"/>
        </w:numPr>
        <w:spacing w:after="80" w:line="276"/>
      </w:pPr>
      <w:r>
        <w:rPr>
          <w:rFonts w:ascii="Calibri" w:cs="Calibri" w:eastAsia="Calibri" w:hAnsi="Calibri"/>
          <w:color w:val="334155"/>
          <w:sz w:val="22"/>
          <w:szCs w:val="22"/>
        </w:rPr>
        <w:t xml:space="preserve">The date, door, and conduct that got them restricted.</w:t>
      </w:r>
    </w:p>
    <w:p>
      <w:pPr>
        <w:pStyle w:val="ListParagraph"/>
        <w:numPr>
          <w:ilvl w:val="0"/>
          <w:numId w:val="2"/>
        </w:numPr>
        <w:spacing w:after="80" w:line="276"/>
      </w:pPr>
      <w:r>
        <w:rPr>
          <w:rFonts w:ascii="Calibri" w:cs="Calibri" w:eastAsia="Calibri" w:hAnsi="Calibri"/>
          <w:color w:val="334155"/>
          <w:sz w:val="22"/>
          <w:szCs w:val="22"/>
        </w:rPr>
        <w:t xml:space="preserve">Whether they were warned, escorted out, or served paperwork.</w:t>
      </w:r>
    </w:p>
    <w:p>
      <w:pPr>
        <w:spacing w:after="200" w:before="0" w:line="276"/>
      </w:pPr>
      <w:r>
        <w:rPr>
          <w:rFonts w:ascii="Calibri" w:cs="Calibri" w:eastAsia="Calibri" w:hAnsi="Calibri"/>
          <w:color w:val="334155"/>
          <w:sz w:val="22"/>
          <w:szCs w:val="22"/>
        </w:rPr>
        <w:t xml:space="preserve">At the hospital, that book or system is what let the next shift know the person had already been a problem. Other locations in the same system can be put on notice. Sister sites can already have the picture and the note before the person walks up.</w:t>
      </w:r>
    </w:p>
    <w:p>
      <w:pPr>
        <w:spacing w:after="200" w:before="0" w:line="276"/>
      </w:pPr>
      <w:r>
        <w:rPr>
          <w:rFonts w:ascii="Calibri" w:cs="Calibri" w:eastAsia="Calibri" w:hAnsi="Calibri"/>
          <w:color w:val="334155"/>
          <w:sz w:val="22"/>
          <w:szCs w:val="22"/>
        </w:rPr>
        <w:t xml:space="preserve">The same thing existed at Amazon in the city I worked. Employees and visitors who were not allowed on a site were in a detailed record at all of those locations. You were not starting over at the next warehouse as if nothing had happened. You were not allowed at those locations. A lot of businesses do some version of this once the problem is no longer a one-time argument at one door.</w:t>
      </w:r>
    </w:p>
    <w:p>
      <w:pPr>
        <w:spacing w:after="200" w:before="0" w:line="276"/>
      </w:pPr>
      <w:r>
        <w:rPr>
          <w:rFonts w:ascii="Calibri" w:cs="Calibri" w:eastAsia="Calibri" w:hAnsi="Calibri"/>
          <w:color w:val="334155"/>
          <w:sz w:val="22"/>
          <w:szCs w:val="22"/>
        </w:rPr>
        <w:t xml:space="preserve">The warning at the door is still about this property: if the behavior continues, you will not be allowed on these premises. The record is what makes that warning hold here, and what lets other sites in the same organization already know who the person is when they walk up. That is not the same thing as saying every unrelated business in the city has banned them.</w:t>
      </w:r>
    </w:p>
    <w:p>
      <w:pPr>
        <w:pStyle w:val="Heading1"/>
        <w:pBdr>
          <w:bottom w:val="single" w:color="CBD5E1" w:sz="8" w:space="6"/>
        </w:pBdr>
        <w:spacing w:after="160" w:before="320"/>
      </w:pPr>
      <w:r>
        <w:rPr>
          <w:rFonts w:ascii="Calibri" w:cs="Calibri" w:eastAsia="Calibri" w:hAnsi="Calibri"/>
          <w:b/>
          <w:bCs/>
          <w:color w:val="1B365D"/>
          <w:sz w:val="28"/>
          <w:szCs w:val="28"/>
        </w:rPr>
        <w:t xml:space="preserve">6. Repeat problems and the escalation ladder on this property</w:t>
      </w:r>
    </w:p>
    <w:p>
      <w:pPr>
        <w:spacing w:after="200" w:before="0" w:line="276"/>
      </w:pPr>
      <w:r>
        <w:rPr>
          <w:rFonts w:ascii="Calibri" w:cs="Calibri" w:eastAsia="Calibri" w:hAnsi="Calibri"/>
          <w:color w:val="334155"/>
          <w:sz w:val="22"/>
          <w:szCs w:val="22"/>
        </w:rPr>
        <w:t xml:space="preserve">When someone keeps showing up with no legitimate purpose, the response is not supposed to stay informal forever. There is a documented ladder. Each step is about this premises first.</w:t>
      </w:r>
    </w:p>
    <w:p>
      <w:pPr>
        <w:pStyle w:val="Heading2"/>
        <w:spacing w:after="120" w:before="240"/>
      </w:pPr>
      <w:r>
        <w:rPr>
          <w:rFonts w:ascii="Calibri" w:cs="Calibri" w:eastAsia="Calibri" w:hAnsi="Calibri"/>
          <w:b/>
          <w:bCs/>
          <w:color w:val="1B365D"/>
          <w:sz w:val="24"/>
          <w:szCs w:val="24"/>
        </w:rPr>
        <w:t xml:space="preserve">Tier 1 — Verbal warning and removal</w:t>
      </w:r>
    </w:p>
    <w:p>
      <w:pPr>
        <w:spacing w:after="200" w:before="0" w:line="276"/>
      </w:pPr>
      <w:r>
        <w:rPr>
          <w:rFonts w:ascii="Calibri" w:cs="Calibri" w:eastAsia="Calibri" w:hAnsi="Calibri"/>
          <w:color w:val="334155"/>
          <w:sz w:val="22"/>
          <w:szCs w:val="22"/>
        </w:rPr>
        <w:t xml:space="preserve">Staff or security, acting as the owner’s agent, ask the person to state their business or leave. If they refuse, they are walked off the property. That is the first official notice that this site is not open to them for hanging out.</w:t>
      </w:r>
    </w:p>
    <w:p>
      <w:pPr>
        <w:pStyle w:val="Heading2"/>
        <w:spacing w:after="120" w:before="240"/>
      </w:pPr>
      <w:r>
        <w:rPr>
          <w:rFonts w:ascii="Calibri" w:cs="Calibri" w:eastAsia="Calibri" w:hAnsi="Calibri"/>
          <w:b/>
          <w:bCs/>
          <w:color w:val="1B365D"/>
          <w:sz w:val="24"/>
          <w:szCs w:val="24"/>
        </w:rPr>
        <w:t xml:space="preserve">Tier 2 — Written trespass notice, often served with police</w:t>
      </w:r>
    </w:p>
    <w:p>
      <w:pPr>
        <w:spacing w:after="200" w:before="0" w:line="276"/>
      </w:pPr>
      <w:r>
        <w:rPr>
          <w:rFonts w:ascii="Calibri" w:cs="Calibri" w:eastAsia="Calibri" w:hAnsi="Calibri"/>
          <w:color w:val="334155"/>
          <w:sz w:val="22"/>
          <w:szCs w:val="22"/>
        </w:rPr>
        <w:t xml:space="preserve">This is the document from the original note.</w:t>
      </w:r>
    </w:p>
    <w:p>
      <w:pPr>
        <w:spacing w:after="200" w:before="0" w:line="276"/>
      </w:pPr>
      <w:r>
        <w:rPr>
          <w:rFonts w:ascii="Calibri" w:cs="Calibri" w:eastAsia="Calibri" w:hAnsi="Calibri"/>
          <w:color w:val="334155"/>
          <w:sz w:val="22"/>
          <w:szCs w:val="22"/>
        </w:rPr>
        <w:t xml:space="preserve">In California it is most often called a Notice of Trespass, a trespass warning, or a no-trespass letter. Police and hospital security also talk about “reading trespass” to someone — an officer, at the hospital’s request, tells that specific person they are not welcome on this property and that coming back is a crime.</w:t>
      </w:r>
    </w:p>
    <w:p>
      <w:pPr>
        <w:spacing w:after="200" w:before="0" w:line="276"/>
      </w:pPr>
      <w:r>
        <w:rPr>
          <w:rFonts w:ascii="Calibri" w:cs="Calibri" w:eastAsia="Calibri" w:hAnsi="Calibri"/>
          <w:color w:val="334155"/>
          <w:sz w:val="22"/>
          <w:szCs w:val="22"/>
        </w:rPr>
        <w:t xml:space="preserve">The criminal statute underneath it is California Penal Code section 602, especially:</w:t>
      </w:r>
    </w:p>
    <w:p>
      <w:pPr>
        <w:pStyle w:val="ListParagraph"/>
        <w:numPr>
          <w:ilvl w:val="0"/>
          <w:numId w:val="2"/>
        </w:numPr>
        <w:spacing w:after="80" w:line="276"/>
      </w:pPr>
      <w:r>
        <w:rPr>
          <w:rFonts w:ascii="Calibri" w:cs="Calibri" w:eastAsia="Calibri" w:hAnsi="Calibri"/>
          <w:color w:val="334155"/>
          <w:sz w:val="22"/>
          <w:szCs w:val="22"/>
        </w:rPr>
        <w:t xml:space="preserve">602(o) — refusing or failing to leave after being asked by the owner, the owner’s agent, or a peace officer acting at their request.</w:t>
      </w:r>
    </w:p>
    <w:p>
      <w:pPr>
        <w:pStyle w:val="ListParagraph"/>
        <w:numPr>
          <w:ilvl w:val="0"/>
          <w:numId w:val="2"/>
        </w:numPr>
        <w:spacing w:after="80" w:line="276"/>
      </w:pPr>
      <w:r>
        <w:rPr>
          <w:rFonts w:ascii="Calibri" w:cs="Calibri" w:eastAsia="Calibri" w:hAnsi="Calibri"/>
          <w:color w:val="334155"/>
          <w:sz w:val="22"/>
          <w:szCs w:val="22"/>
        </w:rPr>
        <w:t xml:space="preserve">602(k) — entering with the intent to interfere with or obstruct a lawful business.</w:t>
      </w:r>
    </w:p>
    <w:p>
      <w:pPr>
        <w:pStyle w:val="ListParagraph"/>
        <w:numPr>
          <w:ilvl w:val="0"/>
          <w:numId w:val="2"/>
        </w:numPr>
        <w:spacing w:after="80" w:line="276"/>
      </w:pPr>
      <w:r>
        <w:rPr>
          <w:rFonts w:ascii="Calibri" w:cs="Calibri" w:eastAsia="Calibri" w:hAnsi="Calibri"/>
          <w:color w:val="334155"/>
          <w:sz w:val="22"/>
          <w:szCs w:val="22"/>
        </w:rPr>
        <w:t xml:space="preserve">602.1 — remaining at a business open to the public and refusing to leave after being asked, when the conduct interferes with the business.</w:t>
      </w:r>
    </w:p>
    <w:p>
      <w:pPr>
        <w:spacing w:after="200" w:before="0" w:line="276"/>
      </w:pPr>
      <w:r>
        <w:rPr>
          <w:rFonts w:ascii="Calibri" w:cs="Calibri" w:eastAsia="Calibri" w:hAnsi="Calibri"/>
          <w:color w:val="334155"/>
          <w:sz w:val="22"/>
          <w:szCs w:val="22"/>
        </w:rPr>
        <w:t xml:space="preserve">The hospital also puts the person on an internal restricted-visitor or banned-from-campus list so the next shift is not starting from zero. A written PC 602 letter can be filed with local law enforcement so officers already have standing if that person returns to this property. In California that authorization can remain in effect for a year.</w:t>
      </w:r>
    </w:p>
    <w:p>
      <w:pPr>
        <w:pStyle w:val="Heading2"/>
        <w:spacing w:after="120" w:before="240"/>
      </w:pPr>
      <w:r>
        <w:rPr>
          <w:rFonts w:ascii="Calibri" w:cs="Calibri" w:eastAsia="Calibri" w:hAnsi="Calibri"/>
          <w:b/>
          <w:bCs/>
          <w:color w:val="1B365D"/>
          <w:sz w:val="24"/>
          <w:szCs w:val="24"/>
        </w:rPr>
        <w:t xml:space="preserve">Tier 3 — Return after being served</w:t>
      </w:r>
    </w:p>
    <w:p>
      <w:pPr>
        <w:spacing w:after="200" w:before="0" w:line="276"/>
      </w:pPr>
      <w:r>
        <w:rPr>
          <w:rFonts w:ascii="Calibri" w:cs="Calibri" w:eastAsia="Calibri" w:hAnsi="Calibri"/>
          <w:color w:val="334155"/>
          <w:sz w:val="22"/>
          <w:szCs w:val="22"/>
        </w:rPr>
        <w:t xml:space="preserve">Once the person has been warned or served for this property, coming back is trespass. Police can cite or arrest. The desk does not have to re-argue the policy from scratch.</w:t>
      </w:r>
    </w:p>
    <w:p>
      <w:pPr>
        <w:pStyle w:val="Heading2"/>
        <w:spacing w:after="120" w:before="240"/>
      </w:pPr>
      <w:r>
        <w:rPr>
          <w:rFonts w:ascii="Calibri" w:cs="Calibri" w:eastAsia="Calibri" w:hAnsi="Calibri"/>
          <w:b/>
          <w:bCs/>
          <w:color w:val="1B365D"/>
          <w:sz w:val="24"/>
          <w:szCs w:val="24"/>
        </w:rPr>
        <w:t xml:space="preserve">Tier 4 — Court order tied to this workplace</w:t>
      </w:r>
    </w:p>
    <w:p>
      <w:pPr>
        <w:spacing w:after="200" w:before="0" w:line="276"/>
      </w:pPr>
      <w:r>
        <w:rPr>
          <w:rFonts w:ascii="Calibri" w:cs="Calibri" w:eastAsia="Calibri" w:hAnsi="Calibri"/>
          <w:color w:val="334155"/>
          <w:sz w:val="22"/>
          <w:szCs w:val="22"/>
        </w:rPr>
        <w:t xml:space="preserve">If the conduct is threatening, violent, or keeps targeting staff, the hospital can go above a trespass notice. In California the usual court tool is a Workplace Violence Restraining Order under Code of Civil Procedure section 527.8. The employer files it to protect employees and the workplace. A criminal case can also produce a stay-away order as a condition of release or sentencing.</w:t>
      </w:r>
    </w:p>
    <w:p>
      <w:pPr>
        <w:spacing w:after="200" w:before="0" w:line="276"/>
      </w:pPr>
      <w:r>
        <w:rPr>
          <w:rFonts w:ascii="Calibri" w:cs="Calibri" w:eastAsia="Calibri" w:hAnsi="Calibri"/>
          <w:color w:val="334155"/>
          <w:sz w:val="22"/>
          <w:szCs w:val="22"/>
        </w:rPr>
        <w:t xml:space="preserve">That is the higher tier: after an established history at this location, they are not just asked to leave. They are ordered to stay away from this workplace. Violating that order is its own offense.</w:t>
      </w:r>
    </w:p>
    <w:p>
      <w:pPr>
        <w:pStyle w:val="Heading1"/>
        <w:pBdr>
          <w:bottom w:val="single" w:color="CBD5E1" w:sz="8" w:space="6"/>
        </w:pBdr>
        <w:spacing w:after="160" w:before="320"/>
      </w:pPr>
      <w:r>
        <w:rPr>
          <w:rFonts w:ascii="Calibri" w:cs="Calibri" w:eastAsia="Calibri" w:hAnsi="Calibri"/>
          <w:b/>
          <w:bCs/>
          <w:color w:val="1B365D"/>
          <w:sz w:val="28"/>
          <w:szCs w:val="28"/>
        </w:rPr>
        <w:t xml:space="preserve">7. What to say at the desk</w:t>
      </w:r>
    </w:p>
    <w:p>
      <w:pPr>
        <w:spacing w:after="200" w:before="0" w:line="276"/>
      </w:pPr>
      <w:r>
        <w:rPr>
          <w:rFonts w:ascii="Calibri" w:cs="Calibri" w:eastAsia="Calibri" w:hAnsi="Calibri"/>
          <w:color w:val="334155"/>
          <w:sz w:val="22"/>
          <w:szCs w:val="22"/>
        </w:rPr>
        <w:t xml:space="preserve">Calm tone. Do not match cursing. State the rule, ask the questions, call security if they will not answer or will not leave.</w:t>
      </w:r>
    </w:p>
    <w:p>
      <w:pPr>
        <w:spacing w:after="200" w:before="0" w:line="276"/>
      </w:pPr>
      <w:r>
        <w:rPr>
          <w:rFonts w:ascii="Calibri" w:cs="Calibri" w:eastAsia="Calibri" w:hAnsi="Calibri"/>
          <w:color w:val="334155"/>
          <w:sz w:val="22"/>
          <w:szCs w:val="22"/>
        </w:rPr>
        <w:t xml:space="preserve">“This is a hospital. Entry is for people who have a reason to be here — a patient visit, an appointment, work, or emergency care. I need to see identification and I need to know who you are here to see and where you are going. If you do not have that, I cannot let you through. If you need the ER, I can point you there. If you do not have business here, you will need to leave this property.”</w:t>
      </w:r>
    </w:p>
    <w:p>
      <w:pPr>
        <w:spacing w:after="200" w:before="0" w:line="276"/>
      </w:pPr>
      <w:r>
        <w:rPr>
          <w:rFonts w:ascii="Calibri" w:cs="Calibri" w:eastAsia="Calibri" w:hAnsi="Calibri"/>
          <w:color w:val="334155"/>
          <w:sz w:val="22"/>
          <w:szCs w:val="22"/>
        </w:rPr>
        <w:t xml:space="preserve">If they escalate:</w:t>
      </w:r>
    </w:p>
    <w:p>
      <w:pPr>
        <w:spacing w:after="200" w:before="0" w:line="276"/>
      </w:pPr>
      <w:r>
        <w:rPr>
          <w:rFonts w:ascii="Calibri" w:cs="Calibri" w:eastAsia="Calibri" w:hAnsi="Calibri"/>
          <w:color w:val="334155"/>
          <w:sz w:val="22"/>
          <w:szCs w:val="22"/>
        </w:rPr>
        <w:t xml:space="preserve">“I am not going to continue this conversation while you are yelling. I am calling security. If you keep this up, you can be banned from these premises.”</w:t>
      </w:r>
    </w:p>
    <w:p>
      <w:pPr>
        <w:spacing w:after="200" w:before="0" w:line="276"/>
      </w:pPr>
      <w:r>
        <w:rPr>
          <w:rFonts w:ascii="Calibri" w:cs="Calibri" w:eastAsia="Calibri" w:hAnsi="Calibri"/>
          <w:color w:val="334155"/>
          <w:sz w:val="22"/>
          <w:szCs w:val="22"/>
        </w:rPr>
        <w:t xml:space="preserve">If the organization actually keeps that book:</w:t>
      </w:r>
    </w:p>
    <w:p>
      <w:pPr>
        <w:spacing w:after="200" w:before="0" w:line="276"/>
      </w:pPr>
      <w:r>
        <w:rPr>
          <w:rFonts w:ascii="Calibri" w:cs="Calibri" w:eastAsia="Calibri" w:hAnsi="Calibri"/>
          <w:color w:val="334155"/>
          <w:sz w:val="22"/>
          <w:szCs w:val="22"/>
        </w:rPr>
        <w:t xml:space="preserve">“We keep a record of people restricted from this site — photo and description. Other locations in this organization can already have that record. The warning right now is this property. If you continue, you will not be allowed back here.”</w:t>
      </w:r>
    </w:p>
    <w:p>
      <w:pPr>
        <w:pStyle w:val="Heading1"/>
        <w:pBdr>
          <w:bottom w:val="single" w:color="CBD5E1" w:sz="8" w:space="6"/>
        </w:pBdr>
        <w:spacing w:after="160" w:before="320"/>
      </w:pPr>
      <w:r>
        <w:rPr>
          <w:rFonts w:ascii="Calibri" w:cs="Calibri" w:eastAsia="Calibri" w:hAnsi="Calibri"/>
          <w:b/>
          <w:bCs/>
          <w:color w:val="1B365D"/>
          <w:sz w:val="28"/>
          <w:szCs w:val="28"/>
        </w:rPr>
        <w:t xml:space="preserve">8. What to document after an incident</w:t>
      </w:r>
    </w:p>
    <w:p>
      <w:pPr>
        <w:spacing w:after="200" w:before="0" w:line="276"/>
      </w:pPr>
      <w:r>
        <w:rPr>
          <w:rFonts w:ascii="Calibri" w:cs="Calibri" w:eastAsia="Calibri" w:hAnsi="Calibri"/>
          <w:color w:val="334155"/>
          <w:sz w:val="22"/>
          <w:szCs w:val="22"/>
        </w:rPr>
        <w:t xml:space="preserve">Write it the same day. The paper trail is what lets the facility move from a one-time argument to a ban that holds on this property.</w:t>
      </w:r>
    </w:p>
    <w:p>
      <w:pPr>
        <w:pStyle w:val="ListParagraph"/>
        <w:numPr>
          <w:ilvl w:val="0"/>
          <w:numId w:val="2"/>
        </w:numPr>
        <w:spacing w:after="80" w:line="276"/>
      </w:pPr>
      <w:r>
        <w:rPr>
          <w:rFonts w:ascii="Calibri" w:cs="Calibri" w:eastAsia="Calibri" w:hAnsi="Calibri"/>
          <w:color w:val="334155"/>
          <w:sz w:val="22"/>
          <w:szCs w:val="22"/>
        </w:rPr>
        <w:t xml:space="preserve">Date, time, entrance, and your name/role.</w:t>
      </w:r>
    </w:p>
    <w:p>
      <w:pPr>
        <w:pStyle w:val="ListParagraph"/>
        <w:numPr>
          <w:ilvl w:val="0"/>
          <w:numId w:val="2"/>
        </w:numPr>
        <w:spacing w:after="80" w:line="276"/>
      </w:pPr>
      <w:r>
        <w:rPr>
          <w:rFonts w:ascii="Calibri" w:cs="Calibri" w:eastAsia="Calibri" w:hAnsi="Calibri"/>
          <w:color w:val="334155"/>
          <w:sz w:val="22"/>
          <w:szCs w:val="22"/>
        </w:rPr>
        <w:t xml:space="preserve">Description of the person, any name or ID, and a still if security can pull one.</w:t>
      </w:r>
    </w:p>
    <w:p>
      <w:pPr>
        <w:pStyle w:val="ListParagraph"/>
        <w:numPr>
          <w:ilvl w:val="0"/>
          <w:numId w:val="2"/>
        </w:numPr>
        <w:spacing w:after="80" w:line="276"/>
      </w:pPr>
      <w:r>
        <w:rPr>
          <w:rFonts w:ascii="Calibri" w:cs="Calibri" w:eastAsia="Calibri" w:hAnsi="Calibri"/>
          <w:color w:val="334155"/>
          <w:sz w:val="22"/>
          <w:szCs w:val="22"/>
        </w:rPr>
        <w:t xml:space="preserve">Exactly what they said and did, including cursing, threats, or refusal to identify.</w:t>
      </w:r>
    </w:p>
    <w:p>
      <w:pPr>
        <w:pStyle w:val="ListParagraph"/>
        <w:numPr>
          <w:ilvl w:val="0"/>
          <w:numId w:val="2"/>
        </w:numPr>
        <w:spacing w:after="80" w:line="276"/>
      </w:pPr>
      <w:r>
        <w:rPr>
          <w:rFonts w:ascii="Calibri" w:cs="Calibri" w:eastAsia="Calibri" w:hAnsi="Calibri"/>
          <w:color w:val="334155"/>
          <w:sz w:val="22"/>
          <w:szCs w:val="22"/>
        </w:rPr>
        <w:t xml:space="preserve">Whether they named a patient or a purpose.</w:t>
      </w:r>
    </w:p>
    <w:p>
      <w:pPr>
        <w:pStyle w:val="ListParagraph"/>
        <w:numPr>
          <w:ilvl w:val="0"/>
          <w:numId w:val="2"/>
        </w:numPr>
        <w:spacing w:after="80" w:line="276"/>
      </w:pPr>
      <w:r>
        <w:rPr>
          <w:rFonts w:ascii="Calibri" w:cs="Calibri" w:eastAsia="Calibri" w:hAnsi="Calibri"/>
          <w:color w:val="334155"/>
          <w:sz w:val="22"/>
          <w:szCs w:val="22"/>
        </w:rPr>
        <w:t xml:space="preserve">Who you called and what time.</w:t>
      </w:r>
    </w:p>
    <w:p>
      <w:pPr>
        <w:pStyle w:val="ListParagraph"/>
        <w:numPr>
          <w:ilvl w:val="0"/>
          <w:numId w:val="2"/>
        </w:numPr>
        <w:spacing w:after="80" w:line="276"/>
      </w:pPr>
      <w:r>
        <w:rPr>
          <w:rFonts w:ascii="Calibri" w:cs="Calibri" w:eastAsia="Calibri" w:hAnsi="Calibri"/>
          <w:color w:val="334155"/>
          <w:sz w:val="22"/>
          <w:szCs w:val="22"/>
        </w:rPr>
        <w:t xml:space="preserve">What security or police told them, and whether a trespass warning was read or a written notice was served.</w:t>
      </w:r>
    </w:p>
    <w:p>
      <w:pPr>
        <w:pStyle w:val="ListParagraph"/>
        <w:numPr>
          <w:ilvl w:val="0"/>
          <w:numId w:val="2"/>
        </w:numPr>
        <w:spacing w:after="80" w:line="276"/>
      </w:pPr>
      <w:r>
        <w:rPr>
          <w:rFonts w:ascii="Calibri" w:cs="Calibri" w:eastAsia="Calibri" w:hAnsi="Calibri"/>
          <w:color w:val="334155"/>
          <w:sz w:val="22"/>
          <w:szCs w:val="22"/>
        </w:rPr>
        <w:t xml:space="preserve">Whether they left, were escorted out, or were arrested.</w:t>
      </w:r>
    </w:p>
    <w:p>
      <w:pPr>
        <w:pStyle w:val="ListParagraph"/>
        <w:numPr>
          <w:ilvl w:val="0"/>
          <w:numId w:val="2"/>
        </w:numPr>
        <w:spacing w:after="80" w:line="276"/>
      </w:pPr>
      <w:r>
        <w:rPr>
          <w:rFonts w:ascii="Calibri" w:cs="Calibri" w:eastAsia="Calibri" w:hAnsi="Calibri"/>
          <w:color w:val="334155"/>
          <w:sz w:val="22"/>
          <w:szCs w:val="22"/>
        </w:rPr>
        <w:t xml:space="preserve">Whether they should be added to the restricted-visitor list and whether sister sites in the same organization should be notified.</w:t>
      </w:r>
    </w:p>
    <w:p>
      <w:pPr>
        <w:pStyle w:val="Heading1"/>
        <w:pBdr>
          <w:bottom w:val="single" w:color="CBD5E1" w:sz="8" w:space="6"/>
        </w:pBdr>
        <w:spacing w:after="160" w:before="320"/>
      </w:pPr>
      <w:r>
        <w:rPr>
          <w:rFonts w:ascii="Calibri" w:cs="Calibri" w:eastAsia="Calibri" w:hAnsi="Calibri"/>
          <w:b/>
          <w:bCs/>
          <w:color w:val="1B365D"/>
          <w:sz w:val="28"/>
          <w:szCs w:val="28"/>
        </w:rPr>
        <w:t xml:space="preserve">9. Why this keeps coming up</w:t>
      </w:r>
    </w:p>
    <w:p>
      <w:pPr>
        <w:spacing w:after="200" w:before="0" w:line="276"/>
      </w:pPr>
      <w:r>
        <w:rPr>
          <w:rFonts w:ascii="Calibri" w:cs="Calibri" w:eastAsia="Calibri" w:hAnsi="Calibri"/>
          <w:color w:val="334155"/>
          <w:sz w:val="22"/>
          <w:szCs w:val="22"/>
        </w:rPr>
        <w:t xml:space="preserve">Hospitals used to absorb a lot of this because the old culture was “don’t make a scene at the door.” That culture does not hold once a facility treats the building like what it is: a controlled workplace with sick people in it.</w:t>
      </w:r>
    </w:p>
    <w:p>
      <w:pPr>
        <w:spacing w:after="200" w:before="0" w:line="276"/>
      </w:pPr>
      <w:r>
        <w:rPr>
          <w:rFonts w:ascii="Calibri" w:cs="Calibri" w:eastAsia="Calibri" w:hAnsi="Calibri"/>
          <w:color w:val="334155"/>
          <w:sz w:val="22"/>
          <w:szCs w:val="22"/>
        </w:rPr>
        <w:t xml:space="preserve">The pattern is the same across sites. Someone treats the lobby like public space. Staff ask for ID and a purpose. The person gets angry because they are being asked for permission. Security restates the rule. If the person keeps coming back with no business, the facility stops treating it as a visitor issue and starts treating it as trespass on this property.</w:t>
      </w:r>
    </w:p>
    <w:p>
      <w:pPr>
        <w:spacing w:after="200" w:before="0" w:line="276"/>
      </w:pPr>
      <w:r>
        <w:rPr>
          <w:rFonts w:ascii="Calibri" w:cs="Calibri" w:eastAsia="Calibri" w:hAnsi="Calibri"/>
          <w:color w:val="334155"/>
          <w:sz w:val="22"/>
          <w:szCs w:val="22"/>
        </w:rPr>
        <w:t xml:space="preserve">One line: you can come here for a reason. You cannot come here to occupy the building.</w:t>
      </w:r>
    </w:p>
    <w:p>
      <w:pPr>
        <w:pStyle w:val="Heading1"/>
        <w:pBdr>
          <w:bottom w:val="single" w:color="CBD5E1" w:sz="8" w:space="6"/>
        </w:pBdr>
        <w:spacing w:after="160" w:before="320"/>
      </w:pPr>
      <w:r>
        <w:rPr>
          <w:rFonts w:ascii="Calibri" w:cs="Calibri" w:eastAsia="Calibri" w:hAnsi="Calibri"/>
          <w:b/>
          <w:bCs/>
          <w:color w:val="1B365D"/>
          <w:sz w:val="28"/>
          <w:szCs w:val="28"/>
        </w:rPr>
        <w:t xml:space="preserve">10. Quick reference — names of the documents</w:t>
      </w:r>
    </w:p>
    <w:p>
      <w:pPr>
        <w:pStyle w:val="ListParagraph"/>
        <w:numPr>
          <w:ilvl w:val="0"/>
          <w:numId w:val="2"/>
        </w:numPr>
        <w:spacing w:after="80" w:line="276"/>
      </w:pPr>
      <w:r>
        <w:rPr>
          <w:rFonts w:ascii="Calibri" w:cs="Calibri" w:eastAsia="Calibri" w:hAnsi="Calibri"/>
          <w:color w:val="334155"/>
          <w:sz w:val="22"/>
          <w:szCs w:val="22"/>
        </w:rPr>
        <w:t xml:space="preserve">Verbal warning / request to leave — staff or security, first step, this property.</w:t>
      </w:r>
    </w:p>
    <w:p>
      <w:pPr>
        <w:pStyle w:val="ListParagraph"/>
        <w:numPr>
          <w:ilvl w:val="0"/>
          <w:numId w:val="2"/>
        </w:numPr>
        <w:spacing w:after="80" w:line="276"/>
      </w:pPr>
      <w:r>
        <w:rPr>
          <w:rFonts w:ascii="Calibri" w:cs="Calibri" w:eastAsia="Calibri" w:hAnsi="Calibri"/>
          <w:color w:val="334155"/>
          <w:sz w:val="22"/>
          <w:szCs w:val="22"/>
        </w:rPr>
        <w:t xml:space="preserve">Notice of Trespass / trespass warning / “reading trespass” — usual thing police serve or announce on scene.</w:t>
      </w:r>
    </w:p>
    <w:p>
      <w:pPr>
        <w:pStyle w:val="ListParagraph"/>
        <w:numPr>
          <w:ilvl w:val="0"/>
          <w:numId w:val="2"/>
        </w:numPr>
        <w:spacing w:after="80" w:line="276"/>
      </w:pPr>
      <w:r>
        <w:rPr>
          <w:rFonts w:ascii="Calibri" w:cs="Calibri" w:eastAsia="Calibri" w:hAnsi="Calibri"/>
          <w:color w:val="334155"/>
          <w:sz w:val="22"/>
          <w:szCs w:val="22"/>
        </w:rPr>
        <w:t xml:space="preserve">No-trespass letter / PC 602 letter — written authorization on file with police for this property.</w:t>
      </w:r>
    </w:p>
    <w:p>
      <w:pPr>
        <w:pStyle w:val="ListParagraph"/>
        <w:numPr>
          <w:ilvl w:val="0"/>
          <w:numId w:val="2"/>
        </w:numPr>
        <w:spacing w:after="80" w:line="276"/>
      </w:pPr>
      <w:r>
        <w:rPr>
          <w:rFonts w:ascii="Calibri" w:cs="Calibri" w:eastAsia="Calibri" w:hAnsi="Calibri"/>
          <w:color w:val="334155"/>
          <w:sz w:val="22"/>
          <w:szCs w:val="22"/>
        </w:rPr>
        <w:t xml:space="preserve">Restricted visitor / banned-from-premises list — internal record; photo and description; may be shared with other sites in the same organization.</w:t>
      </w:r>
    </w:p>
    <w:p>
      <w:pPr>
        <w:pStyle w:val="ListParagraph"/>
        <w:numPr>
          <w:ilvl w:val="0"/>
          <w:numId w:val="2"/>
        </w:numPr>
        <w:spacing w:after="80" w:line="276"/>
      </w:pPr>
      <w:r>
        <w:rPr>
          <w:rFonts w:ascii="Calibri" w:cs="Calibri" w:eastAsia="Calibri" w:hAnsi="Calibri"/>
          <w:color w:val="334155"/>
          <w:sz w:val="22"/>
          <w:szCs w:val="22"/>
        </w:rPr>
        <w:t xml:space="preserve">Workplace Violence Restraining Order (CCP 527.8) — court order the employer can seek for this workplace.</w:t>
      </w:r>
    </w:p>
    <w:p>
      <w:pPr>
        <w:pStyle w:val="ListParagraph"/>
        <w:numPr>
          <w:ilvl w:val="0"/>
          <w:numId w:val="2"/>
        </w:numPr>
        <w:spacing w:after="80" w:line="276"/>
      </w:pPr>
      <w:r>
        <w:rPr>
          <w:rFonts w:ascii="Calibri" w:cs="Calibri" w:eastAsia="Calibri" w:hAnsi="Calibri"/>
          <w:color w:val="334155"/>
          <w:sz w:val="22"/>
          <w:szCs w:val="22"/>
        </w:rPr>
        <w:t xml:space="preserve">Stay-away order — court order, usually out of a criminal case.</w:t>
      </w:r>
    </w:p>
    <w:p>
      <w:pPr>
        <w:spacing w:after="200" w:before="80" w:line="276"/>
      </w:pPr>
      <w:r>
        <w:rPr>
          <w:rFonts w:ascii="Calibri" w:cs="Calibri" w:eastAsia="Calibri" w:hAnsi="Calibri"/>
          <w:i/>
          <w:iCs/>
          <w:color w:val="64748B"/>
          <w:sz w:val="22"/>
          <w:szCs w:val="22"/>
        </w:rPr>
        <w:t xml:space="preserve">A preparer-added line telling the speaker “do not say” that other sites would already know the person was formally dissented on 2 September 2026. That line is withdrawn. The dissent log is filed with this record.</w:t>
      </w:r>
    </w:p>
    <w:p>
      <w:pPr>
        <w:spacing w:after="200" w:before="80" w:line="276"/>
      </w:pPr>
      <w:r>
        <w:rPr>
          <w:rFonts w:ascii="Calibri" w:cs="Calibri" w:eastAsia="Calibri" w:hAnsi="Calibri"/>
          <w:i/>
          <w:iCs/>
          <w:color w:val="64748B"/>
          <w:sz w:val="22"/>
          <w:szCs w:val="22"/>
        </w:rPr>
        <w:t xml:space="preserve">This note is a personal work record of policy and practice. It is not legal advice and it is not a hospital policy manual. Actual steps at any site follow that facility’s security policy and local law enforcement procedure.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spacing w:before="120"/>
      <w:jc w:val="right"/>
    </w:pPr>
    <w:r>
      <w:rPr>
        <w:rFonts w:ascii="Calibri" w:cs="Calibri" w:eastAsia="Calibri" w:hAnsi="Calibri"/>
        <w:color w:val="64748B"/>
        <w:sz w:val="16"/>
        <w:szCs w:val="16"/>
      </w:rPr>
      <w:t xml:space="preserve">Structured from voice note  ·  Dissent logged Sept 2, 2026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pBdr>
      <w:spacing w:after="200"/>
    </w:pPr>
    <w:r>
      <w:rPr>
        <w:rFonts w:ascii="Calibri" w:cs="Calibri" w:eastAsia="Calibri" w:hAnsi="Calibri"/>
        <w:b/>
        <w:bCs/>
        <w:color w:val="1B365D"/>
        <w:sz w:val="16"/>
        <w:szCs w:val="16"/>
      </w:rPr>
      <w:t xml:space="preserve">PERSONAL WORK RECORD  ·  HOSPITAL ACCESS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2026-09-02T20:11:40.668Z</dcterms:created>
  <dcterms:modified xsi:type="dcterms:W3CDTF">2026-09-02T20:11:40.668Z</dcterms:modified>
</cp:coreProperties>
</file>

<file path=docProps/custom.xml><?xml version="1.0" encoding="utf-8"?>
<Properties xmlns="http://schemas.openxmlformats.org/officeDocument/2006/custom-properties" xmlns:vt="http://schemas.openxmlformats.org/officeDocument/2006/docPropsVTypes"/>
</file>