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4"/>
          <w:szCs w:val="44"/>
        </w:rPr>
        <w:t xml:space="preserve">Hospital Visitor Policy</w:t>
      </w:r>
    </w:p>
    <w:p>
      <w:pPr>
        <w:spacing w:after="80" w:before="0" w:line="276"/>
      </w:pPr>
      <w:r>
        <w:rPr>
          <w:rFonts w:ascii="Calibri" w:cs="Calibri" w:eastAsia="Calibri" w:hAnsi="Calibri"/>
          <w:i/>
          <w:iCs/>
          <w:color w:val="64748B"/>
          <w:sz w:val="22"/>
          <w:szCs w:val="22"/>
        </w:rPr>
        <w:t xml:space="preserve">Why access is controlled, what staff can require at the door, and what happens when someone refuses.</w:t>
      </w:r>
    </w:p>
    <w:p>
      <w:pPr>
        <w:spacing w:after="280" w:before="0" w:line="276"/>
      </w:pPr>
      <w:r>
        <w:rPr>
          <w:rFonts w:ascii="Calibri" w:cs="Calibri" w:eastAsia="Calibri" w:hAnsi="Calibri"/>
          <w:color w:val="64748B"/>
          <w:sz w:val="18"/>
          <w:szCs w:val="18"/>
        </w:rPr>
        <w:t xml:space="preserve">Record date: September 2, 2026  ·  Location context: Los Angeles, California  ·  Source: first-person work experience, structured for reuse.</w:t>
      </w:r>
    </w:p>
    <w:p>
      <w:pPr>
        <w:pStyle w:val="Heading1"/>
        <w:pBdr>
          <w:bottom w:val="single" w:color="CBD5E1" w:sz="8" w:space="6"/>
        </w:pBdr>
        <w:spacing w:after="160" w:before="320"/>
      </w:pPr>
      <w:r>
        <w:rPr>
          <w:rFonts w:ascii="Calibri" w:cs="Calibri" w:eastAsia="Calibri" w:hAnsi="Calibri"/>
          <w:b/>
          <w:bCs/>
          <w:color w:val="1B365D"/>
          <w:sz w:val="28"/>
          <w:szCs w:val="28"/>
        </w:rPr>
        <w:t xml:space="preserve">1. The point of the policy</w:t>
      </w:r>
    </w:p>
    <w:p>
      <w:pPr>
        <w:spacing w:after="200" w:before="0" w:line="276"/>
      </w:pPr>
      <w:r>
        <w:rPr>
          <w:rFonts w:ascii="Calibri" w:cs="Calibri" w:eastAsia="Calibri" w:hAnsi="Calibri"/>
          <w:color w:val="334155"/>
          <w:sz w:val="22"/>
          <w:szCs w:val="22"/>
        </w:rPr>
        <w:t xml:space="preserve">A hospital is a business with a specific purpose. It is not a public park, a hangout, or a place people get to walk through because they feel like it. People come there for care, to visit a named patient, to work, or to conduct authorized business.</w:t>
      </w:r>
    </w:p>
    <w:p>
      <w:pPr>
        <w:spacing w:after="200" w:before="0" w:line="276"/>
      </w:pPr>
      <w:r>
        <w:rPr>
          <w:rFonts w:ascii="Calibri" w:cs="Calibri" w:eastAsia="Calibri" w:hAnsi="Calibri"/>
          <w:color w:val="334155"/>
          <w:sz w:val="22"/>
          <w:szCs w:val="22"/>
        </w:rPr>
        <w:t xml:space="preserve">That is why visitor policy exists. It is not about being unfriendly. It is about knowing who is in the building, why they are there, and where they are going. Patients, staff, and operations all depend on that.</w:t>
      </w:r>
    </w:p>
    <w:p>
      <w:pPr>
        <w:pStyle w:val="Heading1"/>
        <w:pBdr>
          <w:bottom w:val="single" w:color="CBD5E1" w:sz="8" w:space="6"/>
        </w:pBdr>
        <w:spacing w:after="160" w:before="320"/>
      </w:pPr>
      <w:r>
        <w:rPr>
          <w:rFonts w:ascii="Calibri" w:cs="Calibri" w:eastAsia="Calibri" w:hAnsi="Calibri"/>
          <w:b/>
          <w:bCs/>
          <w:color w:val="1B365D"/>
          <w:sz w:val="28"/>
          <w:szCs w:val="28"/>
        </w:rPr>
        <w:t xml:space="preserve">2. How it used to work versus how it works now</w:t>
      </w:r>
    </w:p>
    <w:p>
      <w:pPr>
        <w:pStyle w:val="Heading2"/>
        <w:spacing w:after="120" w:before="240"/>
      </w:pPr>
      <w:r>
        <w:rPr>
          <w:rFonts w:ascii="Calibri" w:cs="Calibri" w:eastAsia="Calibri" w:hAnsi="Calibri"/>
          <w:b/>
          <w:bCs/>
          <w:color w:val="1B365D"/>
          <w:sz w:val="24"/>
          <w:szCs w:val="24"/>
        </w:rPr>
        <w:t xml:space="preserve">The old way</w:t>
      </w:r>
    </w:p>
    <w:p>
      <w:pPr>
        <w:spacing w:after="200" w:before="0" w:line="276"/>
      </w:pPr>
      <w:r>
        <w:rPr>
          <w:rFonts w:ascii="Calibri" w:cs="Calibri" w:eastAsia="Calibri" w:hAnsi="Calibri"/>
          <w:color w:val="334155"/>
          <w:sz w:val="22"/>
          <w:szCs w:val="22"/>
        </w:rPr>
        <w:t xml:space="preserve">For a long time, a lot of hospitals ran on an honor system. Someone walked in, said they were a visitor, and that was close enough. Front desk and security did not always have a clear green light to stop people. If you asked where they were going and they gave any answer, they often walked through.</w:t>
      </w:r>
    </w:p>
    <w:p>
      <w:pPr>
        <w:pStyle w:val="Heading2"/>
        <w:spacing w:after="120" w:before="240"/>
      </w:pPr>
      <w:r>
        <w:rPr>
          <w:rFonts w:ascii="Calibri" w:cs="Calibri" w:eastAsia="Calibri" w:hAnsi="Calibri"/>
          <w:b/>
          <w:bCs/>
          <w:color w:val="1B365D"/>
          <w:sz w:val="24"/>
          <w:szCs w:val="24"/>
        </w:rPr>
        <w:t xml:space="preserve">The current way</w:t>
      </w:r>
    </w:p>
    <w:p>
      <w:pPr>
        <w:spacing w:after="200" w:before="0" w:line="276"/>
      </w:pPr>
      <w:r>
        <w:rPr>
          <w:rFonts w:ascii="Calibri" w:cs="Calibri" w:eastAsia="Calibri" w:hAnsi="Calibri"/>
          <w:color w:val="334155"/>
          <w:sz w:val="22"/>
          <w:szCs w:val="22"/>
        </w:rPr>
        <w:t xml:space="preserve">The hospital I worked at changed that. By the time the new policy was in place, anyone entering the building had to meet a basic standard:</w:t>
      </w:r>
    </w:p>
    <w:p>
      <w:pPr>
        <w:pStyle w:val="ListParagraph"/>
        <w:numPr>
          <w:ilvl w:val="0"/>
          <w:numId w:val="2"/>
        </w:numPr>
        <w:spacing w:after="80" w:line="276"/>
      </w:pPr>
      <w:r>
        <w:rPr>
          <w:rFonts w:ascii="Calibri" w:cs="Calibri" w:eastAsia="Calibri" w:hAnsi="Calibri"/>
          <w:color w:val="334155"/>
          <w:sz w:val="22"/>
          <w:szCs w:val="22"/>
        </w:rPr>
        <w:t xml:space="preserve">Show identification.</w:t>
      </w:r>
    </w:p>
    <w:p>
      <w:pPr>
        <w:pStyle w:val="ListParagraph"/>
        <w:numPr>
          <w:ilvl w:val="0"/>
          <w:numId w:val="2"/>
        </w:numPr>
        <w:spacing w:after="80" w:line="276"/>
      </w:pPr>
      <w:r>
        <w:rPr>
          <w:rFonts w:ascii="Calibri" w:cs="Calibri" w:eastAsia="Calibri" w:hAnsi="Calibri"/>
          <w:color w:val="334155"/>
          <w:sz w:val="22"/>
          <w:szCs w:val="22"/>
        </w:rPr>
        <w:t xml:space="preserve">Name the person or department they are there to see.</w:t>
      </w:r>
    </w:p>
    <w:p>
      <w:pPr>
        <w:pStyle w:val="ListParagraph"/>
        <w:numPr>
          <w:ilvl w:val="0"/>
          <w:numId w:val="2"/>
        </w:numPr>
        <w:spacing w:after="80" w:line="276"/>
      </w:pPr>
      <w:r>
        <w:rPr>
          <w:rFonts w:ascii="Calibri" w:cs="Calibri" w:eastAsia="Calibri" w:hAnsi="Calibri"/>
          <w:color w:val="334155"/>
          <w:sz w:val="22"/>
          <w:szCs w:val="22"/>
        </w:rPr>
        <w:t xml:space="preserve">State a legitimate purpose for being on site.</w:t>
      </w:r>
    </w:p>
    <w:p>
      <w:pPr>
        <w:pStyle w:val="ListParagraph"/>
        <w:numPr>
          <w:ilvl w:val="0"/>
          <w:numId w:val="2"/>
        </w:numPr>
        <w:spacing w:after="80" w:line="276"/>
      </w:pPr>
      <w:r>
        <w:rPr>
          <w:rFonts w:ascii="Calibri" w:cs="Calibri" w:eastAsia="Calibri" w:hAnsi="Calibri"/>
          <w:color w:val="334155"/>
          <w:sz w:val="22"/>
          <w:szCs w:val="22"/>
        </w:rPr>
        <w:t xml:space="preserve">Accept that access can be refused if those things are missing.</w:t>
      </w:r>
    </w:p>
    <w:p>
      <w:pPr>
        <w:spacing w:after="200" w:before="0" w:line="276"/>
      </w:pPr>
      <w:r>
        <w:rPr>
          <w:rFonts w:ascii="Calibri" w:cs="Calibri" w:eastAsia="Calibri" w:hAnsi="Calibri"/>
          <w:color w:val="334155"/>
          <w:sz w:val="22"/>
          <w:szCs w:val="22"/>
        </w:rPr>
        <w:t xml:space="preserve">Security at the main entrance, a greeter or door person at the front desk, and — for a period — patient-watch security were part of that system. Patient watch was later phased out at that facility, but the access-control rule stayed: you do not just walk in and wander.</w:t>
      </w:r>
    </w:p>
    <w:p>
      <w:pPr>
        <w:pStyle w:val="Heading1"/>
        <w:pBdr>
          <w:bottom w:val="single" w:color="CBD5E1" w:sz="8" w:space="6"/>
        </w:pBdr>
        <w:spacing w:after="160" w:before="320"/>
      </w:pPr>
      <w:r>
        <w:rPr>
          <w:rFonts w:ascii="Calibri" w:cs="Calibri" w:eastAsia="Calibri" w:hAnsi="Calibri"/>
          <w:b/>
          <w:bCs/>
          <w:color w:val="1B365D"/>
          <w:sz w:val="28"/>
          <w:szCs w:val="28"/>
        </w:rPr>
        <w:t xml:space="preserve">3. What staff are allowed to ask</w:t>
      </w:r>
    </w:p>
    <w:p>
      <w:pPr>
        <w:spacing w:after="200" w:before="0" w:line="276"/>
      </w:pPr>
      <w:r>
        <w:rPr>
          <w:rFonts w:ascii="Calibri" w:cs="Calibri" w:eastAsia="Calibri" w:hAnsi="Calibri"/>
          <w:color w:val="334155"/>
          <w:sz w:val="22"/>
          <w:szCs w:val="22"/>
        </w:rPr>
        <w:t xml:space="preserve">If you are sitting the front desk or working the door, you are not being rude when you ask the following. You are doing the job the policy requires:</w:t>
      </w:r>
    </w:p>
    <w:p>
      <w:pPr>
        <w:pStyle w:val="ListParagraph"/>
        <w:numPr>
          <w:ilvl w:val="0"/>
          <w:numId w:val="2"/>
        </w:numPr>
        <w:spacing w:after="80" w:line="276"/>
      </w:pPr>
      <w:r>
        <w:rPr>
          <w:rFonts w:ascii="Calibri" w:cs="Calibri" w:eastAsia="Calibri" w:hAnsi="Calibri"/>
          <w:color w:val="334155"/>
          <w:sz w:val="22"/>
          <w:szCs w:val="22"/>
        </w:rPr>
        <w:t xml:space="preserve">Do you have identification?</w:t>
      </w:r>
    </w:p>
    <w:p>
      <w:pPr>
        <w:pStyle w:val="ListParagraph"/>
        <w:numPr>
          <w:ilvl w:val="0"/>
          <w:numId w:val="2"/>
        </w:numPr>
        <w:spacing w:after="80" w:line="276"/>
      </w:pPr>
      <w:r>
        <w:rPr>
          <w:rFonts w:ascii="Calibri" w:cs="Calibri" w:eastAsia="Calibri" w:hAnsi="Calibri"/>
          <w:color w:val="334155"/>
          <w:sz w:val="22"/>
          <w:szCs w:val="22"/>
        </w:rPr>
        <w:t xml:space="preserve">Who are you here to see?</w:t>
      </w:r>
    </w:p>
    <w:p>
      <w:pPr>
        <w:pStyle w:val="ListParagraph"/>
        <w:numPr>
          <w:ilvl w:val="0"/>
          <w:numId w:val="2"/>
        </w:numPr>
        <w:spacing w:after="80" w:line="276"/>
      </w:pPr>
      <w:r>
        <w:rPr>
          <w:rFonts w:ascii="Calibri" w:cs="Calibri" w:eastAsia="Calibri" w:hAnsi="Calibri"/>
          <w:color w:val="334155"/>
          <w:sz w:val="22"/>
          <w:szCs w:val="22"/>
        </w:rPr>
        <w:t xml:space="preserve">Are you here for a visit, an appointment, work, or the ER?</w:t>
      </w:r>
    </w:p>
    <w:p>
      <w:pPr>
        <w:pStyle w:val="ListParagraph"/>
        <w:numPr>
          <w:ilvl w:val="0"/>
          <w:numId w:val="2"/>
        </w:numPr>
        <w:spacing w:after="80" w:line="276"/>
      </w:pPr>
      <w:r>
        <w:rPr>
          <w:rFonts w:ascii="Calibri" w:cs="Calibri" w:eastAsia="Calibri" w:hAnsi="Calibri"/>
          <w:color w:val="334155"/>
          <w:sz w:val="22"/>
          <w:szCs w:val="22"/>
        </w:rPr>
        <w:t xml:space="preserve">Where are you going, and do you know the unit or room?</w:t>
      </w:r>
    </w:p>
    <w:p>
      <w:pPr>
        <w:spacing w:after="200" w:before="0" w:line="276"/>
      </w:pPr>
      <w:r>
        <w:rPr>
          <w:rFonts w:ascii="Calibri" w:cs="Calibri" w:eastAsia="Calibri" w:hAnsi="Calibri"/>
          <w:color w:val="334155"/>
          <w:sz w:val="22"/>
          <w:szCs w:val="22"/>
        </w:rPr>
        <w:t xml:space="preserve">If the person is a visitor, you need an ID, a destination, and a reason. If they are an employee, they should have credentials. If they are here for emergency care, that is a different track — they go to the ER, they do not get free run of the building.</w:t>
      </w:r>
    </w:p>
    <w:p>
      <w:pPr>
        <w:spacing w:after="200" w:before="0" w:line="276"/>
      </w:pPr>
      <w:r>
        <w:rPr>
          <w:rFonts w:ascii="Calibri" w:cs="Calibri" w:eastAsia="Calibri" w:hAnsi="Calibri"/>
          <w:color w:val="334155"/>
          <w:sz w:val="22"/>
          <w:szCs w:val="22"/>
        </w:rPr>
        <w:t xml:space="preserve">The sentence that matters is simple: you are not an employee, and you are not going to show up and hang around the premises all day. That is not how a hospital works.</w:t>
      </w:r>
    </w:p>
    <w:p>
      <w:pPr>
        <w:pStyle w:val="Heading1"/>
        <w:pBdr>
          <w:bottom w:val="single" w:color="CBD5E1" w:sz="8" w:space="6"/>
        </w:pBdr>
        <w:spacing w:after="160" w:before="320"/>
      </w:pPr>
      <w:r>
        <w:rPr>
          <w:rFonts w:ascii="Calibri" w:cs="Calibri" w:eastAsia="Calibri" w:hAnsi="Calibri"/>
          <w:b/>
          <w:bCs/>
          <w:color w:val="1B365D"/>
          <w:sz w:val="28"/>
          <w:szCs w:val="28"/>
        </w:rPr>
        <w:t xml:space="preserve">4. The incident this note is built around</w:t>
      </w:r>
    </w:p>
    <w:p>
      <w:pPr>
        <w:spacing w:after="200" w:before="0" w:line="276"/>
      </w:pPr>
      <w:r>
        <w:rPr>
          <w:rFonts w:ascii="Calibri" w:cs="Calibri" w:eastAsia="Calibri" w:hAnsi="Calibri"/>
          <w:color w:val="334155"/>
          <w:sz w:val="22"/>
          <w:szCs w:val="22"/>
        </w:rPr>
        <w:t xml:space="preserve">A woman came through the front entrance. She was rude. She was cursing at the security officer and at the person at the front desk. For the purpose of this record, that front-desk person is me.</w:t>
      </w:r>
    </w:p>
    <w:p>
      <w:pPr>
        <w:spacing w:after="200" w:before="0" w:line="276"/>
      </w:pPr>
      <w:r>
        <w:rPr>
          <w:rFonts w:ascii="Calibri" w:cs="Calibri" w:eastAsia="Calibri" w:hAnsi="Calibri"/>
          <w:color w:val="334155"/>
          <w:sz w:val="22"/>
          <w:szCs w:val="22"/>
        </w:rPr>
        <w:t xml:space="preserve">I called security. Security pulled her aside. The conversation that followed was the policy stated out loud:</w:t>
      </w:r>
    </w:p>
    <w:p>
      <w:pPr>
        <w:spacing w:after="200" w:before="0" w:line="276"/>
      </w:pPr>
      <w:r>
        <w:rPr>
          <w:rFonts w:ascii="Calibri" w:cs="Calibri" w:eastAsia="Calibri" w:hAnsi="Calibri"/>
          <w:color w:val="334155"/>
          <w:sz w:val="22"/>
          <w:szCs w:val="22"/>
        </w:rPr>
        <w:t xml:space="preserve">This is a hospital. You have to have a reason to be here. You cannot walk in the front door, go wherever you want, and do whatever you please. That is not how it works. Are you here to see somebody? Do you have business here? Are you here for the ER? What are you here to do? Do you have identification? If you are visiting, we need an ID, we need to know where you are going, and we need to know what you are doing.</w:t>
      </w:r>
    </w:p>
    <w:p>
      <w:pPr>
        <w:spacing w:after="200" w:before="0" w:line="276"/>
      </w:pPr>
      <w:r>
        <w:rPr>
          <w:rFonts w:ascii="Calibri" w:cs="Calibri" w:eastAsia="Calibri" w:hAnsi="Calibri"/>
          <w:color w:val="334155"/>
          <w:sz w:val="22"/>
          <w:szCs w:val="22"/>
        </w:rPr>
        <w:t xml:space="preserve">If she kept treating the location like a place she could solicit, loiter, or occupy without a purpose, the next step was a ban from the premises. After that, the warning is not local to one desk anymore. Other sites and other security teams can be put on notice. When she walks onto a property that has already flagged her, the answer is already no.</w:t>
      </w:r>
    </w:p>
    <w:p>
      <w:pPr>
        <w:pStyle w:val="Heading1"/>
        <w:pBdr>
          <w:bottom w:val="single" w:color="CBD5E1" w:sz="8" w:space="6"/>
        </w:pBdr>
        <w:spacing w:after="160" w:before="320"/>
      </w:pPr>
      <w:r>
        <w:rPr>
          <w:rFonts w:ascii="Calibri" w:cs="Calibri" w:eastAsia="Calibri" w:hAnsi="Calibri"/>
          <w:b/>
          <w:bCs/>
          <w:color w:val="1B365D"/>
          <w:sz w:val="28"/>
          <w:szCs w:val="28"/>
        </w:rPr>
        <w:t xml:space="preserve">5. Repeat problems and the escalation ladder</w:t>
      </w:r>
    </w:p>
    <w:p>
      <w:pPr>
        <w:spacing w:after="200" w:before="0" w:line="276"/>
      </w:pPr>
      <w:r>
        <w:rPr>
          <w:rFonts w:ascii="Calibri" w:cs="Calibri" w:eastAsia="Calibri" w:hAnsi="Calibri"/>
          <w:color w:val="334155"/>
          <w:sz w:val="22"/>
          <w:szCs w:val="22"/>
        </w:rPr>
        <w:t xml:space="preserve">This is not a one-hospital issue. The same pattern shows up at a lot of workplaces: people who are not patients, not visitors with a destination, and not staff, but who keep coming back because they want a place to be.</w:t>
      </w:r>
    </w:p>
    <w:p>
      <w:pPr>
        <w:spacing w:after="200" w:before="0" w:line="276"/>
      </w:pPr>
      <w:r>
        <w:rPr>
          <w:rFonts w:ascii="Calibri" w:cs="Calibri" w:eastAsia="Calibri" w:hAnsi="Calibri"/>
          <w:color w:val="334155"/>
          <w:sz w:val="22"/>
          <w:szCs w:val="22"/>
        </w:rPr>
        <w:t xml:space="preserve">When someone keeps showing up with no legitimate purpose, the response is not supposed to stay informal forever. There is a documented ladder.</w:t>
      </w:r>
    </w:p>
    <w:p>
      <w:pPr>
        <w:pStyle w:val="Heading2"/>
        <w:spacing w:after="120" w:before="240"/>
      </w:pPr>
      <w:r>
        <w:rPr>
          <w:rFonts w:ascii="Calibri" w:cs="Calibri" w:eastAsia="Calibri" w:hAnsi="Calibri"/>
          <w:b/>
          <w:bCs/>
          <w:color w:val="1B365D"/>
          <w:sz w:val="24"/>
          <w:szCs w:val="24"/>
        </w:rPr>
        <w:t xml:space="preserve">Tier 1 — Verbal warning and removal</w:t>
      </w:r>
    </w:p>
    <w:p>
      <w:pPr>
        <w:spacing w:after="200" w:before="0" w:line="276"/>
      </w:pPr>
      <w:r>
        <w:rPr>
          <w:rFonts w:ascii="Calibri" w:cs="Calibri" w:eastAsia="Calibri" w:hAnsi="Calibri"/>
          <w:color w:val="334155"/>
          <w:sz w:val="22"/>
          <w:szCs w:val="22"/>
        </w:rPr>
        <w:t xml:space="preserve">Staff or security, acting as the owner’s agent, ask the person to state their business or leave. If they refuse, security removes them from the property. This is the first official notice that the premises are not open to them for hanging out.</w:t>
      </w:r>
    </w:p>
    <w:p>
      <w:pPr>
        <w:pStyle w:val="Heading2"/>
        <w:spacing w:after="120" w:before="240"/>
      </w:pPr>
      <w:r>
        <w:rPr>
          <w:rFonts w:ascii="Calibri" w:cs="Calibri" w:eastAsia="Calibri" w:hAnsi="Calibri"/>
          <w:b/>
          <w:bCs/>
          <w:color w:val="1B365D"/>
          <w:sz w:val="24"/>
          <w:szCs w:val="24"/>
        </w:rPr>
        <w:t xml:space="preserve">Tier 2 — Written trespass notice, often served with police</w:t>
      </w:r>
    </w:p>
    <w:p>
      <w:pPr>
        <w:spacing w:after="200" w:before="0" w:line="276"/>
      </w:pPr>
      <w:r>
        <w:rPr>
          <w:rFonts w:ascii="Calibri" w:cs="Calibri" w:eastAsia="Calibri" w:hAnsi="Calibri"/>
          <w:color w:val="334155"/>
          <w:sz w:val="22"/>
          <w:szCs w:val="22"/>
        </w:rPr>
        <w:t xml:space="preserve">This is the document you were trying to name.</w:t>
      </w:r>
    </w:p>
    <w:p>
      <w:pPr>
        <w:spacing w:after="200" w:before="0" w:line="276"/>
      </w:pPr>
      <w:r>
        <w:rPr>
          <w:rFonts w:ascii="Calibri" w:cs="Calibri" w:eastAsia="Calibri" w:hAnsi="Calibri"/>
          <w:color w:val="334155"/>
          <w:sz w:val="22"/>
          <w:szCs w:val="22"/>
        </w:rPr>
        <w:t xml:space="preserve">In California it is most often called a Notice of Trespass, a trespass warning, or a no-trespass letter. Police and hospital security also talk about “reading trespass” to someone — meaning an officer, at the hospital’s request, tells that specific person they are not welcome on the property and that coming back is a crime.</w:t>
      </w:r>
    </w:p>
    <w:p>
      <w:pPr>
        <w:spacing w:after="200" w:before="0" w:line="276"/>
      </w:pPr>
      <w:r>
        <w:rPr>
          <w:rFonts w:ascii="Calibri" w:cs="Calibri" w:eastAsia="Calibri" w:hAnsi="Calibri"/>
          <w:color w:val="334155"/>
          <w:sz w:val="22"/>
          <w:szCs w:val="22"/>
        </w:rPr>
        <w:t xml:space="preserve">The criminal statute underneath it is California Penal Code section 602, especially:</w:t>
      </w:r>
    </w:p>
    <w:p>
      <w:pPr>
        <w:pStyle w:val="ListParagraph"/>
        <w:numPr>
          <w:ilvl w:val="0"/>
          <w:numId w:val="2"/>
        </w:numPr>
        <w:spacing w:after="80" w:line="276"/>
      </w:pPr>
      <w:r>
        <w:rPr>
          <w:rFonts w:ascii="Calibri" w:cs="Calibri" w:eastAsia="Calibri" w:hAnsi="Calibri"/>
          <w:color w:val="334155"/>
          <w:sz w:val="22"/>
          <w:szCs w:val="22"/>
        </w:rPr>
        <w:t xml:space="preserve">602(o) — refusing or failing to leave after being asked by the owner, the owner’s agent, or a peace officer acting at their request.</w:t>
      </w:r>
    </w:p>
    <w:p>
      <w:pPr>
        <w:pStyle w:val="ListParagraph"/>
        <w:numPr>
          <w:ilvl w:val="0"/>
          <w:numId w:val="2"/>
        </w:numPr>
        <w:spacing w:after="80" w:line="276"/>
      </w:pPr>
      <w:r>
        <w:rPr>
          <w:rFonts w:ascii="Calibri" w:cs="Calibri" w:eastAsia="Calibri" w:hAnsi="Calibri"/>
          <w:color w:val="334155"/>
          <w:sz w:val="22"/>
          <w:szCs w:val="22"/>
        </w:rPr>
        <w:t xml:space="preserve">602(k) — entering with the intent to interfere with or obstruct a lawful business.</w:t>
      </w:r>
    </w:p>
    <w:p>
      <w:pPr>
        <w:pStyle w:val="ListParagraph"/>
        <w:numPr>
          <w:ilvl w:val="0"/>
          <w:numId w:val="2"/>
        </w:numPr>
        <w:spacing w:after="80" w:line="276"/>
      </w:pPr>
      <w:r>
        <w:rPr>
          <w:rFonts w:ascii="Calibri" w:cs="Calibri" w:eastAsia="Calibri" w:hAnsi="Calibri"/>
          <w:color w:val="334155"/>
          <w:sz w:val="22"/>
          <w:szCs w:val="22"/>
        </w:rPr>
        <w:t xml:space="preserve">602.1 — remaining at a business open to the public and refusing to leave after being asked, when the conduct interferes with the business.</w:t>
      </w:r>
    </w:p>
    <w:p>
      <w:pPr>
        <w:spacing w:after="200" w:before="0" w:line="276"/>
      </w:pPr>
      <w:r>
        <w:rPr>
          <w:rFonts w:ascii="Calibri" w:cs="Calibri" w:eastAsia="Calibri" w:hAnsi="Calibri"/>
          <w:color w:val="334155"/>
          <w:sz w:val="22"/>
          <w:szCs w:val="22"/>
        </w:rPr>
        <w:t xml:space="preserve">Hospitals also use an internal banned-visitor or restricted-visitor list so the next shift is not starting from zero.</w:t>
      </w:r>
    </w:p>
    <w:p>
      <w:pPr>
        <w:spacing w:after="200" w:before="0" w:line="276"/>
      </w:pPr>
      <w:r>
        <w:rPr>
          <w:rFonts w:ascii="Calibri" w:cs="Calibri" w:eastAsia="Calibri" w:hAnsi="Calibri"/>
          <w:color w:val="334155"/>
          <w:sz w:val="22"/>
          <w:szCs w:val="22"/>
        </w:rPr>
        <w:t xml:space="preserve">Separately, property owners can file a written authorization with local law enforcement — people call this a 602 letter or PC 602 letter — so officers already have standing to act if that person returns. In California that authorization can remain in effect for a year (longer if the property is posted as permanently closed).</w:t>
      </w:r>
    </w:p>
    <w:p>
      <w:pPr>
        <w:pStyle w:val="Heading2"/>
        <w:spacing w:after="120" w:before="240"/>
      </w:pPr>
      <w:r>
        <w:rPr>
          <w:rFonts w:ascii="Calibri" w:cs="Calibri" w:eastAsia="Calibri" w:hAnsi="Calibri"/>
          <w:b/>
          <w:bCs/>
          <w:color w:val="1B365D"/>
          <w:sz w:val="24"/>
          <w:szCs w:val="24"/>
        </w:rPr>
        <w:t xml:space="preserve">Tier 3 — Return after being served</w:t>
      </w:r>
    </w:p>
    <w:p>
      <w:pPr>
        <w:spacing w:after="200" w:before="0" w:line="276"/>
      </w:pPr>
      <w:r>
        <w:rPr>
          <w:rFonts w:ascii="Calibri" w:cs="Calibri" w:eastAsia="Calibri" w:hAnsi="Calibri"/>
          <w:color w:val="334155"/>
          <w:sz w:val="22"/>
          <w:szCs w:val="22"/>
        </w:rPr>
        <w:t xml:space="preserve">Once the person has been warned or served, coming back is no longer “we need to figure out who this is.” It is trespass. Police can cite or arrest. The hospital does not have to re-argue the policy at the door every time.</w:t>
      </w:r>
    </w:p>
    <w:p>
      <w:pPr>
        <w:pStyle w:val="Heading2"/>
        <w:spacing w:after="120" w:before="240"/>
      </w:pPr>
      <w:r>
        <w:rPr>
          <w:rFonts w:ascii="Calibri" w:cs="Calibri" w:eastAsia="Calibri" w:hAnsi="Calibri"/>
          <w:b/>
          <w:bCs/>
          <w:color w:val="1B365D"/>
          <w:sz w:val="24"/>
          <w:szCs w:val="24"/>
        </w:rPr>
        <w:t xml:space="preserve">Tier 4 — Court order</w:t>
      </w:r>
    </w:p>
    <w:p>
      <w:pPr>
        <w:spacing w:after="200" w:before="0" w:line="276"/>
      </w:pPr>
      <w:r>
        <w:rPr>
          <w:rFonts w:ascii="Calibri" w:cs="Calibri" w:eastAsia="Calibri" w:hAnsi="Calibri"/>
          <w:color w:val="334155"/>
          <w:sz w:val="22"/>
          <w:szCs w:val="22"/>
        </w:rPr>
        <w:t xml:space="preserve">If the conduct is threatening, violent, or keeps targeting staff, the hospital can go above a trespass notice. In California the usual court tool for this is a Workplace Violence Restraining Order under Code of Civil Procedure section 527.8. The employer files it to protect employees and the workplace. A criminal case can also produce a stay-away order as a condition of release or sentencing.</w:t>
      </w:r>
    </w:p>
    <w:p>
      <w:pPr>
        <w:spacing w:after="200" w:before="0" w:line="276"/>
      </w:pPr>
      <w:r>
        <w:rPr>
          <w:rFonts w:ascii="Calibri" w:cs="Calibri" w:eastAsia="Calibri" w:hAnsi="Calibri"/>
          <w:color w:val="334155"/>
          <w:sz w:val="22"/>
          <w:szCs w:val="22"/>
        </w:rPr>
        <w:t xml:space="preserve">That is the “higher tier” you were describing: after an established history, they are not just asked to leave. They are ordered to stay away, and violating that order is its own offense.</w:t>
      </w:r>
    </w:p>
    <w:p>
      <w:pPr>
        <w:pStyle w:val="Heading1"/>
        <w:pBdr>
          <w:bottom w:val="single" w:color="CBD5E1" w:sz="8" w:space="6"/>
        </w:pBdr>
        <w:spacing w:after="160" w:before="320"/>
      </w:pPr>
      <w:r>
        <w:rPr>
          <w:rFonts w:ascii="Calibri" w:cs="Calibri" w:eastAsia="Calibri" w:hAnsi="Calibri"/>
          <w:b/>
          <w:bCs/>
          <w:color w:val="1B365D"/>
          <w:sz w:val="28"/>
          <w:szCs w:val="28"/>
        </w:rPr>
        <w:t xml:space="preserve">6. What to say at the desk (usable script)</w:t>
      </w:r>
    </w:p>
    <w:p>
      <w:pPr>
        <w:spacing w:after="200" w:before="0" w:line="276"/>
      </w:pPr>
      <w:r>
        <w:rPr>
          <w:rFonts w:ascii="Calibri" w:cs="Calibri" w:eastAsia="Calibri" w:hAnsi="Calibri"/>
          <w:color w:val="334155"/>
          <w:sz w:val="22"/>
          <w:szCs w:val="22"/>
        </w:rPr>
        <w:t xml:space="preserve">Use a calm, even tone. Do not match cursing with cursing. State the rule, ask the four questions, then call security if the person will not answer or will not leave.</w:t>
      </w:r>
    </w:p>
    <w:p>
      <w:pPr>
        <w:spacing w:after="200" w:before="0" w:line="276"/>
      </w:pPr>
      <w:r>
        <w:rPr>
          <w:rFonts w:ascii="Calibri" w:cs="Calibri" w:eastAsia="Calibri" w:hAnsi="Calibri"/>
          <w:color w:val="334155"/>
          <w:sz w:val="22"/>
          <w:szCs w:val="22"/>
        </w:rPr>
        <w:t xml:space="preserve">“This is a hospital. Entry is for people who have a reason to be here — a patient visit, an appointment, work, or emergency care. I need to see identification and I need to know who you are here to see and where you are going. If you do not have that, I cannot let you through. If you need the ER, I can point you there. If you do not have business here, you will need to leave the property.”</w:t>
      </w:r>
    </w:p>
    <w:p>
      <w:pPr>
        <w:spacing w:after="200" w:before="0" w:line="276"/>
      </w:pPr>
      <w:r>
        <w:rPr>
          <w:rFonts w:ascii="Calibri" w:cs="Calibri" w:eastAsia="Calibri" w:hAnsi="Calibri"/>
          <w:color w:val="334155"/>
          <w:sz w:val="22"/>
          <w:szCs w:val="22"/>
        </w:rPr>
        <w:t xml:space="preserve">If they escalate:</w:t>
      </w:r>
    </w:p>
    <w:p>
      <w:pPr>
        <w:spacing w:after="200" w:before="0" w:line="276"/>
      </w:pPr>
      <w:r>
        <w:rPr>
          <w:rFonts w:ascii="Calibri" w:cs="Calibri" w:eastAsia="Calibri" w:hAnsi="Calibri"/>
          <w:color w:val="334155"/>
          <w:sz w:val="22"/>
          <w:szCs w:val="22"/>
        </w:rPr>
        <w:t xml:space="preserve">“I am not going to continue this conversation while you are yelling. I am calling security. If you refuse to leave after being asked, you can be trespassed from this property.”</w:t>
      </w:r>
    </w:p>
    <w:p>
      <w:pPr>
        <w:pStyle w:val="Heading1"/>
        <w:pBdr>
          <w:bottom w:val="single" w:color="CBD5E1" w:sz="8" w:space="6"/>
        </w:pBdr>
        <w:spacing w:after="160" w:before="320"/>
      </w:pPr>
      <w:r>
        <w:rPr>
          <w:rFonts w:ascii="Calibri" w:cs="Calibri" w:eastAsia="Calibri" w:hAnsi="Calibri"/>
          <w:b/>
          <w:bCs/>
          <w:color w:val="1B365D"/>
          <w:sz w:val="28"/>
          <w:szCs w:val="28"/>
        </w:rPr>
        <w:t xml:space="preserve">7. What to document after an incident</w:t>
      </w:r>
    </w:p>
    <w:p>
      <w:pPr>
        <w:spacing w:after="200" w:before="0" w:line="276"/>
      </w:pPr>
      <w:r>
        <w:rPr>
          <w:rFonts w:ascii="Calibri" w:cs="Calibri" w:eastAsia="Calibri" w:hAnsi="Calibri"/>
          <w:color w:val="334155"/>
          <w:sz w:val="22"/>
          <w:szCs w:val="22"/>
        </w:rPr>
        <w:t xml:space="preserve">If this happens again at any site, write it down the same day. The paper trail is what lets the facility move from a one-time argument to a ban that actually holds.</w:t>
      </w:r>
    </w:p>
    <w:p>
      <w:pPr>
        <w:pStyle w:val="ListParagraph"/>
        <w:numPr>
          <w:ilvl w:val="0"/>
          <w:numId w:val="2"/>
        </w:numPr>
        <w:spacing w:after="80" w:line="276"/>
      </w:pPr>
      <w:r>
        <w:rPr>
          <w:rFonts w:ascii="Calibri" w:cs="Calibri" w:eastAsia="Calibri" w:hAnsi="Calibri"/>
          <w:color w:val="334155"/>
          <w:sz w:val="22"/>
          <w:szCs w:val="22"/>
        </w:rPr>
        <w:t xml:space="preserve">Date, time, entrance, and your name/role.</w:t>
      </w:r>
    </w:p>
    <w:p>
      <w:pPr>
        <w:pStyle w:val="ListParagraph"/>
        <w:numPr>
          <w:ilvl w:val="0"/>
          <w:numId w:val="2"/>
        </w:numPr>
        <w:spacing w:after="80" w:line="276"/>
      </w:pPr>
      <w:r>
        <w:rPr>
          <w:rFonts w:ascii="Calibri" w:cs="Calibri" w:eastAsia="Calibri" w:hAnsi="Calibri"/>
          <w:color w:val="334155"/>
          <w:sz w:val="22"/>
          <w:szCs w:val="22"/>
        </w:rPr>
        <w:t xml:space="preserve">Description of the person and any name or ID they gave.</w:t>
      </w:r>
    </w:p>
    <w:p>
      <w:pPr>
        <w:pStyle w:val="ListParagraph"/>
        <w:numPr>
          <w:ilvl w:val="0"/>
          <w:numId w:val="2"/>
        </w:numPr>
        <w:spacing w:after="80" w:line="276"/>
      </w:pPr>
      <w:r>
        <w:rPr>
          <w:rFonts w:ascii="Calibri" w:cs="Calibri" w:eastAsia="Calibri" w:hAnsi="Calibri"/>
          <w:color w:val="334155"/>
          <w:sz w:val="22"/>
          <w:szCs w:val="22"/>
        </w:rPr>
        <w:t xml:space="preserve">Exactly what they said and did, including cursing, threats, or refusal to identify.</w:t>
      </w:r>
    </w:p>
    <w:p>
      <w:pPr>
        <w:pStyle w:val="ListParagraph"/>
        <w:numPr>
          <w:ilvl w:val="0"/>
          <w:numId w:val="2"/>
        </w:numPr>
        <w:spacing w:after="80" w:line="276"/>
      </w:pPr>
      <w:r>
        <w:rPr>
          <w:rFonts w:ascii="Calibri" w:cs="Calibri" w:eastAsia="Calibri" w:hAnsi="Calibri"/>
          <w:color w:val="334155"/>
          <w:sz w:val="22"/>
          <w:szCs w:val="22"/>
        </w:rPr>
        <w:t xml:space="preserve">Whether they named a patient or a purpose.</w:t>
      </w:r>
    </w:p>
    <w:p>
      <w:pPr>
        <w:pStyle w:val="ListParagraph"/>
        <w:numPr>
          <w:ilvl w:val="0"/>
          <w:numId w:val="2"/>
        </w:numPr>
        <w:spacing w:after="80" w:line="276"/>
      </w:pPr>
      <w:r>
        <w:rPr>
          <w:rFonts w:ascii="Calibri" w:cs="Calibri" w:eastAsia="Calibri" w:hAnsi="Calibri"/>
          <w:color w:val="334155"/>
          <w:sz w:val="22"/>
          <w:szCs w:val="22"/>
        </w:rPr>
        <w:t xml:space="preserve">Who you called (security, house supervisor, police) and what time.</w:t>
      </w:r>
    </w:p>
    <w:p>
      <w:pPr>
        <w:pStyle w:val="ListParagraph"/>
        <w:numPr>
          <w:ilvl w:val="0"/>
          <w:numId w:val="2"/>
        </w:numPr>
        <w:spacing w:after="80" w:line="276"/>
      </w:pPr>
      <w:r>
        <w:rPr>
          <w:rFonts w:ascii="Calibri" w:cs="Calibri" w:eastAsia="Calibri" w:hAnsi="Calibri"/>
          <w:color w:val="334155"/>
          <w:sz w:val="22"/>
          <w:szCs w:val="22"/>
        </w:rPr>
        <w:t xml:space="preserve">What security or police told the person, and whether a trespass warning was read or a written notice was served.</w:t>
      </w:r>
    </w:p>
    <w:p>
      <w:pPr>
        <w:pStyle w:val="ListParagraph"/>
        <w:numPr>
          <w:ilvl w:val="0"/>
          <w:numId w:val="2"/>
        </w:numPr>
        <w:spacing w:after="80" w:line="276"/>
      </w:pPr>
      <w:r>
        <w:rPr>
          <w:rFonts w:ascii="Calibri" w:cs="Calibri" w:eastAsia="Calibri" w:hAnsi="Calibri"/>
          <w:color w:val="334155"/>
          <w:sz w:val="22"/>
          <w:szCs w:val="22"/>
        </w:rPr>
        <w:t xml:space="preserve">Whether they left, were escorted out, or were arrested.</w:t>
      </w:r>
    </w:p>
    <w:p>
      <w:pPr>
        <w:pStyle w:val="ListParagraph"/>
        <w:numPr>
          <w:ilvl w:val="0"/>
          <w:numId w:val="2"/>
        </w:numPr>
        <w:spacing w:after="80" w:line="276"/>
      </w:pPr>
      <w:r>
        <w:rPr>
          <w:rFonts w:ascii="Calibri" w:cs="Calibri" w:eastAsia="Calibri" w:hAnsi="Calibri"/>
          <w:color w:val="334155"/>
          <w:sz w:val="22"/>
          <w:szCs w:val="22"/>
        </w:rPr>
        <w:t xml:space="preserve">Whether they should be added to the restricted-visitor or banned-from-campus list.</w:t>
      </w:r>
    </w:p>
    <w:p>
      <w:pPr>
        <w:pStyle w:val="Heading1"/>
        <w:pBdr>
          <w:bottom w:val="single" w:color="CBD5E1" w:sz="8" w:space="6"/>
        </w:pBdr>
        <w:spacing w:after="160" w:before="320"/>
      </w:pPr>
      <w:r>
        <w:rPr>
          <w:rFonts w:ascii="Calibri" w:cs="Calibri" w:eastAsia="Calibri" w:hAnsi="Calibri"/>
          <w:b/>
          <w:bCs/>
          <w:color w:val="1B365D"/>
          <w:sz w:val="28"/>
          <w:szCs w:val="28"/>
        </w:rPr>
        <w:t xml:space="preserve">8. Why this keeps coming up</w:t>
      </w:r>
    </w:p>
    <w:p>
      <w:pPr>
        <w:spacing w:after="200" w:before="0" w:line="276"/>
      </w:pPr>
      <w:r>
        <w:rPr>
          <w:rFonts w:ascii="Calibri" w:cs="Calibri" w:eastAsia="Calibri" w:hAnsi="Calibri"/>
          <w:color w:val="334155"/>
          <w:sz w:val="22"/>
          <w:szCs w:val="22"/>
        </w:rPr>
        <w:t xml:space="preserve">Hospitals used to absorb a lot of this because the old culture was “don’t make a scene at the door.” That culture does not survive once facilities start treating the building like what it is: a controlled workplace with sick people in it.</w:t>
      </w:r>
    </w:p>
    <w:p>
      <w:pPr>
        <w:spacing w:after="200" w:before="0" w:line="276"/>
      </w:pPr>
      <w:r>
        <w:rPr>
          <w:rFonts w:ascii="Calibri" w:cs="Calibri" w:eastAsia="Calibri" w:hAnsi="Calibri"/>
          <w:color w:val="334155"/>
          <w:sz w:val="22"/>
          <w:szCs w:val="22"/>
        </w:rPr>
        <w:t xml:space="preserve">The pattern is the same across sites. Someone treats the lobby like public space. Staff ask for ID and a purpose. The person gets angry because they are being treated like they need permission. Security restates the rule. If the person keeps coming back with no business, the facility stops treating it as a visitor issue and starts treating it as trespass.</w:t>
      </w:r>
    </w:p>
    <w:p>
      <w:pPr>
        <w:spacing w:after="200" w:before="0" w:line="276"/>
      </w:pPr>
      <w:r>
        <w:rPr>
          <w:rFonts w:ascii="Calibri" w:cs="Calibri" w:eastAsia="Calibri" w:hAnsi="Calibri"/>
          <w:color w:val="334155"/>
          <w:sz w:val="22"/>
          <w:szCs w:val="22"/>
        </w:rPr>
        <w:t xml:space="preserve">That is the whole policy in one line: you can come here for a reason. You cannot come here to occupy the building.</w:t>
      </w:r>
    </w:p>
    <w:p>
      <w:pPr>
        <w:pStyle w:val="Heading1"/>
        <w:pBdr>
          <w:bottom w:val="single" w:color="CBD5E1" w:sz="8" w:space="6"/>
        </w:pBdr>
        <w:spacing w:after="160" w:before="320"/>
      </w:pPr>
      <w:r>
        <w:rPr>
          <w:rFonts w:ascii="Calibri" w:cs="Calibri" w:eastAsia="Calibri" w:hAnsi="Calibri"/>
          <w:b/>
          <w:bCs/>
          <w:color w:val="1B365D"/>
          <w:sz w:val="28"/>
          <w:szCs w:val="28"/>
        </w:rPr>
        <w:t xml:space="preserve">9. Quick reference — the names of the documents</w:t>
      </w:r>
    </w:p>
    <w:p>
      <w:pPr>
        <w:pStyle w:val="ListParagraph"/>
        <w:numPr>
          <w:ilvl w:val="0"/>
          <w:numId w:val="2"/>
        </w:numPr>
        <w:spacing w:after="80" w:line="276"/>
      </w:pPr>
      <w:r>
        <w:rPr>
          <w:rFonts w:ascii="Calibri" w:cs="Calibri" w:eastAsia="Calibri" w:hAnsi="Calibri"/>
          <w:color w:val="334155"/>
          <w:sz w:val="22"/>
          <w:szCs w:val="22"/>
        </w:rPr>
        <w:t xml:space="preserve">Verbal warning / request to leave — staff or security, first step.</w:t>
      </w:r>
    </w:p>
    <w:p>
      <w:pPr>
        <w:pStyle w:val="ListParagraph"/>
        <w:numPr>
          <w:ilvl w:val="0"/>
          <w:numId w:val="2"/>
        </w:numPr>
        <w:spacing w:after="80" w:line="276"/>
      </w:pPr>
      <w:r>
        <w:rPr>
          <w:rFonts w:ascii="Calibri" w:cs="Calibri" w:eastAsia="Calibri" w:hAnsi="Calibri"/>
          <w:color w:val="334155"/>
          <w:sz w:val="22"/>
          <w:szCs w:val="22"/>
        </w:rPr>
        <w:t xml:space="preserve">Notice of Trespass / trespass warning / “reading trespass” — the usual thing police serve or announce on scene.</w:t>
      </w:r>
    </w:p>
    <w:p>
      <w:pPr>
        <w:pStyle w:val="ListParagraph"/>
        <w:numPr>
          <w:ilvl w:val="0"/>
          <w:numId w:val="2"/>
        </w:numPr>
        <w:spacing w:after="80" w:line="276"/>
      </w:pPr>
      <w:r>
        <w:rPr>
          <w:rFonts w:ascii="Calibri" w:cs="Calibri" w:eastAsia="Calibri" w:hAnsi="Calibri"/>
          <w:color w:val="334155"/>
          <w:sz w:val="22"/>
          <w:szCs w:val="22"/>
        </w:rPr>
        <w:t xml:space="preserve">No-trespass letter / PC 602 letter — written authorization on file with police so return visits can be handled as trespass.</w:t>
      </w:r>
    </w:p>
    <w:p>
      <w:pPr>
        <w:pStyle w:val="ListParagraph"/>
        <w:numPr>
          <w:ilvl w:val="0"/>
          <w:numId w:val="2"/>
        </w:numPr>
        <w:spacing w:after="80" w:line="276"/>
      </w:pPr>
      <w:r>
        <w:rPr>
          <w:rFonts w:ascii="Calibri" w:cs="Calibri" w:eastAsia="Calibri" w:hAnsi="Calibri"/>
          <w:color w:val="334155"/>
          <w:sz w:val="22"/>
          <w:szCs w:val="22"/>
        </w:rPr>
        <w:t xml:space="preserve">Restricted visitor / banned from premises list — internal hospital record.</w:t>
      </w:r>
    </w:p>
    <w:p>
      <w:pPr>
        <w:pStyle w:val="ListParagraph"/>
        <w:numPr>
          <w:ilvl w:val="0"/>
          <w:numId w:val="2"/>
        </w:numPr>
        <w:spacing w:after="80" w:line="276"/>
      </w:pPr>
      <w:r>
        <w:rPr>
          <w:rFonts w:ascii="Calibri" w:cs="Calibri" w:eastAsia="Calibri" w:hAnsi="Calibri"/>
          <w:color w:val="334155"/>
          <w:sz w:val="22"/>
          <w:szCs w:val="22"/>
        </w:rPr>
        <w:t xml:space="preserve">Workplace Violence Restraining Order (CCP 527.8) — court order the employer can seek to keep a person away from staff and the workplace.</w:t>
      </w:r>
    </w:p>
    <w:p>
      <w:pPr>
        <w:pStyle w:val="ListParagraph"/>
        <w:numPr>
          <w:ilvl w:val="0"/>
          <w:numId w:val="2"/>
        </w:numPr>
        <w:spacing w:after="80" w:line="276"/>
      </w:pPr>
      <w:r>
        <w:rPr>
          <w:rFonts w:ascii="Calibri" w:cs="Calibri" w:eastAsia="Calibri" w:hAnsi="Calibri"/>
          <w:color w:val="334155"/>
          <w:sz w:val="22"/>
          <w:szCs w:val="22"/>
        </w:rPr>
        <w:t xml:space="preserve">Stay-away order — court order, usually out of a criminal case, telling the person not to return.</w:t>
      </w:r>
    </w:p>
    <w:p>
      <w:pPr>
        <w:spacing w:after="200" w:before="120" w:line="276"/>
      </w:pPr>
      <w:r>
        <w:rPr>
          <w:rFonts w:ascii="Calibri" w:cs="Calibri" w:eastAsia="Calibri" w:hAnsi="Calibri"/>
          <w:i/>
          <w:iCs/>
          <w:color w:val="64748B"/>
          <w:sz w:val="22"/>
          <w:szCs w:val="22"/>
        </w:rPr>
        <w:t xml:space="preserve">This note is a personal work record of policy and practice. It is not legal advice and it is not a hospital policy manual. Actual steps at any site follow that facility’s security policy and local law enforcement procedure.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spacing w:before="120"/>
      <w:jc w:val="right"/>
    </w:pPr>
    <w:r>
      <w:rPr>
        <w:rFonts w:ascii="Calibri" w:cs="Calibri" w:eastAsia="Calibri" w:hAnsi="Calibri"/>
        <w:color w:val="64748B"/>
        <w:sz w:val="16"/>
        <w:szCs w:val="16"/>
      </w:rPr>
      <w:t xml:space="preserve">Structured from voice note  ·  September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pBdr>
      <w:spacing w:after="200"/>
    </w:pPr>
    <w:r>
      <w:rPr>
        <w:rFonts w:ascii="Calibri" w:cs="Calibri" w:eastAsia="Calibri" w:hAnsi="Calibri"/>
        <w:b/>
        <w:bCs/>
        <w:color w:val="1B365D"/>
        <w:sz w:val="16"/>
        <w:szCs w:val="16"/>
      </w:rPr>
      <w:t xml:space="preserve">PERSONAL WORK RECORD  ·  HOSPITAL ACCESS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2026-09-02T15:53:32.479Z</dcterms:created>
  <dcterms:modified xsi:type="dcterms:W3CDTF">2026-09-02T15:53:32.479Z</dcterms:modified>
</cp:coreProperties>
</file>

<file path=docProps/custom.xml><?xml version="1.0" encoding="utf-8"?>
<Properties xmlns="http://schemas.openxmlformats.org/officeDocument/2006/custom-properties" xmlns:vt="http://schemas.openxmlformats.org/officeDocument/2006/docPropsVTypes"/>
</file>