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80" w:line="276" w:lineRule="auto"/>
        <w:jc w:val="center"/>
      </w:pPr>
      <w:r>
        <w:rPr>
          <w:rFonts w:ascii="Aptos" w:hAnsi="Aptos"/>
          <w:b/>
          <w:color w:val="2D5876"/>
          <w:sz w:val="24"/>
        </w:rPr>
        <w:t>DECLARATION OF</w:t>
      </w:r>
    </w:p>
    <w:p>
      <w:pPr>
        <w:spacing w:before="0" w:after="140" w:line="276" w:lineRule="auto"/>
        <w:jc w:val="center"/>
      </w:pPr>
      <w:r>
        <w:rPr>
          <w:rFonts w:ascii="Aptos Display" w:hAnsi="Aptos Display"/>
          <w:b/>
          <w:color w:val="1E3042"/>
          <w:sz w:val="46"/>
        </w:rPr>
        <w:t>IMMUTABLE AND IRREVOCABLE</w:t>
        <w:br/>
        <w:t>CANONICAL TERMINOLOGY</w:t>
      </w:r>
    </w:p>
    <w:p>
      <w:pPr>
        <w:spacing w:before="40" w:after="440" w:line="276" w:lineRule="auto"/>
        <w:jc w:val="center"/>
      </w:pPr>
      <w:r>
        <w:rPr>
          <w:rFonts w:ascii="Aptos" w:hAnsi="Aptos"/>
          <w:i/>
          <w:color w:val="2D5876"/>
          <w:sz w:val="28"/>
        </w:rPr>
        <w:t>"Immutable and irrevocable, even by me."</w:t>
      </w:r>
    </w:p>
    <w:tbl>
      <w:tblPr>
        <w:tblW w:type="auto" w:w="0"/>
        <w:jc w:val="center"/>
        <w:tblLayout w:type="fixed"/>
        <w:tblLook w:firstColumn="1" w:firstRow="1" w:lastColumn="0" w:lastRow="0" w:noHBand="0" w:noVBand="1" w:val="04A0"/>
      </w:tblPr>
      <w:tblGrid>
        <w:gridCol w:w="2376"/>
        <w:gridCol w:w="6552"/>
      </w:tblGrid>
      <w:tr>
        <w:tc>
          <w:tcPr>
            <w:tcW w:type="dxa" w:w="2376"/>
            <w:shd w:fill="1E3042"/>
            <w:vAlign w:val="center"/>
            <w:tcBorders>
              <w:top w:val="single" w:sz="4" w:color="C9D5DF"/>
              <w:left w:val="single" w:sz="4" w:color="C9D5DF"/>
              <w:bottom w:val="single" w:sz="4" w:color="C9D5DF"/>
              <w:right w:val="single" w:sz="4" w:color="C9D5DF"/>
            </w:tcBorders>
          </w:tcPr>
          <w:p>
            <w:pPr>
              <w:spacing w:before="0" w:after="0" w:line="276" w:lineRule="auto"/>
              <w:jc w:val="left"/>
            </w:pPr>
            <w:r>
              <w:rPr>
                <w:rFonts w:ascii="Aptos" w:hAnsi="Aptos"/>
                <w:b/>
                <w:color w:val="FFFFFF"/>
                <w:sz w:val="18"/>
              </w:rPr>
              <w:t>Document Type</w:t>
            </w:r>
          </w:p>
        </w:tc>
        <w:tc>
          <w:tcPr>
            <w:tcW w:type="dxa" w:w="6552"/>
            <w:shd w:fill="EEF3F7"/>
            <w:vAlign w:val="center"/>
            <w:tcBorders>
              <w:top w:val="single" w:sz="4" w:color="C9D5DF"/>
              <w:left w:val="single" w:sz="4" w:color="C9D5DF"/>
              <w:bottom w:val="single" w:sz="4" w:color="C9D5DF"/>
              <w:right w:val="single" w:sz="4" w:color="C9D5DF"/>
            </w:tcBorders>
          </w:tcPr>
          <w:p>
            <w:pPr>
              <w:spacing w:before="0" w:after="0" w:line="276" w:lineRule="auto"/>
            </w:pPr>
            <w:r>
              <w:rPr>
                <w:rFonts w:ascii="Aptos" w:hAnsi="Aptos"/>
                <w:color w:val="1E3042"/>
                <w:sz w:val="19"/>
              </w:rPr>
              <w:t>Canonical Terminology Declaration</w:t>
            </w:r>
          </w:p>
        </w:tc>
      </w:tr>
      <w:tr>
        <w:tc>
          <w:tcPr>
            <w:tcW w:type="dxa" w:w="2376"/>
            <w:shd w:fill="1E3042"/>
            <w:vAlign w:val="center"/>
            <w:tcBorders>
              <w:top w:val="single" w:sz="4" w:color="C9D5DF"/>
              <w:left w:val="single" w:sz="4" w:color="C9D5DF"/>
              <w:bottom w:val="single" w:sz="4" w:color="C9D5DF"/>
              <w:right w:val="single" w:sz="4" w:color="C9D5DF"/>
            </w:tcBorders>
          </w:tcPr>
          <w:p>
            <w:pPr>
              <w:spacing w:before="0" w:after="0" w:line="276" w:lineRule="auto"/>
              <w:jc w:val="left"/>
            </w:pPr>
            <w:r>
              <w:rPr>
                <w:rFonts w:ascii="Aptos" w:hAnsi="Aptos"/>
                <w:b/>
                <w:color w:val="FFFFFF"/>
                <w:sz w:val="18"/>
              </w:rPr>
              <w:t>Version</w:t>
            </w:r>
          </w:p>
        </w:tc>
        <w:tc>
          <w:tcPr>
            <w:tcW w:type="dxa" w:w="6552"/>
            <w:shd w:fill="EEF3F7"/>
            <w:vAlign w:val="center"/>
            <w:tcBorders>
              <w:top w:val="single" w:sz="4" w:color="C9D5DF"/>
              <w:left w:val="single" w:sz="4" w:color="C9D5DF"/>
              <w:bottom w:val="single" w:sz="4" w:color="C9D5DF"/>
              <w:right w:val="single" w:sz="4" w:color="C9D5DF"/>
            </w:tcBorders>
          </w:tcPr>
          <w:p>
            <w:r>
              <w:t>1.1 - Retroactive and Perpetual Effect Integration</w:t>
            </w:r>
          </w:p>
        </w:tc>
      </w:tr>
      <w:tr>
        <w:tc>
          <w:tcPr>
            <w:tcW w:type="dxa" w:w="2376"/>
            <w:shd w:fill="1E3042"/>
            <w:vAlign w:val="center"/>
            <w:tcBorders>
              <w:top w:val="single" w:sz="4" w:color="C9D5DF"/>
              <w:left w:val="single" w:sz="4" w:color="C9D5DF"/>
              <w:bottom w:val="single" w:sz="4" w:color="C9D5DF"/>
              <w:right w:val="single" w:sz="4" w:color="C9D5DF"/>
            </w:tcBorders>
          </w:tcPr>
          <w:p>
            <w:pPr>
              <w:spacing w:before="0" w:after="0" w:line="276" w:lineRule="auto"/>
              <w:jc w:val="left"/>
            </w:pPr>
            <w:r>
              <w:rPr>
                <w:rFonts w:ascii="Aptos" w:hAnsi="Aptos"/>
                <w:b/>
                <w:color w:val="FFFFFF"/>
                <w:sz w:val="18"/>
              </w:rPr>
              <w:t>Effective Date</w:t>
            </w:r>
          </w:p>
        </w:tc>
        <w:tc>
          <w:tcPr>
            <w:tcW w:type="dxa" w:w="6552"/>
            <w:shd w:fill="EEF3F7"/>
            <w:vAlign w:val="center"/>
            <w:tcBorders>
              <w:top w:val="single" w:sz="4" w:color="C9D5DF"/>
              <w:left w:val="single" w:sz="4" w:color="C9D5DF"/>
              <w:bottom w:val="single" w:sz="4" w:color="C9D5DF"/>
              <w:right w:val="single" w:sz="4" w:color="C9D5DF"/>
            </w:tcBorders>
          </w:tcPr>
          <w:p>
            <w:r>
              <w:t>July 3, 2026, upon electronic execution; retroactively effective as defined herein</w:t>
            </w:r>
          </w:p>
        </w:tc>
      </w:tr>
    </w:tbl>
    <w:p>
      <w:pPr>
        <w:spacing w:before="400" w:after="0" w:line="276" w:lineRule="auto"/>
        <w:jc w:val="center"/>
      </w:pPr>
      <w:r>
        <w:rPr>
          <w:rFonts w:ascii="Aptos" w:hAnsi="Aptos"/>
          <w:i/>
          <w:color w:val="586775"/>
          <w:sz w:val="20"/>
        </w:rPr>
        <w:t>Prepared for execution, ONESTAMP certification, and publication.</w:t>
      </w:r>
    </w:p>
    <w:p>
      <w:r>
        <w:br w:type="page"/>
      </w:r>
    </w:p>
    <w:p>
      <w:pPr>
        <w:pStyle w:val="Heading1"/>
        <w:spacing w:before="40" w:after="140" w:line="276" w:lineRule="auto"/>
      </w:pPr>
      <w:r>
        <w:t>1. Purpose and Establishment</w:t>
      </w:r>
    </w:p>
    <w:p>
      <w:pPr>
        <w:spacing w:before="0" w:after="160" w:line="276" w:lineRule="auto"/>
      </w:pPr>
      <w:r>
        <w:rPr>
          <w:b w:val="0"/>
        </w:rPr>
        <w:t xml:space="preserve">This declaration formally establishes the phrase </w:t>
      </w:r>
      <w:r>
        <w:rPr>
          <w:rFonts w:ascii="Aptos" w:hAnsi="Aptos"/>
          <w:b/>
          <w:color w:val="1E3042"/>
          <w:sz w:val="22"/>
        </w:rPr>
        <w:t>"immutable and irrevocable, even by me"</w:t>
      </w:r>
      <w:r>
        <w:t xml:space="preserve"> as canonical terminology for use within the author-maintained body of work, records, frameworks, and associated documentation governed by the Declarant.</w:t>
      </w:r>
    </w:p>
    <w:p>
      <w:pPr>
        <w:pStyle w:val="Heading1"/>
        <w:spacing w:before="140" w:after="140" w:line="276" w:lineRule="auto"/>
      </w:pPr>
      <w:r>
        <w:t>2. Operative Declaration</w:t>
      </w:r>
    </w:p>
    <w:tbl>
      <w:tblPr>
        <w:tblW w:type="auto" w:w="0"/>
        <w:jc w:val="center"/>
        <w:tblLook w:firstColumn="1" w:firstRow="1" w:lastColumn="0" w:lastRow="0" w:noHBand="0" w:noVBand="1" w:val="04A0"/>
      </w:tblPr>
      <w:tblGrid>
        <w:gridCol w:w="9706"/>
      </w:tblGrid>
      <w:tr>
        <w:tc>
          <w:tcPr>
            <w:tcW w:type="dxa" w:w="9706"/>
            <w:shd w:fill="E8F1F7"/>
            <w:tcBorders>
              <w:top w:val="single" w:sz="10" w:color="2D5876"/>
              <w:left w:val="single" w:sz="10" w:color="2D5876"/>
              <w:bottom w:val="single" w:sz="10" w:color="2D5876"/>
              <w:right w:val="single" w:sz="10" w:color="2D5876"/>
            </w:tcBorders>
          </w:tcPr>
          <w:p>
            <w:pPr>
              <w:spacing w:before="140" w:after="140" w:line="276" w:lineRule="auto"/>
              <w:jc w:val="center"/>
            </w:pPr>
            <w:r>
              <w:rPr>
                <w:rFonts w:ascii="Aptos" w:hAnsi="Aptos"/>
                <w:b/>
                <w:color w:val="1E3042"/>
                <w:sz w:val="23"/>
              </w:rPr>
              <w:t>A matter designated as "immutable and irrevocable, even by me" is not subject to rescission, reversal, amendment, reinterpretation, dilution, suspension, or override by any party, including the original declarant.</w:t>
            </w:r>
          </w:p>
        </w:tc>
      </w:tr>
    </w:tbl>
    <w:p>
      <w:pPr>
        <w:pStyle w:val="Heading1"/>
        <w:spacing w:before="200" w:after="140" w:line="276" w:lineRule="auto"/>
      </w:pPr>
      <w:r>
        <w:t>3. Defined Meaning</w:t>
      </w:r>
    </w:p>
    <w:tbl>
      <w:tblPr>
        <w:tblW w:type="auto" w:w="0"/>
        <w:jc w:val="center"/>
        <w:tblLayout w:type="fixed"/>
        <w:tblLook w:firstColumn="1" w:firstRow="1" w:lastColumn="0" w:lastRow="0" w:noHBand="0" w:noVBand="1" w:val="04A0"/>
      </w:tblPr>
      <w:tblGrid>
        <w:gridCol w:w="2016"/>
        <w:gridCol w:w="6912"/>
      </w:tblGrid>
      <w:tr>
        <w:trPr>
          <w:tblHeader w:val="true"/>
        </w:trPr>
        <w:tc>
          <w:tcPr>
            <w:tcW w:type="dxa" w:w="4853"/>
            <w:shd w:fill="1E3042"/>
            <w:vAlign w:val="center"/>
          </w:tcPr>
          <w:p>
            <w:pPr>
              <w:spacing w:before="60" w:after="60" w:line="276" w:lineRule="auto"/>
            </w:pPr>
            <w:r>
              <w:rPr>
                <w:rFonts w:ascii="Aptos" w:hAnsi="Aptos"/>
                <w:b/>
                <w:color w:val="FFFFFF"/>
                <w:sz w:val="19"/>
              </w:rPr>
              <w:t>Term</w:t>
            </w:r>
          </w:p>
        </w:tc>
        <w:tc>
          <w:tcPr>
            <w:tcW w:type="dxa" w:w="4853"/>
            <w:shd w:fill="1E3042"/>
            <w:vAlign w:val="center"/>
          </w:tcPr>
          <w:p>
            <w:pPr>
              <w:spacing w:before="60" w:after="60" w:line="276" w:lineRule="auto"/>
            </w:pPr>
            <w:r>
              <w:rPr>
                <w:rFonts w:ascii="Aptos" w:hAnsi="Aptos"/>
                <w:b/>
                <w:color w:val="FFFFFF"/>
                <w:sz w:val="19"/>
              </w:rPr>
              <w:t>Canonical Meaning</w:t>
            </w:r>
          </w:p>
        </w:tc>
      </w:tr>
      <w:tr>
        <w:tc>
          <w:tcPr>
            <w:tcW w:type="dxa" w:w="2016"/>
            <w:vAlign w:val="top"/>
            <w:tcBorders>
              <w:top w:val="single" w:sz="4" w:color="C9D5DF"/>
              <w:left w:val="single" w:sz="4" w:color="C9D5DF"/>
              <w:bottom w:val="single" w:sz="4" w:color="C9D5DF"/>
              <w:right w:val="single" w:sz="4" w:color="C9D5DF"/>
            </w:tcBorders>
            <w:shd w:fill="EEF3F7"/>
          </w:tcPr>
          <w:p>
            <w:pPr>
              <w:spacing w:before="60" w:after="60" w:line="276" w:lineRule="auto"/>
            </w:pPr>
            <w:r>
              <w:rPr>
                <w:rFonts w:ascii="Aptos" w:hAnsi="Aptos"/>
                <w:b/>
                <w:color w:val="1E3042"/>
                <w:sz w:val="19"/>
              </w:rPr>
              <w:t>Immutable</w:t>
            </w:r>
          </w:p>
        </w:tc>
        <w:tc>
          <w:tcPr>
            <w:tcW w:type="dxa" w:w="6912"/>
            <w:vAlign w:val="top"/>
            <w:tcBorders>
              <w:top w:val="single" w:sz="4" w:color="C9D5DF"/>
              <w:left w:val="single" w:sz="4" w:color="C9D5DF"/>
              <w:bottom w:val="single" w:sz="4" w:color="C9D5DF"/>
              <w:right w:val="single" w:sz="4" w:color="C9D5DF"/>
            </w:tcBorders>
          </w:tcPr>
          <w:p>
            <w:pPr>
              <w:spacing w:before="60" w:after="60" w:line="276" w:lineRule="auto"/>
            </w:pPr>
            <w:r>
              <w:rPr>
                <w:rFonts w:ascii="Aptos" w:hAnsi="Aptos"/>
                <w:color w:val="1E3042"/>
                <w:sz w:val="19"/>
              </w:rPr>
              <w:t>The designation, decision, status, or boundary may not be altered, edited, weakened, superseded, reclassified, or rendered provisional.</w:t>
            </w:r>
          </w:p>
        </w:tc>
      </w:tr>
      <w:tr>
        <w:tc>
          <w:tcPr>
            <w:tcW w:type="dxa" w:w="2016"/>
            <w:vAlign w:val="top"/>
            <w:tcBorders>
              <w:top w:val="single" w:sz="4" w:color="C9D5DF"/>
              <w:left w:val="single" w:sz="4" w:color="C9D5DF"/>
              <w:bottom w:val="single" w:sz="4" w:color="C9D5DF"/>
              <w:right w:val="single" w:sz="4" w:color="C9D5DF"/>
            </w:tcBorders>
            <w:shd w:fill="EEF3F7"/>
          </w:tcPr>
          <w:p>
            <w:pPr>
              <w:spacing w:before="60" w:after="60" w:line="276" w:lineRule="auto"/>
            </w:pPr>
            <w:r>
              <w:rPr>
                <w:rFonts w:ascii="Aptos" w:hAnsi="Aptos"/>
                <w:b/>
                <w:color w:val="1E3042"/>
                <w:sz w:val="19"/>
              </w:rPr>
              <w:t>Irrevocable</w:t>
            </w:r>
          </w:p>
        </w:tc>
        <w:tc>
          <w:tcPr>
            <w:tcW w:type="dxa" w:w="6912"/>
            <w:vAlign w:val="top"/>
            <w:tcBorders>
              <w:top w:val="single" w:sz="4" w:color="C9D5DF"/>
              <w:left w:val="single" w:sz="4" w:color="C9D5DF"/>
              <w:bottom w:val="single" w:sz="4" w:color="C9D5DF"/>
              <w:right w:val="single" w:sz="4" w:color="C9D5DF"/>
            </w:tcBorders>
          </w:tcPr>
          <w:p>
            <w:pPr>
              <w:spacing w:before="60" w:after="60" w:line="276" w:lineRule="auto"/>
            </w:pPr>
            <w:r>
              <w:rPr>
                <w:rFonts w:ascii="Aptos" w:hAnsi="Aptos"/>
                <w:color w:val="1E3042"/>
                <w:sz w:val="19"/>
              </w:rPr>
              <w:t>The designation, decision, status, or boundary may not be withdrawn, cancelled, undone, reversed, or nullified.</w:t>
            </w:r>
          </w:p>
        </w:tc>
      </w:tr>
      <w:tr>
        <w:tc>
          <w:tcPr>
            <w:tcW w:type="dxa" w:w="2016"/>
            <w:vAlign w:val="top"/>
            <w:tcBorders>
              <w:top w:val="single" w:sz="4" w:color="C9D5DF"/>
              <w:left w:val="single" w:sz="4" w:color="C9D5DF"/>
              <w:bottom w:val="single" w:sz="4" w:color="C9D5DF"/>
              <w:right w:val="single" w:sz="4" w:color="C9D5DF"/>
            </w:tcBorders>
            <w:shd w:fill="EEF3F7"/>
          </w:tcPr>
          <w:p>
            <w:pPr>
              <w:spacing w:before="60" w:after="60" w:line="276" w:lineRule="auto"/>
            </w:pPr>
            <w:r>
              <w:rPr>
                <w:rFonts w:ascii="Aptos" w:hAnsi="Aptos"/>
                <w:b/>
                <w:color w:val="1E3042"/>
                <w:sz w:val="19"/>
              </w:rPr>
              <w:t>Even by me</w:t>
            </w:r>
          </w:p>
        </w:tc>
        <w:tc>
          <w:tcPr>
            <w:tcW w:type="dxa" w:w="6912"/>
            <w:vAlign w:val="top"/>
            <w:tcBorders>
              <w:top w:val="single" w:sz="4" w:color="C9D5DF"/>
              <w:left w:val="single" w:sz="4" w:color="C9D5DF"/>
              <w:bottom w:val="single" w:sz="4" w:color="C9D5DF"/>
              <w:right w:val="single" w:sz="4" w:color="C9D5DF"/>
            </w:tcBorders>
          </w:tcPr>
          <w:p>
            <w:pPr>
              <w:spacing w:before="60" w:after="60" w:line="276" w:lineRule="auto"/>
            </w:pPr>
            <w:r>
              <w:rPr>
                <w:rFonts w:ascii="Aptos" w:hAnsi="Aptos"/>
                <w:color w:val="1E3042"/>
                <w:sz w:val="19"/>
              </w:rPr>
              <w:t>The authority of the original declarant does not create an exception. The phrase expressly removes the possibility of self-reversal after designation.</w:t>
            </w:r>
          </w:p>
        </w:tc>
      </w:tr>
      <w:tr>
        <w:tc>
          <w:tcPr>
            <w:tcW w:type="dxa" w:w="2016"/>
            <w:vAlign w:val="top"/>
            <w:tcBorders>
              <w:top w:val="single" w:sz="4" w:color="C9D5DF"/>
              <w:left w:val="single" w:sz="4" w:color="C9D5DF"/>
              <w:bottom w:val="single" w:sz="4" w:color="C9D5DF"/>
              <w:right w:val="single" w:sz="4" w:color="C9D5DF"/>
            </w:tcBorders>
            <w:shd w:fill="EEF3F7"/>
          </w:tcPr>
          <w:p>
            <w:pPr>
              <w:spacing w:before="60" w:after="60" w:line="276" w:lineRule="auto"/>
            </w:pPr>
            <w:r>
              <w:rPr>
                <w:rFonts w:ascii="Aptos" w:hAnsi="Aptos"/>
                <w:b/>
                <w:color w:val="1E3042"/>
                <w:sz w:val="19"/>
              </w:rPr>
              <w:t>Combined effect</w:t>
            </w:r>
          </w:p>
        </w:tc>
        <w:tc>
          <w:tcPr>
            <w:tcW w:type="dxa" w:w="6912"/>
            <w:vAlign w:val="top"/>
            <w:tcBorders>
              <w:top w:val="single" w:sz="4" w:color="C9D5DF"/>
              <w:left w:val="single" w:sz="4" w:color="C9D5DF"/>
              <w:bottom w:val="single" w:sz="4" w:color="C9D5DF"/>
              <w:right w:val="single" w:sz="4" w:color="C9D5DF"/>
            </w:tcBorders>
          </w:tcPr>
          <w:p>
            <w:pPr>
              <w:spacing w:before="60" w:after="60" w:line="276" w:lineRule="auto"/>
            </w:pPr>
            <w:r>
              <w:rPr>
                <w:rFonts w:ascii="Aptos" w:hAnsi="Aptos"/>
                <w:color w:val="1E3042"/>
                <w:sz w:val="19"/>
              </w:rPr>
              <w:t>The phrase establishes a final and continuing canonical condition whose force does not depend upon future consent, reconsideration, external pressure, convenience, or passage of time.</w:t>
            </w:r>
          </w:p>
        </w:tc>
      </w:tr>
    </w:tbl>
    <w:p>
      <w:pPr>
        <w:pStyle w:val="Heading1"/>
        <w:spacing w:before="200" w:after="140" w:line="276" w:lineRule="auto"/>
      </w:pPr>
      <w:r>
        <w:t>4. Scope and Application</w:t>
      </w:r>
    </w:p>
    <w:p>
      <w:pPr>
        <w:pStyle w:val="ListBullet"/>
        <w:spacing w:before="0" w:after="60" w:line="276" w:lineRule="auto"/>
      </w:pPr>
      <w:r>
        <w:rPr>
          <w:rFonts w:ascii="Aptos" w:hAnsi="Aptos"/>
          <w:color w:val="1E3042"/>
          <w:sz w:val="21"/>
        </w:rPr>
        <w:t>Applies whenever the exact phrase is used to designate a decision, boundary, status, term, principle, canon entry, record, or operative instruction.</w:t>
      </w:r>
    </w:p>
    <w:p>
      <w:pPr>
        <w:pStyle w:val="ListBullet"/>
        <w:spacing w:before="0" w:after="60" w:line="276" w:lineRule="auto"/>
      </w:pPr>
      <w:r>
        <w:rPr>
          <w:rFonts w:ascii="Aptos" w:hAnsi="Aptos"/>
          <w:color w:val="1E3042"/>
          <w:sz w:val="21"/>
        </w:rPr>
        <w:t>Applies to direct restatements and faithful references to the designation, including documents that quote or incorporate it by reference.</w:t>
      </w:r>
    </w:p>
    <w:p>
      <w:pPr>
        <w:pStyle w:val="ListBullet"/>
        <w:spacing w:before="0" w:after="60" w:line="276" w:lineRule="auto"/>
      </w:pPr>
      <w:r>
        <w:t>Is retroactively effective for the full body of covered work, records, frameworks, declarations, and associated documentation governed by the Declarant, including relevant material created before the execution date of this version. It does not impose a designation on genuinely unrelated material outside that body of work.</w:t>
      </w:r>
    </w:p>
    <w:p>
      <w:pPr>
        <w:pStyle w:val="ListBullet"/>
        <w:spacing w:before="0" w:after="60" w:line="276" w:lineRule="auto"/>
      </w:pPr>
      <w:r>
        <w:rPr>
          <w:rFonts w:ascii="Aptos" w:hAnsi="Aptos"/>
          <w:color w:val="1E3042"/>
          <w:sz w:val="21"/>
        </w:rPr>
        <w:t>Cannot be reduced to a temporary preference, emotional expression, negotiating position, ordinary personal opinion, or merely emphatic language.</w:t>
      </w:r>
    </w:p>
    <w:p>
      <w:pPr>
        <w:pStyle w:val="Heading1"/>
        <w:spacing w:before="160" w:after="140" w:line="276" w:lineRule="auto"/>
      </w:pPr>
      <w:r>
        <w:t>5. Interpretation and Implementation Rule</w:t>
      </w:r>
    </w:p>
    <w:p>
      <w:pPr>
        <w:spacing w:before="0" w:after="160" w:line="276" w:lineRule="auto"/>
      </w:pPr>
      <w:r>
        <w:t>Any person, system, collaborator, reviewer, or future record applying this terminology shall preserve its full force. Interpretation must favor finality, non-reversibility, retroactive effect within its defined scope, and permanent duration. No later explanation, informal statement, implied change of position, external request, passage of time, or attempted replacement may be treated as a modification, limitation, suspension, or exception.</w:t>
      </w:r>
    </w:p>
    <w:p>
      <w:pPr>
        <w:pStyle w:val="Heading1"/>
        <w:spacing w:before="140" w:after="140" w:line="276" w:lineRule="auto"/>
      </w:pPr>
      <w:r>
        <w:t>6. Canonical Authority</w:t>
      </w:r>
    </w:p>
    <w:p>
      <w:pPr>
        <w:spacing w:before="0" w:after="160" w:line="276" w:lineRule="auto"/>
      </w:pPr>
      <w:r>
        <w:t>Upon execution, this document is the authoritative record defining the phrase "immutable and irrevocable, even by me" together with its retroactively effective and permanent operation. In any conflict between a casual, incomplete, or diluted use of the phrase and this declaration, this declaration controls. No later record may supersede, narrow, suspend, or terminate this designation.</w:t>
      </w:r>
    </w:p>
    <w:p>
      <w:pPr>
        <w:pStyle w:val="Heading1"/>
      </w:pPr>
      <w:r>
        <w:t>7. Retroactive and Perpetual Effect</w:t>
      </w:r>
    </w:p>
    <w:p>
      <w:r>
        <w:t>This declaration establishes the additional canonical terms “retroactively effective” and “forever” as integral elements of the designation “immutable and irrevocable, even by me.”</w:t>
      </w:r>
    </w:p>
    <w:p>
      <w:r>
        <w:t>Retroactively effective means that, upon execution, the designation governs all covered prior material within the Declarant’s body of work to the extent that material concerns or embodies the declaration, boundary, status, principle, or canon entry established here.</w:t>
      </w:r>
    </w:p>
    <w:p>
      <w:r>
        <w:t>Forever means the designation is permanent. It does not expire, lapse, sunset, require renewal, or become subject to reconsideration by reason of time, circumstance, authorship, succession, or later preference.</w:t>
      </w:r>
    </w:p>
    <w:p>
      <w:r>
        <w:t>Together, these terms establish that the designation is effective across covered past, present, and future records and remains operative without end.</w:t>
      </w:r>
    </w:p>
    <w:p>
      <w:pPr>
        <w:pStyle w:val="Heading1"/>
        <w:pageBreakBefore/>
        <w:spacing w:before="40" w:after="140" w:line="276" w:lineRule="auto"/>
      </w:pPr>
      <w:r>
        <w:t>8. Execution, Certification, and Publication Record</w:t>
      </w:r>
    </w:p>
    <w:p>
      <w:pPr>
        <w:spacing w:before="0" w:after="240" w:line="276" w:lineRule="auto"/>
      </w:pPr>
      <w:r>
        <w:t>By signing below, the Declarant confirms adoption of this terminology and authorizes the document for electronic execution, ONESTAMP certification, archival, and public publication.</w:t>
      </w:r>
    </w:p>
    <w:tbl>
      <w:tblPr>
        <w:tblW w:type="auto" w:w="0"/>
        <w:jc w:val="center"/>
        <w:tblLayout w:type="fixed"/>
        <w:tblLook w:firstColumn="1" w:firstRow="1" w:lastColumn="0" w:lastRow="0" w:noHBand="0" w:noVBand="1" w:val="04A0"/>
      </w:tblPr>
      <w:tblGrid>
        <w:gridCol w:w="3096"/>
        <w:gridCol w:w="5832"/>
      </w:tblGrid>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Declarant</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Nathan Lewis</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Capacity</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Author and Canonical Declarant</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Electronic Signature</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_______________________________________________</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Date of Execution</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_______________________________________________</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ONESTAMP Certificate / Record ID</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_______________________________________________</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Publication Platform / URL Record</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_______________________________________________</w:t>
            </w:r>
          </w:p>
        </w:tc>
      </w:tr>
      <w:tr>
        <w:tc>
          <w:tcPr>
            <w:tcW w:type="dxa" w:w="3096"/>
            <w:vAlign w:val="center"/>
            <w:shd w:fill="EEF3F7"/>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b/>
                <w:color w:val="1E3042"/>
                <w:sz w:val="19"/>
              </w:rPr>
              <w:t>Publication Date</w:t>
            </w:r>
          </w:p>
        </w:tc>
        <w:tc>
          <w:tcPr>
            <w:tcW w:type="dxa" w:w="5832"/>
            <w:vAlign w:val="center"/>
            <w:tcBorders>
              <w:top w:val="single" w:sz="4" w:color="C9D5DF"/>
              <w:left w:val="single" w:sz="4" w:color="C9D5DF"/>
              <w:bottom w:val="single" w:sz="4" w:color="C9D5DF"/>
              <w:right w:val="single" w:sz="4" w:color="C9D5DF"/>
            </w:tcBorders>
          </w:tcPr>
          <w:p>
            <w:pPr>
              <w:keepLines/>
              <w:spacing w:before="100" w:after="100" w:line="276" w:lineRule="auto"/>
            </w:pPr>
            <w:r>
              <w:rPr>
                <w:rFonts w:ascii="Aptos" w:hAnsi="Aptos"/>
                <w:color w:val="1E3042"/>
                <w:sz w:val="19"/>
              </w:rPr>
              <w:t>_______________________________________________</w:t>
            </w:r>
          </w:p>
        </w:tc>
      </w:tr>
    </w:tbl>
    <w:p>
      <w:pPr>
        <w:spacing w:before="280" w:after="100" w:line="276" w:lineRule="auto"/>
      </w:pPr>
      <w:r>
        <w:rPr>
          <w:rFonts w:ascii="Aptos" w:hAnsi="Aptos"/>
          <w:b/>
          <w:color w:val="2D5876"/>
          <w:sz w:val="21"/>
        </w:rPr>
        <w:t>Publication Note</w:t>
      </w:r>
    </w:p>
    <w:p>
      <w:pPr>
        <w:spacing w:before="0" w:after="120" w:line="276" w:lineRule="auto"/>
      </w:pPr>
      <w:r>
        <w:rPr>
          <w:rFonts w:ascii="Aptos" w:hAnsi="Aptos"/>
          <w:i/>
          <w:color w:val="586775"/>
          <w:sz w:val="19"/>
        </w:rPr>
        <w:t>This document is written as a canonical and publication record. It is not presented as legal advice or as a substitute for legal counsel concerning enforceability in any jurisdiction.</w:t>
      </w:r>
    </w:p>
    <w:p>
      <w:pPr>
        <w:spacing w:before="460" w:after="0" w:line="276" w:lineRule="auto"/>
        <w:jc w:val="center"/>
      </w:pPr>
      <w:r>
        <w:rPr>
          <w:rFonts w:ascii="Aptos" w:hAnsi="Aptos"/>
          <w:b/>
          <w:color w:val="586775"/>
          <w:sz w:val="17"/>
        </w:rPr>
        <w:t>END OF DECLARATION</w:t>
      </w:r>
    </w:p>
    <w:sectPr w:rsidR="00FC693F" w:rsidRPr="0006063C" w:rsidSect="00034616">
      <w:headerReference w:type="default" r:id="rId9"/>
      <w:footerReference w:type="default" r:id="rId10"/>
      <w:pgSz w:w="12240" w:h="15840"/>
      <w:pgMar w:top="1037" w:right="1267" w:bottom="979"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Immutable and Irrevocable Canonical Declaration | Version 1.1 | July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ptos" w:hAnsi="Aptos"/>
        <w:b/>
        <w:color w:val="586775"/>
        <w:sz w:val="17"/>
      </w:rPr>
      <w:t>CANONICAL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30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58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0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Immutable and Irrevocable Canonical Terminology</dc:title>
  <dc:subject>Canonical terminology declaration</dc:subject>
  <dc:creator>Nathan Lewis</dc:creator>
  <cp:keywords>canonical, immutable, irrevocable, declaration, ONESTAMP</cp:keywords>
  <dc:description>Prepared for electronic execution and publication.</dc:description>
  <cp:lastModifiedBy/>
  <cp:revision>1</cp:revision>
  <dcterms:created xsi:type="dcterms:W3CDTF">2013-12-23T23:15:00Z</dcterms:created>
  <dcterms:modified xsi:type="dcterms:W3CDTF">2013-12-23T23:15:00Z</dcterms:modified>
  <cp:category/>
</cp:coreProperties>
</file>