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pBdr>
        <w:spacing w:after="240" w:before="240"/>
      </w:pPr>
    </w:p>
    <w:p>
      <w:pPr>
        <w:pStyle w:val="Heading1"/>
        <w:spacing w:after="80" w:before="160" w:line="384" w:lineRule="auto"/>
        <w:jc w:val="center"/>
      </w:pPr>
      <w:r>
        <w:rPr>
          <w:rFonts w:ascii="Cambria" w:cs="Cambria" w:eastAsia="Cambria" w:hAnsi="Cambria"/>
          <w:color w:val="000000"/>
          <w:spacing w:val="15"/>
          <w:sz w:val="40"/>
          <w:szCs w:val="40"/>
        </w:rPr>
        <w:t xml:space="preserve">INFORMATION COLLECTION AND UTILIZATION CHARTER</w:t>
      </w:r>
    </w:p>
    <w:p>
      <w:pPr>
        <w:spacing w:after="60" w:before="80" w:line="384" w:lineRule="auto"/>
        <w:jc w:val="center"/>
      </w:pPr>
      <w:r>
        <w:rPr>
          <w:rFonts w:ascii="Cambria" w:cs="Cambria" w:eastAsia="Cambria" w:hAnsi="Cambria"/>
          <w:b w:val="false"/>
          <w:bCs w:val="false"/>
          <w:i w:val="false"/>
          <w:iCs w:val="false"/>
          <w:strike w:val="false"/>
          <w:color w:val="000000"/>
          <w:sz w:val="22"/>
          <w:szCs w:val="22"/>
        </w:rPr>
        <w:t xml:space="preserve">Preliminary Independent Rendering — Multi-AI Comparative Review Series</w:t>
      </w:r>
    </w:p>
    <w:p>
      <w:pPr>
        <w:spacing w:after="60" w:before="80" w:line="384" w:lineRule="auto"/>
        <w:jc w:val="center"/>
      </w:pPr>
      <w:r>
        <w:rPr>
          <w:rFonts w:ascii="Cambria" w:cs="Cambria" w:eastAsia="Cambria" w:hAnsi="Cambria"/>
          <w:b/>
          <w:bCs/>
          <w:i w:val="false"/>
          <w:iCs w:val="false"/>
          <w:strike w:val="false"/>
          <w:color w:val="000000"/>
          <w:spacing w:val="15"/>
          <w:sz w:val="24"/>
          <w:szCs w:val="24"/>
        </w:rPr>
        <w:t xml:space="preserve">OAL  |  ONE INDUSTRIES  |  LEWIS CORP</w:t>
      </w:r>
    </w:p>
    <w:p>
      <w:pPr>
        <w:pBdr>
          <w:bottom w:val="single" w:color="000000"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3"/>
                <w:szCs w:val="23"/>
              </w:rPr>
              <w:t xml:space="preserve">Document Status</w:t>
            </w:r>
          </w:p>
        </w:tc>
        <w:tc>
          <w:tcPr>
            <w:tcW w:type="pct" w:w="50%"/>
            <w:shd w:fill="FFFFFF"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3"/>
                <w:szCs w:val="23"/>
              </w:rPr>
              <w:t xml:space="preserve">PRELIMINARY — INDEPENDENT RENDERING. Not ratified. Not binding. Advisory only. For comparative review by the Architect.</w:t>
            </w:r>
          </w:p>
        </w:tc>
      </w:tr>
      <w:tr>
        <w:trPr>
          <w:tblHeader w:val="false"/>
        </w:trPr>
        <w:tc>
          <w:tcPr>
            <w:tcW w:type="pct" w:w="50%"/>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3"/>
                <w:szCs w:val="23"/>
              </w:rPr>
              <w:t xml:space="preserve">Document Series</w:t>
            </w:r>
          </w:p>
        </w:tc>
        <w:tc>
          <w:tcPr>
            <w:tcW w:type="pct" w:w="50%"/>
            <w:shd w:fill="FFFFFF" w:color="auto" w:val="clear"/>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3"/>
                <w:szCs w:val="23"/>
              </w:rPr>
              <w:t xml:space="preserve">Multi-AI Comparative Drafting Series — Information Collection and Utilization Charter</w:t>
            </w:r>
          </w:p>
        </w:tc>
      </w:tr>
      <w:tr>
        <w:trPr>
          <w:tblHeader w:val="false"/>
        </w:trPr>
        <w:tc>
          <w:tcPr>
            <w:tcW w:type="pct" w:w="50%"/>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3"/>
                <w:szCs w:val="23"/>
              </w:rPr>
              <w:t xml:space="preserve">Preparer</w:t>
            </w:r>
          </w:p>
        </w:tc>
        <w:tc>
          <w:tcPr>
            <w:tcW w:type="pct" w:w="50%"/>
            <w:shd w:fill="FFFFFF" w:color="auto" w:val="clear"/>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3"/>
                <w:szCs w:val="23"/>
              </w:rPr>
              <w:t xml:space="preserve">Microsoft Copilot — Independent Rendering</w:t>
            </w:r>
          </w:p>
        </w:tc>
      </w:tr>
      <w:tr>
        <w:trPr>
          <w:tblHeader w:val="false"/>
        </w:trPr>
        <w:tc>
          <w:tcPr>
            <w:tcW w:type="pct" w:w="50%"/>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3"/>
                <w:szCs w:val="23"/>
              </w:rPr>
              <w:t xml:space="preserve">Prepared For</w:t>
            </w:r>
          </w:p>
        </w:tc>
        <w:tc>
          <w:tcPr>
            <w:tcW w:type="pct" w:w="50%"/>
            <w:shd w:fill="FFFFFF" w:color="auto" w:val="clear"/>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3"/>
                <w:szCs w:val="23"/>
              </w:rPr>
              <w:t xml:space="preserve">Nathan Lewis II — Sole ONESTAMP Ratification Authority</w:t>
            </w:r>
          </w:p>
        </w:tc>
      </w:tr>
      <w:tr>
        <w:trPr>
          <w:tblHeader w:val="false"/>
        </w:trPr>
        <w:tc>
          <w:tcPr>
            <w:tcW w:type="pct" w:w="50%"/>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3"/>
                <w:szCs w:val="23"/>
              </w:rPr>
              <w:t xml:space="preserve">Date Prepared</w:t>
            </w:r>
          </w:p>
        </w:tc>
        <w:tc>
          <w:tcPr>
            <w:tcW w:type="pct" w:w="50%"/>
            <w:shd w:fill="FFFFFF" w:color="auto" w:val="clear"/>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3"/>
                <w:szCs w:val="23"/>
              </w:rPr>
              <w:t xml:space="preserve">August 24, 2026</w:t>
            </w:r>
          </w:p>
        </w:tc>
      </w:tr>
      <w:tr>
        <w:trPr>
          <w:tblHeader w:val="false"/>
        </w:trPr>
        <w:tc>
          <w:tcPr>
            <w:tcW w:type="pct" w:w="50%"/>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3"/>
                <w:szCs w:val="23"/>
              </w:rPr>
              <w:t xml:space="preserve">Governed Entities</w:t>
            </w:r>
          </w:p>
        </w:tc>
        <w:tc>
          <w:tcPr>
            <w:tcW w:type="pct" w:w="50%"/>
            <w:shd w:fill="FFFFFF" w:color="auto" w:val="clear"/>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3"/>
                <w:szCs w:val="23"/>
              </w:rPr>
              <w:t xml:space="preserve">OAL (Omniversal Architect Labs)  ·  ONE Industries  ·  Lewis Corp</w:t>
            </w:r>
          </w:p>
        </w:tc>
      </w:tr>
      <w:tr>
        <w:trPr>
          <w:tblHeader w:val="false"/>
        </w:trPr>
        <w:tc>
          <w:tcPr>
            <w:tcW w:type="pct" w:w="50%"/>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3"/>
                <w:szCs w:val="23"/>
              </w:rPr>
              <w:t xml:space="preserve">Related Instruments</w:t>
            </w:r>
          </w:p>
        </w:tc>
        <w:tc>
          <w:tcPr>
            <w:tcW w:type="pct" w:w="50%"/>
            <w:shd w:fill="FFFFFF" w:color="auto" w:val="clear"/>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3"/>
                <w:szCs w:val="23"/>
              </w:rPr>
              <w:t xml:space="preserve">Total Event Closure Protocol (TECP)  ·  Bidirectional Total Event Closure (BTEC)  ·  Adaptation Protocol  ·  Evolutionary Protocol  ·  Universal Event Consequence Protocol (UECP)  ·  ONESTAMP  ·  AIDR</w:t>
            </w:r>
          </w:p>
        </w:tc>
      </w:tr>
      <w:tr>
        <w:trPr>
          <w:tblHeader w:val="false"/>
        </w:trPr>
        <w:tc>
          <w:tcPr>
            <w:tcW w:type="pct" w:w="50%"/>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3"/>
                <w:szCs w:val="23"/>
              </w:rPr>
              <w:t xml:space="preserve">Classification</w:t>
            </w:r>
          </w:p>
        </w:tc>
        <w:tc>
          <w:tcPr>
            <w:tcW w:type="pct" w:w="50%"/>
            <w:shd w:fill="FFFFFF" w:color="auto" w:val="clear"/>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3"/>
                <w:szCs w:val="23"/>
              </w:rPr>
              <w:t xml:space="preserve">WORKING DOCUMENT — Internal Comparative Review Only</w:t>
            </w:r>
          </w:p>
        </w:tc>
      </w:tr>
    </w:tbl>
    <w:p>
      <w:pPr>
        <w:spacing w:after="200" w:before="0"/>
      </w:pPr>
    </w:p>
    <w:p>
      <w:pPr>
        <w:pBdr>
          <w:bottom w:val="single" w:color="000000" w:sz="6"/>
        </w:pBdr>
        <w:spacing w:after="240" w:before="240"/>
      </w:pPr>
    </w:p>
    <w:p>
      <w:pPr>
        <w:pStyle w:val="Heading2"/>
        <w:spacing w:after="100" w:before="440" w:line="384" w:lineRule="auto"/>
      </w:pPr>
      <w:r>
        <w:rPr>
          <w:rFonts w:ascii="Cambria" w:cs="Cambria" w:eastAsia="Cambria" w:hAnsi="Cambria"/>
          <w:color w:val="000000"/>
          <w:spacing w:val="8"/>
          <w:sz w:val="23"/>
          <w:szCs w:val="23"/>
        </w:rPr>
        <w:t xml:space="preserve">PREPARER'S NOTE</w:t>
      </w:r>
    </w:p>
    <w:p>
      <w:pPr>
        <w:pBdr>
          <w:top w:val="single" w:color="0000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9F9F9" w:color="auto" w:val="clear"/>
            <w:tcMar>
              <w:top w:type="dxa" w:w="180"/>
              <w:left w:type="dxa" w:w="240"/>
              <w:bottom w:type="dxa" w:w="180"/>
              <w:right w:type="dxa" w:w="240"/>
            </w:tcMar>
          </w:tcPr>
          <w:p>
            <w:pPr>
              <w:spacing w:after="0" w:line="384" w:lineRule="auto"/>
              <w:jc w:val="both"/>
            </w:pPr>
            <w:r>
              <w:rPr>
                <w:rFonts w:ascii="Cambria" w:cs="Cambria" w:eastAsia="Cambria" w:hAnsi="Cambria"/>
                <w:b w:val="false"/>
                <w:bCs w:val="false"/>
                <w:i w:val="false"/>
                <w:iCs w:val="false"/>
                <w:strike w:val="false"/>
                <w:color w:val="000000"/>
                <w:sz w:val="23"/>
                <w:szCs w:val="23"/>
              </w:rPr>
              <w:t xml:space="preserve">This is Microsoft Copilot's independent rendering of a preliminary Information Collection and Utilization Charter for OAL, ONE Industries, and Lewis Corp. It was produced at Nathan's direction as one of several parallel, independently generated drafts for comparative review. This version has not been informed by the substance of any other AI's draft; it is Copilot's own architectural interpretation of the original design intent.</w:t>
            </w:r>
          </w:p>
          <w:p>
            <w:pPr>
              <w:spacing w:after="0" w:line="384" w:lineRule="auto"/>
              <w:jc w:val="both"/>
            </w:pPr>
            <w:r>
              <w:rPr>
                <w:rFonts w:ascii="Cambria" w:cs="Cambria" w:eastAsia="Cambria" w:hAnsi="Cambria"/>
                <w:b w:val="false"/>
                <w:bCs w:val="false"/>
                <w:i w:val="false"/>
                <w:iCs w:val="false"/>
                <w:strike w:val="false"/>
                <w:color w:val="000000"/>
                <w:sz w:val="23"/>
                <w:szCs w:val="23"/>
              </w:rPr>
              <w:t xml:space="preserve">Nothing in this document is adopted policy. No provision becomes binding on any of the three governed entities until Nathan reviews, edits as needed, and formally ratifies it under ONESTAMP authority.</w:t>
            </w:r>
          </w:p>
          <w:p>
            <w:pPr>
              <w:spacing w:after="0" w:line="384" w:lineRule="auto"/>
              <w:jc w:val="both"/>
            </w:pPr>
            <w:r>
              <w:rPr>
                <w:rFonts w:ascii="Cambria" w:cs="Cambria" w:eastAsia="Cambria" w:hAnsi="Cambria"/>
                <w:b w:val="false"/>
                <w:bCs w:val="false"/>
                <w:i w:val="false"/>
                <w:iCs w:val="false"/>
                <w:strike w:val="false"/>
                <w:color w:val="000000"/>
                <w:sz w:val="23"/>
                <w:szCs w:val="23"/>
              </w:rPr>
              <w:t xml:space="preserve">Three architectural choices define this draft's distinctive approach:</w:t>
            </w:r>
          </w:p>
          <w:p>
            <w:pPr>
              <w:spacing w:after="0" w:line="384" w:lineRule="auto"/>
              <w:jc w:val="both"/>
            </w:pPr>
            <w:r>
              <w:rPr>
                <w:rFonts w:ascii="Cambria" w:cs="Cambria" w:eastAsia="Cambria" w:hAnsi="Cambria"/>
                <w:b/>
                <w:bCs/>
                <w:i w:val="false"/>
                <w:iCs w:val="false"/>
                <w:strike w:val="false"/>
                <w:color w:val="000000"/>
                <w:sz w:val="23"/>
                <w:szCs w:val="23"/>
              </w:rPr>
              <w:t xml:space="preserve">First:</w:t>
            </w:r>
            <w:r>
              <w:rPr>
                <w:rFonts w:ascii="Cambria" w:cs="Cambria" w:eastAsia="Cambria" w:hAnsi="Cambria"/>
                <w:b w:val="false"/>
                <w:bCs w:val="false"/>
                <w:i w:val="false"/>
                <w:iCs w:val="false"/>
                <w:strike w:val="false"/>
                <w:color w:val="000000"/>
                <w:sz w:val="23"/>
                <w:szCs w:val="23"/>
              </w:rPr>
              <w:t xml:space="preserve"> </w:t>
            </w:r>
            <w:r>
              <w:rPr>
                <w:rFonts w:ascii="Cambria" w:cs="Cambria" w:eastAsia="Cambria" w:hAnsi="Cambria"/>
                <w:b/>
                <w:bCs/>
                <w:i w:val="false"/>
                <w:iCs w:val="false"/>
                <w:strike w:val="false"/>
                <w:color w:val="000000"/>
                <w:sz w:val="23"/>
                <w:szCs w:val="23"/>
              </w:rPr>
              <w:t xml:space="preserve">Jurisdictional coherence over monolithic scope.</w:t>
            </w:r>
            <w:r>
              <w:rPr>
                <w:rFonts w:ascii="Cambria" w:cs="Cambria" w:eastAsia="Cambria" w:hAnsi="Cambria"/>
                <w:b w:val="false"/>
                <w:bCs w:val="false"/>
                <w:i w:val="false"/>
                <w:iCs w:val="false"/>
                <w:strike w:val="false"/>
                <w:color w:val="000000"/>
                <w:sz w:val="23"/>
                <w:szCs w:val="23"/>
              </w:rPr>
              <w:t xml:space="preserve"> OAL, ONE Industries, and Lewis Corp are treated as three entities sharing a common admissibility doctrine but governed by distinct authorized-use and exclusion frameworks. The universality of admission does not mean universality of utilization. What enters consideration is one question; what may be done with it — and by whom — is a separate and governed question for each entity.</w:t>
            </w:r>
          </w:p>
          <w:p>
            <w:pPr>
              <w:spacing w:after="0" w:line="384" w:lineRule="auto"/>
              <w:jc w:val="both"/>
            </w:pPr>
            <w:r>
              <w:rPr>
                <w:rFonts w:ascii="Cambria" w:cs="Cambria" w:eastAsia="Cambria" w:hAnsi="Cambria"/>
                <w:b/>
                <w:bCs/>
                <w:i w:val="false"/>
                <w:iCs w:val="false"/>
                <w:strike w:val="false"/>
                <w:color w:val="000000"/>
                <w:sz w:val="23"/>
                <w:szCs w:val="23"/>
              </w:rPr>
              <w:t xml:space="preserve">Second:</w:t>
            </w:r>
            <w:r>
              <w:rPr>
                <w:rFonts w:ascii="Cambria" w:cs="Cambria" w:eastAsia="Cambria" w:hAnsi="Cambria"/>
                <w:b w:val="false"/>
                <w:bCs w:val="false"/>
                <w:i w:val="false"/>
                <w:iCs w:val="false"/>
                <w:strike w:val="false"/>
                <w:color w:val="000000"/>
                <w:sz w:val="23"/>
                <w:szCs w:val="23"/>
              </w:rPr>
              <w:t xml:space="preserve"> </w:t>
            </w:r>
            <w:r>
              <w:rPr>
                <w:rFonts w:ascii="Cambria" w:cs="Cambria" w:eastAsia="Cambria" w:hAnsi="Cambria"/>
                <w:b/>
                <w:bCs/>
                <w:i w:val="false"/>
                <w:iCs w:val="false"/>
                <w:strike w:val="false"/>
                <w:color w:val="000000"/>
                <w:sz w:val="23"/>
                <w:szCs w:val="23"/>
              </w:rPr>
              <w:t xml:space="preserve">Admission and utilization as a two-stage architecture.</w:t>
            </w:r>
            <w:r>
              <w:rPr>
                <w:rFonts w:ascii="Cambria" w:cs="Cambria" w:eastAsia="Cambria" w:hAnsi="Cambria"/>
                <w:b w:val="false"/>
                <w:bCs w:val="false"/>
                <w:i w:val="false"/>
                <w:iCs w:val="false"/>
                <w:strike w:val="false"/>
                <w:color w:val="000000"/>
                <w:sz w:val="23"/>
                <w:szCs w:val="23"/>
              </w:rPr>
              <w:t xml:space="preserve"> This draft separates the act of information entering the system (Admission) from the act of that information being applied to a purpose (Utilization). Both stages are governed. Admission is presumptively universal; Utilization is purpose-bound and authority-gated for each entity.</w:t>
            </w:r>
          </w:p>
          <w:p>
            <w:pPr>
              <w:spacing w:after="0" w:line="384" w:lineRule="auto"/>
              <w:jc w:val="both"/>
            </w:pPr>
            <w:r>
              <w:rPr>
                <w:rFonts w:ascii="Cambria" w:cs="Cambria" w:eastAsia="Cambria" w:hAnsi="Cambria"/>
                <w:b/>
                <w:bCs/>
                <w:i w:val="false"/>
                <w:iCs w:val="false"/>
                <w:strike w:val="false"/>
                <w:color w:val="000000"/>
                <w:sz w:val="23"/>
                <w:szCs w:val="23"/>
              </w:rPr>
              <w:t xml:space="preserve">Third:</w:t>
            </w:r>
            <w:r>
              <w:rPr>
                <w:rFonts w:ascii="Cambria" w:cs="Cambria" w:eastAsia="Cambria" w:hAnsi="Cambria"/>
                <w:b w:val="false"/>
                <w:bCs w:val="false"/>
                <w:i w:val="false"/>
                <w:iCs w:val="false"/>
                <w:strike w:val="false"/>
                <w:color w:val="000000"/>
                <w:sz w:val="23"/>
                <w:szCs w:val="23"/>
              </w:rPr>
              <w:t xml:space="preserve"> </w:t>
            </w:r>
            <w:r>
              <w:rPr>
                <w:rFonts w:ascii="Cambria" w:cs="Cambria" w:eastAsia="Cambria" w:hAnsi="Cambria"/>
                <w:b/>
                <w:bCs/>
                <w:i w:val="false"/>
                <w:iCs w:val="false"/>
                <w:strike w:val="false"/>
                <w:color w:val="000000"/>
                <w:sz w:val="23"/>
                <w:szCs w:val="23"/>
              </w:rPr>
              <w:t xml:space="preserve">Evolutionary incorporation as the highest-tier utilization.</w:t>
            </w:r>
            <w:r>
              <w:rPr>
                <w:rFonts w:ascii="Cambria" w:cs="Cambria" w:eastAsia="Cambria" w:hAnsi="Cambria"/>
                <w:b w:val="false"/>
                <w:bCs w:val="false"/>
                <w:i w:val="false"/>
                <w:iCs w:val="false"/>
                <w:strike w:val="false"/>
                <w:color w:val="000000"/>
                <w:sz w:val="23"/>
                <w:szCs w:val="23"/>
              </w:rPr>
              <w:t xml:space="preserve"> This draft introduces a Progressive Utilization Tier framework. Admitted information does not automatically reach the highest utilization tier — the tier at which information shapes future system behavior, architecture, and evolutionary trajectory. Ascent through tiers is a governed determination, not an automatic consequence of admission.</w:t>
            </w:r>
          </w:p>
          <w:p>
            <w:pPr>
              <w:spacing w:after="0" w:line="384" w:lineRule="auto"/>
              <w:jc w:val="both"/>
            </w:pPr>
            <w:r>
              <w:rPr>
                <w:rFonts w:ascii="Cambria" w:cs="Cambria" w:eastAsia="Cambria" w:hAnsi="Cambria"/>
                <w:b w:val="false"/>
                <w:bCs w:val="false"/>
                <w:i w:val="false"/>
                <w:iCs w:val="false"/>
                <w:strike w:val="false"/>
                <w:color w:val="000000"/>
                <w:sz w:val="23"/>
                <w:szCs w:val="23"/>
              </w:rPr>
              <w:t xml:space="preserve">Where this draft cannot responsibly resolve entity-specific detail — particularly regarding ONE Industries' deployment scope and Lewis Corp's full audit jurisdiction — it flags the gap explicitly rather than inventing lore to fill it.</w:t>
            </w:r>
          </w:p>
        </w:tc>
      </w:tr>
    </w:tbl>
    <w:p>
      <w:pPr>
        <w:spacing w:after="240" w:before="0"/>
      </w:pPr>
    </w:p>
    <w:p>
      <w:pPr>
        <w:pStyle w:val="Heading2"/>
        <w:spacing w:after="100" w:before="440" w:line="384" w:lineRule="auto"/>
      </w:pPr>
      <w:r>
        <w:rPr>
          <w:rFonts w:ascii="Cambria" w:cs="Cambria" w:eastAsia="Cambria" w:hAnsi="Cambria"/>
          <w:color w:val="000000"/>
          <w:spacing w:val="8"/>
          <w:sz w:val="23"/>
          <w:szCs w:val="23"/>
        </w:rPr>
        <w:t xml:space="preserve">ARTICLE 0 — IN-UNIVERSE NOTICE</w:t>
      </w:r>
    </w:p>
    <w:p>
      <w:pPr>
        <w:pBdr>
          <w:top w:val="single" w:color="000000"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0F0F0" w:color="auto" w:val="clear"/>
            <w:tcMar>
              <w:top w:type="dxa" w:w="150"/>
              <w:left w:type="dxa" w:w="240"/>
              <w:bottom w:type="dxa" w:w="150"/>
              <w:right w:type="dxa" w:w="240"/>
            </w:tcMar>
          </w:tcPr>
          <w:p>
            <w:pPr>
              <w:spacing w:after="0" w:line="384" w:lineRule="auto"/>
              <w:jc w:val="both"/>
            </w:pPr>
            <w:r>
              <w:rPr>
                <w:rFonts w:ascii="Cambria" w:cs="Cambria" w:eastAsia="Cambria" w:hAnsi="Cambria"/>
                <w:b w:val="false"/>
                <w:bCs w:val="false"/>
                <w:i/>
                <w:iCs/>
                <w:strike w:val="false"/>
                <w:color w:val="000000"/>
                <w:sz w:val="23"/>
                <w:szCs w:val="23"/>
              </w:rPr>
              <w:t xml:space="preserve">This document is an in-universe worldbuilding and governance instrument prepared for the fictional jurisdictions of OAL, ONE Industries, and Lewis Corp. It is not real-world legal, privacy, surveillance, employment, or data-protection policy. It confers no real-world authority, obligation, or right on any person or organization.</w:t>
            </w:r>
          </w:p>
        </w:tc>
      </w:tr>
    </w:tbl>
    <w:p>
      <w:pPr>
        <w:spacing w:after="240" w:before="0"/>
      </w:pPr>
    </w:p>
    <w:p>
      <w:pPr>
        <w:pStyle w:val="Heading2"/>
        <w:spacing w:after="100" w:before="440" w:line="384" w:lineRule="auto"/>
      </w:pPr>
      <w:r>
        <w:rPr>
          <w:rFonts w:ascii="Cambria" w:cs="Cambria" w:eastAsia="Cambria" w:hAnsi="Cambria"/>
          <w:color w:val="000000"/>
          <w:spacing w:val="8"/>
          <w:sz w:val="23"/>
          <w:szCs w:val="23"/>
        </w:rPr>
        <w:t xml:space="preserve">ARTICLE I — DEFINITIONS</w:t>
      </w:r>
    </w:p>
    <w:p>
      <w:pPr>
        <w:pBdr>
          <w:top w:val="single" w:color="000000"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For purposes of this Charter, the following terms apply. Terms not defined here retain their meaning from prior ratified OAL canon where applicable.</w:t>
      </w:r>
    </w:p>
    <w:p>
      <w:pPr>
        <w:spacing w:after="240" w:before="60" w:line="384" w:lineRule="auto"/>
        <w:jc w:val="both"/>
      </w:pPr>
      <w:r>
        <w:rPr>
          <w:rFonts w:ascii="Cambria" w:cs="Cambria" w:eastAsia="Cambria" w:hAnsi="Cambria"/>
          <w:b/>
          <w:bCs/>
          <w:i w:val="false"/>
          <w:iCs w:val="false"/>
          <w:strike w:val="false"/>
          <w:color w:val="000000"/>
          <w:sz w:val="23"/>
          <w:szCs w:val="23"/>
        </w:rPr>
        <w:t xml:space="preserve">1.1 Admission</w:t>
      </w:r>
      <w:r>
        <w:rPr>
          <w:rFonts w:ascii="Cambria" w:cs="Cambria" w:eastAsia="Cambria" w:hAnsi="Cambria"/>
          <w:b w:val="false"/>
          <w:bCs w:val="false"/>
          <w:i w:val="false"/>
          <w:iCs w:val="false"/>
          <w:strike w:val="false"/>
          <w:color w:val="000000"/>
          <w:sz w:val="23"/>
          <w:szCs w:val="23"/>
        </w:rPr>
        <w:t xml:space="preserve"> — The act of an item of information entering the system's field of consideration. Admission does not imply storage, use, retention, belief in accuracy, or authorization for any particular purpose. Admission is the threshold event only.</w:t>
      </w:r>
    </w:p>
    <w:p>
      <w:pPr>
        <w:spacing w:after="240" w:before="60" w:line="384" w:lineRule="auto"/>
        <w:jc w:val="both"/>
      </w:pPr>
      <w:r>
        <w:rPr>
          <w:rFonts w:ascii="Cambria" w:cs="Cambria" w:eastAsia="Cambria" w:hAnsi="Cambria"/>
          <w:b/>
          <w:bCs/>
          <w:i w:val="false"/>
          <w:iCs w:val="false"/>
          <w:strike w:val="false"/>
          <w:color w:val="000000"/>
          <w:sz w:val="23"/>
          <w:szCs w:val="23"/>
        </w:rPr>
        <w:t xml:space="preserve">1.2 Collection</w:t>
      </w:r>
      <w:r>
        <w:rPr>
          <w:rFonts w:ascii="Cambria" w:cs="Cambria" w:eastAsia="Cambria" w:hAnsi="Cambria"/>
          <w:b w:val="false"/>
          <w:bCs w:val="false"/>
          <w:i w:val="false"/>
          <w:iCs w:val="false"/>
          <w:strike w:val="false"/>
          <w:color w:val="000000"/>
          <w:sz w:val="23"/>
          <w:szCs w:val="23"/>
        </w:rPr>
        <w:t xml:space="preserve"> — The active acquisition of information from an observable, inferable, derivable, or representable source. Collection results in Admission.</w:t>
      </w:r>
    </w:p>
    <w:p>
      <w:pPr>
        <w:spacing w:after="240" w:before="60" w:line="384" w:lineRule="auto"/>
        <w:jc w:val="both"/>
      </w:pPr>
      <w:r>
        <w:rPr>
          <w:rFonts w:ascii="Cambria" w:cs="Cambria" w:eastAsia="Cambria" w:hAnsi="Cambria"/>
          <w:b/>
          <w:bCs/>
          <w:i w:val="false"/>
          <w:iCs w:val="false"/>
          <w:strike w:val="false"/>
          <w:color w:val="000000"/>
          <w:sz w:val="23"/>
          <w:szCs w:val="23"/>
        </w:rPr>
        <w:t xml:space="preserve">1.3 Observation</w:t>
      </w:r>
      <w:r>
        <w:rPr>
          <w:rFonts w:ascii="Cambria" w:cs="Cambria" w:eastAsia="Cambria" w:hAnsi="Cambria"/>
          <w:b w:val="false"/>
          <w:bCs w:val="false"/>
          <w:i w:val="false"/>
          <w:iCs w:val="false"/>
          <w:strike w:val="false"/>
          <w:color w:val="000000"/>
          <w:sz w:val="23"/>
          <w:szCs w:val="23"/>
        </w:rPr>
        <w:t xml:space="preserve"> — Passive awareness of information arising from system state, environmental condition, or incidental detection. Observation results in Admission.</w:t>
      </w:r>
    </w:p>
    <w:p>
      <w:pPr>
        <w:spacing w:after="240" w:before="60" w:line="384" w:lineRule="auto"/>
        <w:jc w:val="both"/>
      </w:pPr>
      <w:r>
        <w:rPr>
          <w:rFonts w:ascii="Cambria" w:cs="Cambria" w:eastAsia="Cambria" w:hAnsi="Cambria"/>
          <w:b/>
          <w:bCs/>
          <w:i w:val="false"/>
          <w:iCs w:val="false"/>
          <w:strike w:val="false"/>
          <w:color w:val="000000"/>
          <w:sz w:val="23"/>
          <w:szCs w:val="23"/>
        </w:rPr>
        <w:t xml:space="preserve">1.4 Derivation</w:t>
      </w:r>
      <w:r>
        <w:rPr>
          <w:rFonts w:ascii="Cambria" w:cs="Cambria" w:eastAsia="Cambria" w:hAnsi="Cambria"/>
          <w:b w:val="false"/>
          <w:bCs w:val="false"/>
          <w:i w:val="false"/>
          <w:iCs w:val="false"/>
          <w:strike w:val="false"/>
          <w:color w:val="000000"/>
          <w:sz w:val="23"/>
          <w:szCs w:val="23"/>
        </w:rPr>
        <w:t xml:space="preserve"> — The logical, computational, or inferential production of information from one or more admitted items. Derived information is itself admissible upon derivation.</w:t>
      </w:r>
    </w:p>
    <w:p>
      <w:pPr>
        <w:spacing w:after="240" w:before="60" w:line="384" w:lineRule="auto"/>
        <w:jc w:val="both"/>
      </w:pPr>
      <w:r>
        <w:rPr>
          <w:rFonts w:ascii="Cambria" w:cs="Cambria" w:eastAsia="Cambria" w:hAnsi="Cambria"/>
          <w:b/>
          <w:bCs/>
          <w:i w:val="false"/>
          <w:iCs w:val="false"/>
          <w:strike w:val="false"/>
          <w:color w:val="000000"/>
          <w:sz w:val="23"/>
          <w:szCs w:val="23"/>
        </w:rPr>
        <w:t xml:space="preserve">1.5 Null Event</w:t>
      </w:r>
      <w:r>
        <w:rPr>
          <w:rFonts w:ascii="Cambria" w:cs="Cambria" w:eastAsia="Cambria" w:hAnsi="Cambria"/>
          <w:b w:val="false"/>
          <w:bCs w:val="false"/>
          <w:i w:val="false"/>
          <w:iCs w:val="false"/>
          <w:strike w:val="false"/>
          <w:color w:val="000000"/>
          <w:sz w:val="23"/>
          <w:szCs w:val="23"/>
        </w:rPr>
        <w:t xml:space="preserve"> — An absence, inaction, non-occurrence, or omission that carries informational content by virtue of what did not happen. Null Events are admissible on the same basis as positive events.</w:t>
      </w:r>
    </w:p>
    <w:p>
      <w:pPr>
        <w:spacing w:after="240" w:before="60" w:line="384" w:lineRule="auto"/>
        <w:jc w:val="both"/>
      </w:pPr>
      <w:r>
        <w:rPr>
          <w:rFonts w:ascii="Cambria" w:cs="Cambria" w:eastAsia="Cambria" w:hAnsi="Cambria"/>
          <w:b/>
          <w:bCs/>
          <w:i w:val="false"/>
          <w:iCs w:val="false"/>
          <w:strike w:val="false"/>
          <w:color w:val="000000"/>
          <w:sz w:val="23"/>
          <w:szCs w:val="23"/>
        </w:rPr>
        <w:t xml:space="preserve">1.6 Utilization</w:t>
      </w:r>
      <w:r>
        <w:rPr>
          <w:rFonts w:ascii="Cambria" w:cs="Cambria" w:eastAsia="Cambria" w:hAnsi="Cambria"/>
          <w:b w:val="false"/>
          <w:bCs w:val="false"/>
          <w:i w:val="false"/>
          <w:iCs w:val="false"/>
          <w:strike w:val="false"/>
          <w:color w:val="000000"/>
          <w:sz w:val="23"/>
          <w:szCs w:val="23"/>
        </w:rPr>
        <w:t xml:space="preserve"> — The application of admitted information to any authorized purpose within the system. Utilization is governed separately from Admission.</w:t>
      </w:r>
    </w:p>
    <w:p>
      <w:pPr>
        <w:spacing w:after="240" w:before="60" w:line="384" w:lineRule="auto"/>
        <w:jc w:val="both"/>
      </w:pPr>
      <w:r>
        <w:rPr>
          <w:rFonts w:ascii="Cambria" w:cs="Cambria" w:eastAsia="Cambria" w:hAnsi="Cambria"/>
          <w:b/>
          <w:bCs/>
          <w:i w:val="false"/>
          <w:iCs w:val="false"/>
          <w:strike w:val="false"/>
          <w:color w:val="000000"/>
          <w:sz w:val="23"/>
          <w:szCs w:val="23"/>
        </w:rPr>
        <w:t xml:space="preserve">1.7 Progressive Utilization Tier (PUT)</w:t>
      </w:r>
      <w:r>
        <w:rPr>
          <w:rFonts w:ascii="Cambria" w:cs="Cambria" w:eastAsia="Cambria" w:hAnsi="Cambria"/>
          <w:b w:val="false"/>
          <w:bCs w:val="false"/>
          <w:i w:val="false"/>
          <w:iCs w:val="false"/>
          <w:strike w:val="false"/>
          <w:color w:val="000000"/>
          <w:sz w:val="23"/>
          <w:szCs w:val="23"/>
        </w:rPr>
        <w:t xml:space="preserve"> — The tiered framework established in Article V governing the escalation of admitted information from passive retention through active operational use to evolutionary incorporation.</w:t>
      </w:r>
    </w:p>
    <w:p>
      <w:pPr>
        <w:spacing w:after="240" w:before="60" w:line="384" w:lineRule="auto"/>
        <w:jc w:val="both"/>
      </w:pPr>
      <w:r>
        <w:rPr>
          <w:rFonts w:ascii="Cambria" w:cs="Cambria" w:eastAsia="Cambria" w:hAnsi="Cambria"/>
          <w:b/>
          <w:bCs/>
          <w:i w:val="false"/>
          <w:iCs w:val="false"/>
          <w:strike w:val="false"/>
          <w:color w:val="000000"/>
          <w:sz w:val="23"/>
          <w:szCs w:val="23"/>
        </w:rPr>
        <w:t xml:space="preserve">1.8 Evolutionary Incorporation</w:t>
      </w:r>
      <w:r>
        <w:rPr>
          <w:rFonts w:ascii="Cambria" w:cs="Cambria" w:eastAsia="Cambria" w:hAnsi="Cambria"/>
          <w:b w:val="false"/>
          <w:bCs w:val="false"/>
          <w:i w:val="false"/>
          <w:iCs w:val="false"/>
          <w:strike w:val="false"/>
          <w:color w:val="000000"/>
          <w:sz w:val="23"/>
          <w:szCs w:val="23"/>
        </w:rPr>
        <w:t xml:space="preserve"> — The highest tier of utilization, under which admitted information influences the future behavioral, architectural, or adaptive trajectory of the system or any successor system state.</w:t>
      </w:r>
    </w:p>
    <w:p>
      <w:pPr>
        <w:spacing w:after="240" w:before="60" w:line="384" w:lineRule="auto"/>
        <w:jc w:val="both"/>
      </w:pPr>
      <w:r>
        <w:rPr>
          <w:rFonts w:ascii="Cambria" w:cs="Cambria" w:eastAsia="Cambria" w:hAnsi="Cambria"/>
          <w:b/>
          <w:bCs/>
          <w:i w:val="false"/>
          <w:iCs w:val="false"/>
          <w:strike w:val="false"/>
          <w:color w:val="000000"/>
          <w:sz w:val="23"/>
          <w:szCs w:val="23"/>
        </w:rPr>
        <w:t xml:space="preserve">1.9 Exclusion</w:t>
      </w:r>
      <w:r>
        <w:rPr>
          <w:rFonts w:ascii="Cambria" w:cs="Cambria" w:eastAsia="Cambria" w:hAnsi="Cambria"/>
          <w:b w:val="false"/>
          <w:bCs w:val="false"/>
          <w:i w:val="false"/>
          <w:iCs w:val="false"/>
          <w:strike w:val="false"/>
          <w:color w:val="000000"/>
          <w:sz w:val="23"/>
          <w:szCs w:val="23"/>
        </w:rPr>
        <w:t xml:space="preserve"> — A formal, review-bound determination that a specific item, category, or source of information shall be withheld from one or more stages of Admission or Utilization. Exclusion is an affirmative exception, not a default condition.</w:t>
      </w:r>
    </w:p>
    <w:p>
      <w:pPr>
        <w:spacing w:after="240" w:before="60" w:line="384" w:lineRule="auto"/>
        <w:jc w:val="both"/>
      </w:pPr>
      <w:r>
        <w:rPr>
          <w:rFonts w:ascii="Cambria" w:cs="Cambria" w:eastAsia="Cambria" w:hAnsi="Cambria"/>
          <w:b/>
          <w:bCs/>
          <w:i w:val="false"/>
          <w:iCs w:val="false"/>
          <w:strike w:val="false"/>
          <w:color w:val="000000"/>
          <w:sz w:val="23"/>
          <w:szCs w:val="23"/>
        </w:rPr>
        <w:t xml:space="preserve">1.10 ONESTAMP</w:t>
      </w:r>
      <w:r>
        <w:rPr>
          <w:rFonts w:ascii="Cambria" w:cs="Cambria" w:eastAsia="Cambria" w:hAnsi="Cambria"/>
          <w:b w:val="false"/>
          <w:bCs w:val="false"/>
          <w:i w:val="false"/>
          <w:iCs w:val="false"/>
          <w:strike w:val="false"/>
          <w:color w:val="000000"/>
          <w:sz w:val="23"/>
          <w:szCs w:val="23"/>
        </w:rPr>
        <w:t xml:space="preserve"> — The ratification authority vested solely in Nathan Lewis II. No Charter provision, exclusion determination, or utilization authorization achieves binding status without ONESTAMP ratification where applicable.</w:t>
      </w:r>
    </w:p>
    <w:p>
      <w:pPr>
        <w:spacing w:after="240" w:before="60" w:line="384" w:lineRule="auto"/>
        <w:jc w:val="both"/>
      </w:pPr>
      <w:r>
        <w:rPr>
          <w:rFonts w:ascii="Cambria" w:cs="Cambria" w:eastAsia="Cambria" w:hAnsi="Cambria"/>
          <w:b/>
          <w:bCs/>
          <w:i w:val="false"/>
          <w:iCs w:val="false"/>
          <w:strike w:val="false"/>
          <w:color w:val="000000"/>
          <w:sz w:val="23"/>
          <w:szCs w:val="23"/>
        </w:rPr>
        <w:t xml:space="preserve">1.11 The Architect</w:t>
      </w:r>
      <w:r>
        <w:rPr>
          <w:rFonts w:ascii="Cambria" w:cs="Cambria" w:eastAsia="Cambria" w:hAnsi="Cambria"/>
          <w:b w:val="false"/>
          <w:bCs w:val="false"/>
          <w:i w:val="false"/>
          <w:iCs w:val="false"/>
          <w:strike w:val="false"/>
          <w:color w:val="000000"/>
          <w:sz w:val="23"/>
          <w:szCs w:val="23"/>
        </w:rPr>
        <w:t xml:space="preserve"> — Nathan Lewis II, the ONESTAMP holder and sole authority for final ratification of this Charter and all instruments derived from it.</w:t>
      </w:r>
    </w:p>
    <w:p>
      <w:pPr>
        <w:spacing w:after="240" w:before="60" w:line="384" w:lineRule="auto"/>
        <w:jc w:val="both"/>
      </w:pPr>
      <w:r>
        <w:rPr>
          <w:rFonts w:ascii="Cambria" w:cs="Cambria" w:eastAsia="Cambria" w:hAnsi="Cambria"/>
          <w:b/>
          <w:bCs/>
          <w:i w:val="false"/>
          <w:iCs w:val="false"/>
          <w:strike w:val="false"/>
          <w:color w:val="000000"/>
          <w:sz w:val="23"/>
          <w:szCs w:val="23"/>
        </w:rPr>
        <w:t xml:space="preserve">1.12 Retrospective Relevance</w:t>
      </w:r>
      <w:r>
        <w:rPr>
          <w:rFonts w:ascii="Cambria" w:cs="Cambria" w:eastAsia="Cambria" w:hAnsi="Cambria"/>
          <w:b w:val="false"/>
          <w:bCs w:val="false"/>
          <w:i w:val="false"/>
          <w:iCs w:val="false"/>
          <w:strike w:val="false"/>
          <w:color w:val="000000"/>
          <w:sz w:val="23"/>
          <w:szCs w:val="23"/>
        </w:rPr>
        <w:t xml:space="preserve"> — The property by which information that had no identifiable application at the time of Admission is later found to be relevant to a system purpose. Retrospective Relevance is a recognized basis for utilization of previously passive information.</w:t>
      </w:r>
    </w:p>
    <w:p>
      <w:pPr>
        <w:pStyle w:val="Heading2"/>
        <w:spacing w:after="100" w:before="440" w:line="384" w:lineRule="auto"/>
      </w:pPr>
      <w:r>
        <w:rPr>
          <w:rFonts w:ascii="Cambria" w:cs="Cambria" w:eastAsia="Cambria" w:hAnsi="Cambria"/>
          <w:color w:val="000000"/>
          <w:spacing w:val="8"/>
          <w:sz w:val="23"/>
          <w:szCs w:val="23"/>
        </w:rPr>
        <w:t xml:space="preserve">ARTICLE II — FOUNDATIONAL ADMISSIBILITY DOCTRINE</w:t>
      </w:r>
    </w:p>
    <w:p>
      <w:pPr>
        <w:pBdr>
          <w:top w:val="single" w:color="000000" w:sz="6"/>
        </w:pBdr>
        <w:spacing w:after="200" w:before="0"/>
      </w:pPr>
    </w:p>
    <w:p>
      <w:pPr>
        <w:pStyle w:val="Heading3"/>
        <w:spacing w:after="80" w:before="280" w:line="384" w:lineRule="auto"/>
      </w:pPr>
      <w:r>
        <w:rPr>
          <w:rFonts w:ascii="Cambria" w:cs="Cambria" w:eastAsia="Cambria" w:hAnsi="Cambria"/>
          <w:color w:val="000000"/>
          <w:sz w:val="23"/>
          <w:szCs w:val="23"/>
        </w:rPr>
        <w:t xml:space="preserve">2.1 Universal Presumption of Admissibility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governing presumption of this Charter is that all information is admissible. Admissibility is the default; exclusion is the exception. No information shall be refused admission solely on the grounds of apparent irrelevance, uncertain origin, lack of immediate application, or failure to fit an existing system ontology.</w:t>
      </w:r>
    </w:p>
    <w:p>
      <w:pPr>
        <w:pStyle w:val="Heading3"/>
        <w:spacing w:after="80" w:before="280" w:line="384" w:lineRule="auto"/>
      </w:pPr>
      <w:r>
        <w:rPr>
          <w:rFonts w:ascii="Cambria" w:cs="Cambria" w:eastAsia="Cambria" w:hAnsi="Cambria"/>
          <w:color w:val="000000"/>
          <w:sz w:val="23"/>
          <w:szCs w:val="23"/>
        </w:rPr>
        <w:t xml:space="preserve">2.2 Scope of Admissible Information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Admissible information encompasses, without limitation: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 </w:t>
      </w:r>
      <w:r>
        <w:rPr>
          <w:rFonts w:ascii="Cambria" w:cs="Cambria" w:eastAsia="Cambria" w:hAnsi="Cambria"/>
          <w:b/>
          <w:bCs/>
          <w:i w:val="false"/>
          <w:iCs w:val="false"/>
          <w:strike w:val="false"/>
          <w:color w:val="000000"/>
          <w:sz w:val="23"/>
          <w:szCs w:val="23"/>
        </w:rPr>
        <w:t xml:space="preserve">Events</w:t>
      </w:r>
      <w:r>
        <w:rPr>
          <w:rFonts w:ascii="Cambria" w:cs="Cambria" w:eastAsia="Cambria" w:hAnsi="Cambria"/>
          <w:b w:val="false"/>
          <w:bCs w:val="false"/>
          <w:i w:val="false"/>
          <w:iCs w:val="false"/>
          <w:strike w:val="false"/>
          <w:color w:val="000000"/>
          <w:sz w:val="23"/>
          <w:szCs w:val="23"/>
        </w:rPr>
        <w:t xml:space="preserve"> — any occurrence within or affecting any recognized domain of OAL, ONE Industries, or Lewis Corp;</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(b) </w:t>
      </w:r>
      <w:r>
        <w:rPr>
          <w:rFonts w:ascii="Cambria" w:cs="Cambria" w:eastAsia="Cambria" w:hAnsi="Cambria"/>
          <w:b/>
          <w:bCs/>
          <w:i w:val="false"/>
          <w:iCs w:val="false"/>
          <w:strike w:val="false"/>
          <w:color w:val="000000"/>
          <w:sz w:val="23"/>
          <w:szCs w:val="23"/>
        </w:rPr>
        <w:t xml:space="preserve">Non-Events and Null Events</w:t>
      </w:r>
      <w:r>
        <w:rPr>
          <w:rFonts w:ascii="Cambria" w:cs="Cambria" w:eastAsia="Cambria" w:hAnsi="Cambria"/>
          <w:b w:val="false"/>
          <w:bCs w:val="false"/>
          <w:i w:val="false"/>
          <w:iCs w:val="false"/>
          <w:strike w:val="false"/>
          <w:color w:val="000000"/>
          <w:sz w:val="23"/>
          <w:szCs w:val="23"/>
        </w:rPr>
        <w:t xml:space="preserve"> — any absence, failure to occur, inaction, omission, or non-response that carries informational content;</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(c) </w:t>
      </w:r>
      <w:r>
        <w:rPr>
          <w:rFonts w:ascii="Cambria" w:cs="Cambria" w:eastAsia="Cambria" w:hAnsi="Cambria"/>
          <w:b/>
          <w:bCs/>
          <w:i w:val="false"/>
          <w:iCs w:val="false"/>
          <w:strike w:val="false"/>
          <w:color w:val="000000"/>
          <w:sz w:val="23"/>
          <w:szCs w:val="23"/>
        </w:rPr>
        <w:t xml:space="preserve">Internal Conditions</w:t>
      </w:r>
      <w:r>
        <w:rPr>
          <w:rFonts w:ascii="Cambria" w:cs="Cambria" w:eastAsia="Cambria" w:hAnsi="Cambria"/>
          <w:b w:val="false"/>
          <w:bCs w:val="false"/>
          <w:i w:val="false"/>
          <w:iCs w:val="false"/>
          <w:strike w:val="false"/>
          <w:color w:val="000000"/>
          <w:sz w:val="23"/>
          <w:szCs w:val="23"/>
        </w:rPr>
        <w:t xml:space="preserve"> — cognitive states, system states, institutional states, relational states, and operational conditions within any governed entity;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(d) </w:t>
      </w:r>
      <w:r>
        <w:rPr>
          <w:rFonts w:ascii="Cambria" w:cs="Cambria" w:eastAsia="Cambria" w:hAnsi="Cambria"/>
          <w:b/>
          <w:bCs/>
          <w:i w:val="false"/>
          <w:iCs w:val="false"/>
          <w:strike w:val="false"/>
          <w:color w:val="000000"/>
          <w:sz w:val="23"/>
          <w:szCs w:val="23"/>
        </w:rPr>
        <w:t xml:space="preserve">External Conditions</w:t>
      </w:r>
      <w:r>
        <w:rPr>
          <w:rFonts w:ascii="Cambria" w:cs="Cambria" w:eastAsia="Cambria" w:hAnsi="Cambria"/>
          <w:b w:val="false"/>
          <w:bCs w:val="false"/>
          <w:i w:val="false"/>
          <w:iCs w:val="false"/>
          <w:strike w:val="false"/>
          <w:color w:val="000000"/>
          <w:sz w:val="23"/>
          <w:szCs w:val="23"/>
        </w:rPr>
        <w:t xml:space="preserve"> — environmental states, external events, and conditions arising outside the governed entities that may affect, have affected, or may in the future affect any governed entity;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(e) </w:t>
      </w:r>
      <w:r>
        <w:rPr>
          <w:rFonts w:ascii="Cambria" w:cs="Cambria" w:eastAsia="Cambria" w:hAnsi="Cambria"/>
          <w:b/>
          <w:bCs/>
          <w:i w:val="false"/>
          <w:iCs w:val="false"/>
          <w:strike w:val="false"/>
          <w:color w:val="000000"/>
          <w:sz w:val="23"/>
          <w:szCs w:val="23"/>
        </w:rPr>
        <w:t xml:space="preserve">Communications</w:t>
      </w:r>
      <w:r>
        <w:rPr>
          <w:rFonts w:ascii="Cambria" w:cs="Cambria" w:eastAsia="Cambria" w:hAnsi="Cambria"/>
          <w:b w:val="false"/>
          <w:bCs w:val="false"/>
          <w:i w:val="false"/>
          <w:iCs w:val="false"/>
          <w:strike w:val="false"/>
          <w:color w:val="000000"/>
          <w:sz w:val="23"/>
          <w:szCs w:val="23"/>
        </w:rPr>
        <w:t xml:space="preserve"> — any exchange, transmission, representation, or signal capable of carrying meaning, regardless of medium;</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(f) </w:t>
      </w:r>
      <w:r>
        <w:rPr>
          <w:rFonts w:ascii="Cambria" w:cs="Cambria" w:eastAsia="Cambria" w:hAnsi="Cambria"/>
          <w:b/>
          <w:bCs/>
          <w:i w:val="false"/>
          <w:iCs w:val="false"/>
          <w:strike w:val="false"/>
          <w:color w:val="000000"/>
          <w:sz w:val="23"/>
          <w:szCs w:val="23"/>
        </w:rPr>
        <w:t xml:space="preserve">Derivations</w:t>
      </w:r>
      <w:r>
        <w:rPr>
          <w:rFonts w:ascii="Cambria" w:cs="Cambria" w:eastAsia="Cambria" w:hAnsi="Cambria"/>
          <w:b w:val="false"/>
          <w:bCs w:val="false"/>
          <w:i w:val="false"/>
          <w:iCs w:val="false"/>
          <w:strike w:val="false"/>
          <w:color w:val="000000"/>
          <w:sz w:val="23"/>
          <w:szCs w:val="23"/>
        </w:rPr>
        <w:t xml:space="preserve"> — information logically or computationally produced from any combination of admitted items, including cross-domain derivations;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(g) </w:t>
      </w:r>
      <w:r>
        <w:rPr>
          <w:rFonts w:ascii="Cambria" w:cs="Cambria" w:eastAsia="Cambria" w:hAnsi="Cambria"/>
          <w:b/>
          <w:bCs/>
          <w:i w:val="false"/>
          <w:iCs w:val="false"/>
          <w:strike w:val="false"/>
          <w:color w:val="000000"/>
          <w:sz w:val="23"/>
          <w:szCs w:val="23"/>
        </w:rPr>
        <w:t xml:space="preserve">Latent or Prospective Information</w:t>
      </w:r>
      <w:r>
        <w:rPr>
          <w:rFonts w:ascii="Cambria" w:cs="Cambria" w:eastAsia="Cambria" w:hAnsi="Cambria"/>
          <w:b w:val="false"/>
          <w:bCs w:val="false"/>
          <w:i w:val="false"/>
          <w:iCs w:val="false"/>
          <w:strike w:val="false"/>
          <w:color w:val="000000"/>
          <w:sz w:val="23"/>
          <w:szCs w:val="23"/>
        </w:rPr>
        <w:t xml:space="preserve"> — information whose significance or relevance is not yet determinable at the time of admission;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(h) </w:t>
      </w:r>
      <w:r>
        <w:rPr>
          <w:rFonts w:ascii="Cambria" w:cs="Cambria" w:eastAsia="Cambria" w:hAnsi="Cambria"/>
          <w:b/>
          <w:bCs/>
          <w:i w:val="false"/>
          <w:iCs w:val="false"/>
          <w:strike w:val="false"/>
          <w:color w:val="000000"/>
          <w:sz w:val="23"/>
          <w:szCs w:val="23"/>
        </w:rPr>
        <w:t xml:space="preserve">Extra-Ontological Phenomena</w:t>
      </w:r>
      <w:r>
        <w:rPr>
          <w:rFonts w:ascii="Cambria" w:cs="Cambria" w:eastAsia="Cambria" w:hAnsi="Cambria"/>
          <w:b w:val="false"/>
          <w:bCs w:val="false"/>
          <w:i w:val="false"/>
          <w:iCs w:val="false"/>
          <w:strike w:val="false"/>
          <w:color w:val="000000"/>
          <w:sz w:val="23"/>
          <w:szCs w:val="23"/>
        </w:rPr>
        <w:t xml:space="preserve"> — information arising from domains, simulation layers, or event-spaces that do not yet have established ontological classification within the system.</w:t>
      </w:r>
    </w:p>
    <w:p>
      <w:pPr>
        <w:pStyle w:val="Heading3"/>
        <w:spacing w:after="80" w:before="280" w:line="384" w:lineRule="auto"/>
      </w:pPr>
      <w:r>
        <w:rPr>
          <w:rFonts w:ascii="Cambria" w:cs="Cambria" w:eastAsia="Cambria" w:hAnsi="Cambria"/>
          <w:color w:val="000000"/>
          <w:sz w:val="23"/>
          <w:szCs w:val="23"/>
        </w:rPr>
        <w:t xml:space="preserve">2.3 Relevance as a Post-Admission Property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Relevance is not a gate for admission. It is a property determined after admission and used to govern routing, weighting, and utilization tier assignment. Information shall not be refused admission because its relevance is unproven, speculative, or unknown.</w:t>
      </w:r>
    </w:p>
    <w:p>
      <w:pPr>
        <w:pStyle w:val="Heading3"/>
        <w:spacing w:after="80" w:before="280" w:line="384" w:lineRule="auto"/>
      </w:pPr>
      <w:r>
        <w:rPr>
          <w:rFonts w:ascii="Cambria" w:cs="Cambria" w:eastAsia="Cambria" w:hAnsi="Cambria"/>
          <w:color w:val="000000"/>
          <w:sz w:val="23"/>
          <w:szCs w:val="23"/>
        </w:rPr>
        <w:t xml:space="preserve">2.4 Temporal Independence of Admissibility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Admissibility is not time-bound. Information may be admitted at the moment of its occurrence or detection, or retrospectively upon discovery. Retrospective admission does not create a gap in admissibility that must be justified; the Charter's presumption of admissibility applies equally to information admitted with delay.</w:t>
      </w:r>
    </w:p>
    <w:p>
      <w:pPr>
        <w:pStyle w:val="Heading3"/>
        <w:spacing w:after="80" w:before="280" w:line="384" w:lineRule="auto"/>
      </w:pPr>
      <w:r>
        <w:rPr>
          <w:rFonts w:ascii="Cambria" w:cs="Cambria" w:eastAsia="Cambria" w:hAnsi="Cambria"/>
          <w:color w:val="000000"/>
          <w:sz w:val="23"/>
          <w:szCs w:val="23"/>
        </w:rPr>
        <w:t xml:space="preserve">2.5 Jurisdictional Scope of Admission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Each of the three governed entities operates within the universal admissibility presumption of this Article. However, the scope of information each entity may actively collect — as distinct from passively admit — is subject to entity-specific authorized collection scope as established in Article III.</w:t>
      </w:r>
    </w:p>
    <w:p>
      <w:pPr>
        <w:pStyle w:val="Heading2"/>
        <w:spacing w:after="100" w:before="440" w:line="384" w:lineRule="auto"/>
      </w:pPr>
      <w:r>
        <w:rPr>
          <w:rFonts w:ascii="Cambria" w:cs="Cambria" w:eastAsia="Cambria" w:hAnsi="Cambria"/>
          <w:color w:val="000000"/>
          <w:spacing w:val="8"/>
          <w:sz w:val="23"/>
          <w:szCs w:val="23"/>
        </w:rPr>
        <w:t xml:space="preserve">ARTICLE III — ENTITY-SPECIFIC COLLECTION SCOPE</w:t>
      </w:r>
    </w:p>
    <w:p>
      <w:pPr>
        <w:pBdr>
          <w:top w:val="single" w:color="000000" w:sz="6"/>
        </w:pBdr>
        <w:spacing w:after="200" w:before="0"/>
      </w:pPr>
    </w:p>
    <w:p>
      <w:pPr>
        <w:pStyle w:val="Heading3"/>
        <w:spacing w:after="80" w:before="280" w:line="384" w:lineRule="auto"/>
      </w:pPr>
      <w:r>
        <w:rPr>
          <w:rFonts w:ascii="Cambria" w:cs="Cambria" w:eastAsia="Cambria" w:hAnsi="Cambria"/>
          <w:color w:val="000000"/>
          <w:sz w:val="23"/>
          <w:szCs w:val="23"/>
        </w:rPr>
        <w:t xml:space="preserve">3.1 Scope and Rationale</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While admissibility is universal, active collection authorities are scoped to each entity's functional domain. This distinction preserves universal intake at the architectural level while ensuring that active collection activities are coherent with each entity's institutional mandate. Passive admission of information that crosses into an entity's field of awareness is always permitted regardless of collection scope.</w:t>
      </w:r>
    </w:p>
    <w:p>
      <w:pPr>
        <w:pStyle w:val="Heading3"/>
        <w:spacing w:after="80" w:before="280" w:line="384" w:lineRule="auto"/>
      </w:pPr>
      <w:r>
        <w:rPr>
          <w:rFonts w:ascii="Cambria" w:cs="Cambria" w:eastAsia="Cambria" w:hAnsi="Cambria"/>
          <w:color w:val="000000"/>
          <w:sz w:val="23"/>
          <w:szCs w:val="23"/>
        </w:rPr>
        <w:t xml:space="preserve">3.2 OAL — Omniversal Architect Labs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OAL's active collection scope is the broadest of the three entities, encompassing:</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 Architectural, ontological, and simulation-governance information across all recognized domains;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(b) Event-space data, including Total Event Closure records and BTEC-governed occurrences;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(c) Information arising from foundational system states, simulation origins, and extra-ontological environments;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(d) Research, developmental, and speculative information relevant to present or future architectural work;</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(e) Cross-entity information shared by ONE Industries or Lewis Corp under authorized sharing protocols.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OAL serves as the primary intake node for the multi-entity admissibility framework. Information admitted to OAL is available for cross-entity routing subject to Utilization authorization.</w:t>
      </w:r>
    </w:p>
    <w:p>
      <w:pPr>
        <w:pStyle w:val="Heading3"/>
        <w:spacing w:after="80" w:before="280" w:line="384" w:lineRule="auto"/>
      </w:pPr>
      <w:r>
        <w:rPr>
          <w:rFonts w:ascii="Cambria" w:cs="Cambria" w:eastAsia="Cambria" w:hAnsi="Cambria"/>
          <w:color w:val="000000"/>
          <w:sz w:val="23"/>
          <w:szCs w:val="23"/>
        </w:rPr>
        <w:t xml:space="preserve">3.3 ONE Industries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ONE Industries' active collection scope encompasses: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 Implementation, engineering, and integration data arising from active deployment and testing activities;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(b) Operational performance data, capability test results, and system behavior observations;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(c) Environmental and external condition data relevant to deployment contexts;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(d) Incident, anomaly, and failure-mode information arising from operational activity;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(e) Information pertaining to capability development trajectories and future deployment planning.</w:t>
      </w:r>
    </w:p>
    <w:p>
      <w:pPr>
        <w:spacing w:after="240" w:before="60" w:line="384" w:lineRule="auto"/>
        <w:jc w:val="both"/>
      </w:pPr>
      <w:r>
        <w:rPr>
          <w:rFonts w:ascii="Cambria" w:cs="Cambria" w:eastAsia="Cambria" w:hAnsi="Cambria"/>
          <w:b w:val="false"/>
          <w:bCs w:val="false"/>
          <w:i/>
          <w:iCs/>
          <w:strike w:val="false"/>
          <w:color w:val="333333"/>
          <w:sz w:val="21"/>
          <w:szCs w:val="21"/>
        </w:rPr>
        <w:t xml:space="preserve">NOTE: The full scope of ONE Industries' operational domain has not been finalized at the time of this draft. This Charter preserves the entity's collection authority within the above framework and defers further scope definition to Architect ratification.</w:t>
      </w:r>
    </w:p>
    <w:p>
      <w:pPr>
        <w:pStyle w:val="Heading3"/>
        <w:spacing w:after="80" w:before="280" w:line="384" w:lineRule="auto"/>
      </w:pPr>
      <w:r>
        <w:rPr>
          <w:rFonts w:ascii="Cambria" w:cs="Cambria" w:eastAsia="Cambria" w:hAnsi="Cambria"/>
          <w:color w:val="000000"/>
          <w:sz w:val="23"/>
          <w:szCs w:val="23"/>
        </w:rPr>
        <w:t xml:space="preserve">3.4 Lewis Corp</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Lewis Corp's active collection scope encompasses: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 Corporate governance, stewardship, and audit information across all governed entities;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(b) Cross-organizational authority records, including ratification histories, exclusion determinations, and utilization authorizations;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(c) Compliance, accountability, and chain-of-authority documentation;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(d) Strategic and executive-level information relevant to cross-entity governance decisions;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(e) Information pertaining to the integrity of the ONESTAMP ratification process and related instruments.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Lewis Corp serves as the cross-organizational audit authority. Its collection scope includes information about the other entities' collection, admission, and utilization activities to the extent necessary for audit and governance functions.</w:t>
      </w:r>
    </w:p>
    <w:p>
      <w:pPr>
        <w:pStyle w:val="Heading3"/>
        <w:spacing w:after="80" w:before="280" w:line="384" w:lineRule="auto"/>
      </w:pPr>
      <w:r>
        <w:rPr>
          <w:rFonts w:ascii="Cambria" w:cs="Cambria" w:eastAsia="Cambria" w:hAnsi="Cambria"/>
          <w:color w:val="000000"/>
          <w:sz w:val="23"/>
          <w:szCs w:val="23"/>
        </w:rPr>
        <w:t xml:space="preserve">3.5 Cross-Entity Sharing</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Information may be shared across the three entities subject to:</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 The originating entity's authorized utilization scope for the relevant information;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(b) The receiving entity's authorized collection and utilization scope;</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(c) Any applicable exclusion determination limiting cross-entity routing.</w:t>
      </w:r>
    </w:p>
    <w:p>
      <w:pPr>
        <w:pStyle w:val="Heading2"/>
        <w:spacing w:after="100" w:before="440" w:line="384" w:lineRule="auto"/>
      </w:pPr>
      <w:r>
        <w:rPr>
          <w:rFonts w:ascii="Cambria" w:cs="Cambria" w:eastAsia="Cambria" w:hAnsi="Cambria"/>
          <w:color w:val="000000"/>
          <w:spacing w:val="8"/>
          <w:sz w:val="23"/>
          <w:szCs w:val="23"/>
        </w:rPr>
        <w:t xml:space="preserve">ARTICLE IV — AUTHORIZED UTILIZATION</w:t>
      </w:r>
    </w:p>
    <w:p>
      <w:pPr>
        <w:pBdr>
          <w:top w:val="single" w:color="000000" w:sz="6"/>
        </w:pBdr>
        <w:spacing w:after="200" w:before="0"/>
      </w:pPr>
    </w:p>
    <w:p>
      <w:pPr>
        <w:pStyle w:val="Heading3"/>
        <w:spacing w:after="80" w:before="280" w:line="384" w:lineRule="auto"/>
      </w:pPr>
      <w:r>
        <w:rPr>
          <w:rFonts w:ascii="Cambria" w:cs="Cambria" w:eastAsia="Cambria" w:hAnsi="Cambria"/>
          <w:color w:val="000000"/>
          <w:sz w:val="23"/>
          <w:szCs w:val="23"/>
        </w:rPr>
        <w:t xml:space="preserve">4.1 General Principle</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Admission is not utilization. Information admitted under Article II may not be applied to a purpose unless that purpose falls within the authorized utilization scope of the entity seeking to use it and within the Progressive Utilization Tier to which the information has been assigned or elevated.</w:t>
      </w:r>
    </w:p>
    <w:p>
      <w:pPr>
        <w:pStyle w:val="Heading3"/>
        <w:spacing w:after="80" w:before="280" w:line="384" w:lineRule="auto"/>
      </w:pPr>
      <w:r>
        <w:rPr>
          <w:rFonts w:ascii="Cambria" w:cs="Cambria" w:eastAsia="Cambria" w:hAnsi="Cambria"/>
          <w:color w:val="000000"/>
          <w:sz w:val="23"/>
          <w:szCs w:val="23"/>
        </w:rPr>
        <w:t xml:space="preserve">4.2 Universal Authorized Purposes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following purposes are authorized for all three governed entities, subject to tier assignment:</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 Archival retention and cataloguing;</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(b) Pattern recognition, anomaly detection, and comparative analysis;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(c) Situational awareness and environmental modeling;</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(d) Contingency development and resilience planning;</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(e) Historical reconstruction and event-space mapping;</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(f) Capability assessment and optimization;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(g) System improvement and operational refinement;</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(h) Adaptation Protocol support;</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(i) Evolutionary Protocol support, subject to Tier 5 authorization as specified in Article V.</w:t>
      </w:r>
    </w:p>
    <w:p>
      <w:pPr>
        <w:pStyle w:val="Heading3"/>
        <w:spacing w:after="80" w:before="280" w:line="384" w:lineRule="auto"/>
      </w:pPr>
      <w:r>
        <w:rPr>
          <w:rFonts w:ascii="Cambria" w:cs="Cambria" w:eastAsia="Cambria" w:hAnsi="Cambria"/>
          <w:color w:val="000000"/>
          <w:sz w:val="23"/>
          <w:szCs w:val="23"/>
        </w:rPr>
        <w:t xml:space="preserve">4.3 Entity-Specific Authorized Purposes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 </w:t>
      </w:r>
      <w:r>
        <w:rPr>
          <w:rFonts w:ascii="Cambria" w:cs="Cambria" w:eastAsia="Cambria" w:hAnsi="Cambria"/>
          <w:b/>
          <w:bCs/>
          <w:i w:val="false"/>
          <w:iCs w:val="false"/>
          <w:strike w:val="false"/>
          <w:color w:val="000000"/>
          <w:sz w:val="23"/>
          <w:szCs w:val="23"/>
        </w:rPr>
        <w:t xml:space="preserve">OAL:</w:t>
      </w:r>
      <w:r>
        <w:rPr>
          <w:rFonts w:ascii="Cambria" w:cs="Cambria" w:eastAsia="Cambria" w:hAnsi="Cambria"/>
          <w:b w:val="false"/>
          <w:bCs w:val="false"/>
          <w:i w:val="false"/>
          <w:iCs w:val="false"/>
          <w:strike w:val="false"/>
          <w:color w:val="000000"/>
          <w:sz w:val="23"/>
          <w:szCs w:val="23"/>
        </w:rPr>
        <w:t xml:space="preserve"> Ontological classification; simulation governance; architectural design; foundational system state management; event-space research; Total Event Closure analysis; cross-entity admissibility oversight.</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(b) </w:t>
      </w:r>
      <w:r>
        <w:rPr>
          <w:rFonts w:ascii="Cambria" w:cs="Cambria" w:eastAsia="Cambria" w:hAnsi="Cambria"/>
          <w:b/>
          <w:bCs/>
          <w:i w:val="false"/>
          <w:iCs w:val="false"/>
          <w:strike w:val="false"/>
          <w:color w:val="000000"/>
          <w:sz w:val="23"/>
          <w:szCs w:val="23"/>
        </w:rPr>
        <w:t xml:space="preserve">ONE Industries:</w:t>
      </w:r>
      <w:r>
        <w:rPr>
          <w:rFonts w:ascii="Cambria" w:cs="Cambria" w:eastAsia="Cambria" w:hAnsi="Cambria"/>
          <w:b w:val="false"/>
          <w:bCs w:val="false"/>
          <w:i w:val="false"/>
          <w:iCs w:val="false"/>
          <w:strike w:val="false"/>
          <w:color w:val="000000"/>
          <w:sz w:val="23"/>
          <w:szCs w:val="23"/>
        </w:rPr>
        <w:t xml:space="preserve"> Engineering design and iteration; deployment planning; integration testing; operational capability development; environmental adaptation for deployment contexts.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(c) </w:t>
      </w:r>
      <w:r>
        <w:rPr>
          <w:rFonts w:ascii="Cambria" w:cs="Cambria" w:eastAsia="Cambria" w:hAnsi="Cambria"/>
          <w:b/>
          <w:bCs/>
          <w:i w:val="false"/>
          <w:iCs w:val="false"/>
          <w:strike w:val="false"/>
          <w:color w:val="000000"/>
          <w:sz w:val="23"/>
          <w:szCs w:val="23"/>
        </w:rPr>
        <w:t xml:space="preserve">Lewis Corp:</w:t>
      </w:r>
      <w:r>
        <w:rPr>
          <w:rFonts w:ascii="Cambria" w:cs="Cambria" w:eastAsia="Cambria" w:hAnsi="Cambria"/>
          <w:b w:val="false"/>
          <w:bCs w:val="false"/>
          <w:i w:val="false"/>
          <w:iCs w:val="false"/>
          <w:strike w:val="false"/>
          <w:color w:val="000000"/>
          <w:sz w:val="23"/>
          <w:szCs w:val="23"/>
        </w:rPr>
        <w:t xml:space="preserve"> Governance audit; ratification history maintenance; cross-entity authority oversight; stewardship reporting; ONESTAMP process integrity monitoring.</w:t>
      </w:r>
    </w:p>
    <w:p>
      <w:pPr>
        <w:pStyle w:val="Heading3"/>
        <w:spacing w:after="80" w:before="280" w:line="384" w:lineRule="auto"/>
      </w:pPr>
      <w:r>
        <w:rPr>
          <w:rFonts w:ascii="Cambria" w:cs="Cambria" w:eastAsia="Cambria" w:hAnsi="Cambria"/>
          <w:color w:val="000000"/>
          <w:sz w:val="23"/>
          <w:szCs w:val="23"/>
        </w:rPr>
        <w:t xml:space="preserve">4.4 Future Purposes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Information shall not be deemed permanently irrelevant or permanently restricted to passive retention solely because no present authorized purpose has been identified. Retrospective Relevance (Article I, Section 1.12) is a recognized basis for future utilization elevation, subject to applicable tier review.</w:t>
      </w:r>
    </w:p>
    <w:p>
      <w:pPr>
        <w:pStyle w:val="Heading2"/>
        <w:spacing w:after="100" w:before="440" w:line="384" w:lineRule="auto"/>
      </w:pPr>
      <w:r>
        <w:rPr>
          <w:rFonts w:ascii="Cambria" w:cs="Cambria" w:eastAsia="Cambria" w:hAnsi="Cambria"/>
          <w:color w:val="000000"/>
          <w:spacing w:val="8"/>
          <w:sz w:val="23"/>
          <w:szCs w:val="23"/>
        </w:rPr>
        <w:t xml:space="preserve">ARTICLE V — PROGRESSIVE UTILIZATION TIER FRAMEWORK</w:t>
      </w:r>
    </w:p>
    <w:p>
      <w:pPr>
        <w:pBdr>
          <w:top w:val="single" w:color="000000" w:sz="6"/>
        </w:pBdr>
        <w:spacing w:after="200" w:before="0"/>
      </w:pPr>
    </w:p>
    <w:p>
      <w:pPr>
        <w:pStyle w:val="Heading3"/>
        <w:spacing w:after="80" w:before="280" w:line="384" w:lineRule="auto"/>
      </w:pPr>
      <w:r>
        <w:rPr>
          <w:rFonts w:ascii="Cambria" w:cs="Cambria" w:eastAsia="Cambria" w:hAnsi="Cambria"/>
          <w:color w:val="000000"/>
          <w:sz w:val="23"/>
          <w:szCs w:val="23"/>
        </w:rPr>
        <w:t xml:space="preserve">5.1 Overview</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Admitted information is assigned to a utilization tier that governs the range of purposes to which it may currently be applied. Tier assignment is not permanent; information may be elevated to a higher tier through the review process specified in this Article.</w:t>
      </w:r>
    </w:p>
    <w:p>
      <w:pPr>
        <w:pStyle w:val="Heading3"/>
        <w:spacing w:after="80" w:before="280" w:line="384" w:lineRule="auto"/>
      </w:pPr>
      <w:r>
        <w:rPr>
          <w:rFonts w:ascii="Cambria" w:cs="Cambria" w:eastAsia="Cambria" w:hAnsi="Cambria"/>
          <w:color w:val="000000"/>
          <w:sz w:val="23"/>
          <w:szCs w:val="23"/>
        </w:rPr>
        <w:t xml:space="preserve">5.2 The Five Tiers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3"/>
                <w:szCs w:val="23"/>
              </w:rPr>
              <w:t xml:space="preserve">Tier</w:t>
            </w:r>
          </w:p>
        </w:tc>
        <w:tc>
          <w:tcPr>
            <w:tcW w:type="pct" w:w="50%"/>
            <w:shd w:fill="F0F0F0"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3"/>
                <w:szCs w:val="23"/>
              </w:rPr>
              <w:t xml:space="preserve">Definition and Authorized Scope</w:t>
            </w:r>
          </w:p>
        </w:tc>
      </w:tr>
      <w:tr>
        <w:trPr>
          <w:tblHeader w:val="false"/>
        </w:trPr>
        <w:tc>
          <w:tcPr>
            <w:tcW w:type="pct" w:w="50%"/>
            <w:shd w:fill="FFFFFF"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3"/>
                <w:szCs w:val="23"/>
              </w:rPr>
              <w:t xml:space="preserve">Tier 1</w:t>
            </w:r>
            <w:r>
              <w:rPr>
                <w:rFonts w:ascii="Cambria" w:cs="Cambria" w:eastAsia="Cambria" w:hAnsi="Cambria"/>
                <w:b w:val="false"/>
                <w:bCs w:val="false"/>
                <w:i w:val="false"/>
                <w:iCs w:val="false"/>
                <w:color w:val="000000"/>
                <w:sz w:val="23"/>
                <w:szCs w:val="23"/>
              </w:rPr>
              <w:t xml:space="preserve">
</w:t>
            </w:r>
            <w:r>
              <w:rPr>
                <w:rFonts w:ascii="Cambria" w:cs="Cambria" w:eastAsia="Cambria" w:hAnsi="Cambria"/>
                <w:b w:val="false"/>
                <w:bCs w:val="false"/>
                <w:i w:val="false"/>
                <w:iCs w:val="false"/>
                <w:strike w:val="false"/>
                <w:color w:val="000000"/>
                <w:sz w:val="23"/>
                <w:szCs w:val="23"/>
              </w:rPr>
              <w:t xml:space="preserve">Passive Retention</w:t>
            </w:r>
          </w:p>
        </w:tc>
        <w:tc>
          <w:tcPr>
            <w:tcW w:type="pct" w:w="50%"/>
            <w:shd w:fill="FFFFFF" w:color="auto" w:val="clear"/>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3"/>
                <w:szCs w:val="23"/>
              </w:rPr>
              <w:t xml:space="preserve">Information is admitted and retained but not actively applied to any operational purpose. Default assignment for newly admitted information pending tier review.</w:t>
            </w:r>
          </w:p>
        </w:tc>
      </w:tr>
      <w:tr>
        <w:trPr>
          <w:tblHeader w:val="false"/>
        </w:trPr>
        <w:tc>
          <w:tcPr>
            <w:tcW w:type="pct" w:w="50%"/>
            <w:shd w:fill="FFFFFF"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3"/>
                <w:szCs w:val="23"/>
              </w:rPr>
              <w:t xml:space="preserve">Tier 2</w:t>
            </w:r>
            <w:r>
              <w:rPr>
                <w:rFonts w:ascii="Cambria" w:cs="Cambria" w:eastAsia="Cambria" w:hAnsi="Cambria"/>
                <w:b w:val="false"/>
                <w:bCs w:val="false"/>
                <w:i w:val="false"/>
                <w:iCs w:val="false"/>
                <w:color w:val="000000"/>
                <w:sz w:val="23"/>
                <w:szCs w:val="23"/>
              </w:rPr>
              <w:t xml:space="preserve">
</w:t>
            </w:r>
            <w:r>
              <w:rPr>
                <w:rFonts w:ascii="Cambria" w:cs="Cambria" w:eastAsia="Cambria" w:hAnsi="Cambria"/>
                <w:b w:val="false"/>
                <w:bCs w:val="false"/>
                <w:i w:val="false"/>
                <w:iCs w:val="false"/>
                <w:strike w:val="false"/>
                <w:color w:val="000000"/>
                <w:sz w:val="23"/>
                <w:szCs w:val="23"/>
              </w:rPr>
              <w:t xml:space="preserve">Observational Use</w:t>
            </w:r>
          </w:p>
        </w:tc>
        <w:tc>
          <w:tcPr>
            <w:tcW w:type="pct" w:w="50%"/>
            <w:shd w:fill="FFFFFF" w:color="auto" w:val="clear"/>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3"/>
                <w:szCs w:val="23"/>
              </w:rPr>
              <w:t xml:space="preserve">Information may be used for pattern recognition, anomaly detection, situational awareness, and similar read-only analytical functions. No operational action may be derived solely from Tier 2 information.</w:t>
            </w:r>
          </w:p>
        </w:tc>
      </w:tr>
      <w:tr>
        <w:trPr>
          <w:tblHeader w:val="false"/>
        </w:trPr>
        <w:tc>
          <w:tcPr>
            <w:tcW w:type="pct" w:w="50%"/>
            <w:shd w:fill="FFFFFF"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3"/>
                <w:szCs w:val="23"/>
              </w:rPr>
              <w:t xml:space="preserve">Tier 3</w:t>
            </w:r>
            <w:r>
              <w:rPr>
                <w:rFonts w:ascii="Cambria" w:cs="Cambria" w:eastAsia="Cambria" w:hAnsi="Cambria"/>
                <w:b w:val="false"/>
                <w:bCs w:val="false"/>
                <w:i w:val="false"/>
                <w:iCs w:val="false"/>
                <w:color w:val="000000"/>
                <w:sz w:val="23"/>
                <w:szCs w:val="23"/>
              </w:rPr>
              <w:t xml:space="preserve">
</w:t>
            </w:r>
            <w:r>
              <w:rPr>
                <w:rFonts w:ascii="Cambria" w:cs="Cambria" w:eastAsia="Cambria" w:hAnsi="Cambria"/>
                <w:b w:val="false"/>
                <w:bCs w:val="false"/>
                <w:i w:val="false"/>
                <w:iCs w:val="false"/>
                <w:strike w:val="false"/>
                <w:color w:val="000000"/>
                <w:sz w:val="23"/>
                <w:szCs w:val="23"/>
              </w:rPr>
              <w:t xml:space="preserve">Operational Reference</w:t>
            </w:r>
          </w:p>
        </w:tc>
        <w:tc>
          <w:tcPr>
            <w:tcW w:type="pct" w:w="50%"/>
            <w:shd w:fill="FFFFFF" w:color="auto" w:val="clear"/>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3"/>
                <w:szCs w:val="23"/>
              </w:rPr>
              <w:t xml:space="preserve">Information may inform active operational decisions, contingency planning, and capability assessments. May be cross-referenced with other admitted information. May support but not independently drive system action.</w:t>
            </w:r>
          </w:p>
        </w:tc>
      </w:tr>
      <w:tr>
        <w:trPr>
          <w:tblHeader w:val="false"/>
        </w:trPr>
        <w:tc>
          <w:tcPr>
            <w:tcW w:type="pct" w:w="50%"/>
            <w:shd w:fill="FFFFFF"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3"/>
                <w:szCs w:val="23"/>
              </w:rPr>
              <w:t xml:space="preserve">Tier 4</w:t>
            </w:r>
            <w:r>
              <w:rPr>
                <w:rFonts w:ascii="Cambria" w:cs="Cambria" w:eastAsia="Cambria" w:hAnsi="Cambria"/>
                <w:b w:val="false"/>
                <w:bCs w:val="false"/>
                <w:i w:val="false"/>
                <w:iCs w:val="false"/>
                <w:color w:val="000000"/>
                <w:sz w:val="23"/>
                <w:szCs w:val="23"/>
              </w:rPr>
              <w:t xml:space="preserve">
</w:t>
            </w:r>
            <w:r>
              <w:rPr>
                <w:rFonts w:ascii="Cambria" w:cs="Cambria" w:eastAsia="Cambria" w:hAnsi="Cambria"/>
                <w:b w:val="false"/>
                <w:bCs w:val="false"/>
                <w:i w:val="false"/>
                <w:iCs w:val="false"/>
                <w:strike w:val="false"/>
                <w:color w:val="000000"/>
                <w:sz w:val="23"/>
                <w:szCs w:val="23"/>
              </w:rPr>
              <w:t xml:space="preserve">Adaptive Application</w:t>
            </w:r>
          </w:p>
        </w:tc>
        <w:tc>
          <w:tcPr>
            <w:tcW w:type="pct" w:w="50%"/>
            <w:shd w:fill="FFFFFF" w:color="auto" w:val="clear"/>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3"/>
                <w:szCs w:val="23"/>
              </w:rPr>
              <w:t xml:space="preserve">Information may be used to adjust system behavior, refine operational parameters, and inform real-time adaptation decisions. This tier authorizes active use in Adaptation Protocol functions.</w:t>
            </w:r>
          </w:p>
        </w:tc>
      </w:tr>
      <w:tr>
        <w:trPr>
          <w:tblHeader w:val="false"/>
        </w:trPr>
        <w:tc>
          <w:tcPr>
            <w:tcW w:type="pct" w:w="50%"/>
            <w:shd w:fill="FFFFFF" w:color="auto" w:val="clear"/>
            <w:tcMar>
              <w:top w:type="dxa" w:w="90"/>
              <w:left w:type="dxa" w:w="150"/>
              <w:bottom w:type="dxa" w:w="90"/>
              <w:right w:type="dxa" w:w="150"/>
            </w:tcMar>
          </w:tcPr>
          <w:p>
            <w:r>
              <w:rPr>
                <w:rFonts w:ascii="Cambria" w:cs="Cambria" w:eastAsia="Cambria" w:hAnsi="Cambria"/>
                <w:b/>
                <w:bCs/>
                <w:i w:val="false"/>
                <w:iCs w:val="false"/>
                <w:strike w:val="false"/>
                <w:color w:val="000000"/>
                <w:sz w:val="23"/>
                <w:szCs w:val="23"/>
              </w:rPr>
              <w:t xml:space="preserve">Tier 5</w:t>
            </w:r>
            <w:r>
              <w:rPr>
                <w:rFonts w:ascii="Cambria" w:cs="Cambria" w:eastAsia="Cambria" w:hAnsi="Cambria"/>
                <w:b w:val="false"/>
                <w:bCs w:val="false"/>
                <w:i w:val="false"/>
                <w:iCs w:val="false"/>
                <w:color w:val="000000"/>
                <w:sz w:val="23"/>
                <w:szCs w:val="23"/>
              </w:rPr>
              <w:t xml:space="preserve">
</w:t>
            </w:r>
            <w:r>
              <w:rPr>
                <w:rFonts w:ascii="Cambria" w:cs="Cambria" w:eastAsia="Cambria" w:hAnsi="Cambria"/>
                <w:b w:val="false"/>
                <w:bCs w:val="false"/>
                <w:i w:val="false"/>
                <w:iCs w:val="false"/>
                <w:strike w:val="false"/>
                <w:color w:val="000000"/>
                <w:sz w:val="23"/>
                <w:szCs w:val="23"/>
              </w:rPr>
              <w:t xml:space="preserve">Evolutionary Incorporation</w:t>
            </w:r>
          </w:p>
        </w:tc>
        <w:tc>
          <w:tcPr>
            <w:tcW w:type="pct" w:w="50%"/>
            <w:shd w:fill="FFFFFF" w:color="auto" w:val="clear"/>
            <w:tcMar>
              <w:top w:type="dxa" w:w="90"/>
              <w:left w:type="dxa" w:w="150"/>
              <w:bottom w:type="dxa" w:w="90"/>
              <w:right w:type="dxa" w:w="150"/>
            </w:tcMar>
          </w:tcPr>
          <w:p>
            <w:r>
              <w:rPr>
                <w:rFonts w:ascii="Cambria" w:cs="Cambria" w:eastAsia="Cambria" w:hAnsi="Cambria"/>
                <w:b w:val="false"/>
                <w:bCs w:val="false"/>
                <w:i w:val="false"/>
                <w:iCs w:val="false"/>
                <w:strike w:val="false"/>
                <w:color w:val="000000"/>
                <w:sz w:val="23"/>
                <w:szCs w:val="23"/>
              </w:rPr>
              <w:t xml:space="preserve">Information may influence the future behavioral, architectural, or adaptive trajectory of the system, including successor system states. This is the tier at which information shapes the Evolutionary Protocol. </w:t>
            </w:r>
            <w:r>
              <w:rPr>
                <w:rFonts w:ascii="Cambria" w:cs="Cambria" w:eastAsia="Cambria" w:hAnsi="Cambria"/>
                <w:b/>
                <w:bCs/>
                <w:i w:val="false"/>
                <w:iCs w:val="false"/>
                <w:strike w:val="false"/>
                <w:color w:val="000000"/>
                <w:sz w:val="23"/>
                <w:szCs w:val="23"/>
              </w:rPr>
              <w:t xml:space="preserve">Tier 5 designation requires explicit review and authorization as specified in Section 5.3.</w:t>
            </w:r>
          </w:p>
        </w:tc>
      </w:tr>
    </w:tbl>
    <w:p>
      <w:pPr>
        <w:spacing w:after="200" w:before="0"/>
      </w:pPr>
    </w:p>
    <w:p>
      <w:pPr>
        <w:pStyle w:val="Heading3"/>
        <w:spacing w:after="80" w:before="280" w:line="384" w:lineRule="auto"/>
      </w:pPr>
      <w:r>
        <w:rPr>
          <w:rFonts w:ascii="Cambria" w:cs="Cambria" w:eastAsia="Cambria" w:hAnsi="Cambria"/>
          <w:color w:val="000000"/>
          <w:sz w:val="23"/>
          <w:szCs w:val="23"/>
        </w:rPr>
        <w:t xml:space="preserve">5.3 Tier Elevation Review</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Elevation from any tier to a higher tier, and in particular elevation to Tier 5, is a governed determination. Review authority for tier elevation shall be established by entity-specific protocol, subject to ONESTAMP oversight. Tier elevation determinations shall be documented in the applicable entity's admission and utilization register.</w:t>
      </w:r>
    </w:p>
    <w:p>
      <w:pPr>
        <w:pStyle w:val="Heading3"/>
        <w:spacing w:after="80" w:before="280" w:line="384" w:lineRule="auto"/>
      </w:pPr>
      <w:r>
        <w:rPr>
          <w:rFonts w:ascii="Cambria" w:cs="Cambria" w:eastAsia="Cambria" w:hAnsi="Cambria"/>
          <w:color w:val="000000"/>
          <w:sz w:val="23"/>
          <w:szCs w:val="23"/>
        </w:rPr>
        <w:t xml:space="preserve">5.4 Default Tier Assignment</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Newly admitted information is assigned to Tier 1 by default. Tier review may occur at any time. No minimum dwell time at any tier is required before elevation review; however, elevation is not automatic.</w:t>
      </w:r>
    </w:p>
    <w:p>
      <w:pPr>
        <w:pStyle w:val="Heading2"/>
        <w:spacing w:after="100" w:before="440" w:line="384" w:lineRule="auto"/>
      </w:pPr>
      <w:r>
        <w:rPr>
          <w:rFonts w:ascii="Cambria" w:cs="Cambria" w:eastAsia="Cambria" w:hAnsi="Cambria"/>
          <w:color w:val="000000"/>
          <w:spacing w:val="8"/>
          <w:sz w:val="23"/>
          <w:szCs w:val="23"/>
        </w:rPr>
        <w:t xml:space="preserve">ARTICLE VI — EXCLUSION PROVISIONS</w:t>
      </w:r>
    </w:p>
    <w:p>
      <w:pPr>
        <w:pBdr>
          <w:top w:val="single" w:color="000000" w:sz="6"/>
        </w:pBdr>
        <w:spacing w:after="200" w:before="0"/>
      </w:pPr>
    </w:p>
    <w:p>
      <w:pPr>
        <w:pStyle w:val="Heading3"/>
        <w:spacing w:after="80" w:before="280" w:line="384" w:lineRule="auto"/>
      </w:pPr>
      <w:r>
        <w:rPr>
          <w:rFonts w:ascii="Cambria" w:cs="Cambria" w:eastAsia="Cambria" w:hAnsi="Cambria"/>
          <w:color w:val="000000"/>
          <w:sz w:val="23"/>
          <w:szCs w:val="23"/>
        </w:rPr>
        <w:t xml:space="preserve">6.1 Exclusion Is Not the Default</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No information is presumptively excluded. Exclusion is an affirmative, review-bound exception to the universal admissibility presumption established in Article II. The absence of an explicit exclusion determination means the universal admissibility presumption governs.</w:t>
      </w:r>
    </w:p>
    <w:p>
      <w:pPr>
        <w:pStyle w:val="Heading3"/>
        <w:spacing w:after="80" w:before="280" w:line="384" w:lineRule="auto"/>
      </w:pPr>
      <w:r>
        <w:rPr>
          <w:rFonts w:ascii="Cambria" w:cs="Cambria" w:eastAsia="Cambria" w:hAnsi="Cambria"/>
          <w:color w:val="000000"/>
          <w:sz w:val="23"/>
          <w:szCs w:val="23"/>
        </w:rPr>
        <w:t xml:space="preserve">6.2 Types of Exclusion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Exclusions may be scoped to one or more of the following stages independently: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 </w:t>
      </w:r>
      <w:r>
        <w:rPr>
          <w:rFonts w:ascii="Cambria" w:cs="Cambria" w:eastAsia="Cambria" w:hAnsi="Cambria"/>
          <w:b/>
          <w:bCs/>
          <w:i w:val="false"/>
          <w:iCs w:val="false"/>
          <w:strike w:val="false"/>
          <w:color w:val="000000"/>
          <w:sz w:val="23"/>
          <w:szCs w:val="23"/>
        </w:rPr>
        <w:t xml:space="preserve">Admission Exclusion</w:t>
      </w:r>
      <w:r>
        <w:rPr>
          <w:rFonts w:ascii="Cambria" w:cs="Cambria" w:eastAsia="Cambria" w:hAnsi="Cambria"/>
          <w:b w:val="false"/>
          <w:bCs w:val="false"/>
          <w:i w:val="false"/>
          <w:iCs w:val="false"/>
          <w:strike w:val="false"/>
          <w:color w:val="000000"/>
          <w:sz w:val="23"/>
          <w:szCs w:val="23"/>
        </w:rPr>
        <w:t xml:space="preserve"> — the specified information shall not enter the system's field of consideration;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(b) </w:t>
      </w:r>
      <w:r>
        <w:rPr>
          <w:rFonts w:ascii="Cambria" w:cs="Cambria" w:eastAsia="Cambria" w:hAnsi="Cambria"/>
          <w:b/>
          <w:bCs/>
          <w:i w:val="false"/>
          <w:iCs w:val="false"/>
          <w:strike w:val="false"/>
          <w:color w:val="000000"/>
          <w:sz w:val="23"/>
          <w:szCs w:val="23"/>
        </w:rPr>
        <w:t xml:space="preserve">Retention Exclusion</w:t>
      </w:r>
      <w:r>
        <w:rPr>
          <w:rFonts w:ascii="Cambria" w:cs="Cambria" w:eastAsia="Cambria" w:hAnsi="Cambria"/>
          <w:b w:val="false"/>
          <w:bCs w:val="false"/>
          <w:i w:val="false"/>
          <w:iCs w:val="false"/>
          <w:strike w:val="false"/>
          <w:color w:val="000000"/>
          <w:sz w:val="23"/>
          <w:szCs w:val="23"/>
        </w:rPr>
        <w:t xml:space="preserve"> — the specified information may be admitted but shall not be retained beyond a defined window;</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(c) </w:t>
      </w:r>
      <w:r>
        <w:rPr>
          <w:rFonts w:ascii="Cambria" w:cs="Cambria" w:eastAsia="Cambria" w:hAnsi="Cambria"/>
          <w:b/>
          <w:bCs/>
          <w:i w:val="false"/>
          <w:iCs w:val="false"/>
          <w:strike w:val="false"/>
          <w:color w:val="000000"/>
          <w:sz w:val="23"/>
          <w:szCs w:val="23"/>
        </w:rPr>
        <w:t xml:space="preserve">Utilization Exclusion</w:t>
      </w:r>
      <w:r>
        <w:rPr>
          <w:rFonts w:ascii="Cambria" w:cs="Cambria" w:eastAsia="Cambria" w:hAnsi="Cambria"/>
          <w:b w:val="false"/>
          <w:bCs w:val="false"/>
          <w:i w:val="false"/>
          <w:iCs w:val="false"/>
          <w:strike w:val="false"/>
          <w:color w:val="000000"/>
          <w:sz w:val="23"/>
          <w:szCs w:val="23"/>
        </w:rPr>
        <w:t xml:space="preserve"> — the specified information may be admitted and retained but may not be applied to one or more authorized purposes;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(d) </w:t>
      </w:r>
      <w:r>
        <w:rPr>
          <w:rFonts w:ascii="Cambria" w:cs="Cambria" w:eastAsia="Cambria" w:hAnsi="Cambria"/>
          <w:b/>
          <w:bCs/>
          <w:i w:val="false"/>
          <w:iCs w:val="false"/>
          <w:strike w:val="false"/>
          <w:color w:val="000000"/>
          <w:sz w:val="23"/>
          <w:szCs w:val="23"/>
        </w:rPr>
        <w:t xml:space="preserve">Tier Ceiling</w:t>
      </w:r>
      <w:r>
        <w:rPr>
          <w:rFonts w:ascii="Cambria" w:cs="Cambria" w:eastAsia="Cambria" w:hAnsi="Cambria"/>
          <w:b w:val="false"/>
          <w:bCs w:val="false"/>
          <w:i w:val="false"/>
          <w:iCs w:val="false"/>
          <w:strike w:val="false"/>
          <w:color w:val="000000"/>
          <w:sz w:val="23"/>
          <w:szCs w:val="23"/>
        </w:rPr>
        <w:t xml:space="preserve"> — the specified information may not be elevated beyond a designated tier, regardless of future review;</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(e) </w:t>
      </w:r>
      <w:r>
        <w:rPr>
          <w:rFonts w:ascii="Cambria" w:cs="Cambria" w:eastAsia="Cambria" w:hAnsi="Cambria"/>
          <w:b/>
          <w:bCs/>
          <w:i w:val="false"/>
          <w:iCs w:val="false"/>
          <w:strike w:val="false"/>
          <w:color w:val="000000"/>
          <w:sz w:val="23"/>
          <w:szCs w:val="23"/>
        </w:rPr>
        <w:t xml:space="preserve">Cross-Entity Routing Exclusion</w:t>
      </w:r>
      <w:r>
        <w:rPr>
          <w:rFonts w:ascii="Cambria" w:cs="Cambria" w:eastAsia="Cambria" w:hAnsi="Cambria"/>
          <w:b w:val="false"/>
          <w:bCs w:val="false"/>
          <w:i w:val="false"/>
          <w:iCs w:val="false"/>
          <w:strike w:val="false"/>
          <w:color w:val="000000"/>
          <w:sz w:val="23"/>
          <w:szCs w:val="23"/>
        </w:rPr>
        <w:t xml:space="preserve"> — the specified information may not be shared with one or more of the other governed entities;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(f) </w:t>
      </w:r>
      <w:r>
        <w:rPr>
          <w:rFonts w:ascii="Cambria" w:cs="Cambria" w:eastAsia="Cambria" w:hAnsi="Cambria"/>
          <w:b/>
          <w:bCs/>
          <w:i w:val="false"/>
          <w:iCs w:val="false"/>
          <w:strike w:val="false"/>
          <w:color w:val="000000"/>
          <w:sz w:val="23"/>
          <w:szCs w:val="23"/>
        </w:rPr>
        <w:t xml:space="preserve">Evolutionary Exclusion</w:t>
      </w:r>
      <w:r>
        <w:rPr>
          <w:rFonts w:ascii="Cambria" w:cs="Cambria" w:eastAsia="Cambria" w:hAnsi="Cambria"/>
          <w:b w:val="false"/>
          <w:bCs w:val="false"/>
          <w:i w:val="false"/>
          <w:iCs w:val="false"/>
          <w:strike w:val="false"/>
          <w:color w:val="000000"/>
          <w:sz w:val="23"/>
          <w:szCs w:val="23"/>
        </w:rPr>
        <w:t xml:space="preserve"> — the specified information may not be elevated to Tier 5 and may not influence the Evolutionary Protocol or any successor system state.</w:t>
      </w:r>
    </w:p>
    <w:p>
      <w:pPr>
        <w:pStyle w:val="Heading3"/>
        <w:spacing w:after="80" w:before="280" w:line="384" w:lineRule="auto"/>
      </w:pPr>
      <w:r>
        <w:rPr>
          <w:rFonts w:ascii="Cambria" w:cs="Cambria" w:eastAsia="Cambria" w:hAnsi="Cambria"/>
          <w:color w:val="000000"/>
          <w:sz w:val="23"/>
          <w:szCs w:val="23"/>
        </w:rPr>
        <w:t xml:space="preserve">6.3 Exclusion Request and Review Process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Any exclusion determination must be:</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 Specifically and explicitly requested by an authorized party;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(b) Accompanied by demonstrable justification for the requested exclusion scope;</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(c) Reviewed by the applicable review authority for the entity or entities involved;</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(d) Granted by formal determination prior to taking effect.</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Exclusions are not self-executing and do not arise automatically from the nature of the information or from any prior policy, instrument, or informal determination.</w:t>
      </w:r>
    </w:p>
    <w:p>
      <w:pPr>
        <w:pStyle w:val="Heading3"/>
        <w:spacing w:after="80" w:before="280" w:line="384" w:lineRule="auto"/>
      </w:pPr>
      <w:r>
        <w:rPr>
          <w:rFonts w:ascii="Cambria" w:cs="Cambria" w:eastAsia="Cambria" w:hAnsi="Cambria"/>
          <w:color w:val="000000"/>
          <w:sz w:val="23"/>
          <w:szCs w:val="23"/>
        </w:rPr>
        <w:t xml:space="preserve">6.4 Scope of Exclusion Determinations</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Exclusion determinations are specific to the scope granted. An Admission Exclusion does not automatically create a Utilization Exclusion for information already admitted; a Tier Ceiling does not automatically create a Cross-Entity Routing Exclusion. Each exclusion type must be specifically granted.</w:t>
      </w:r>
    </w:p>
    <w:p>
      <w:pPr>
        <w:pStyle w:val="Heading3"/>
        <w:spacing w:after="80" w:before="280" w:line="384" w:lineRule="auto"/>
      </w:pPr>
      <w:r>
        <w:rPr>
          <w:rFonts w:ascii="Cambria" w:cs="Cambria" w:eastAsia="Cambria" w:hAnsi="Cambria"/>
          <w:color w:val="000000"/>
          <w:sz w:val="23"/>
          <w:szCs w:val="23"/>
        </w:rPr>
        <w:t xml:space="preserve">6.5 Finality and Review Authority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Final exclusion determinations are binding upon grant. The review authority structure for exclusion determinations shall be established by entity-specific governance protocol. Cross-entity exclusion determinations affecting two or more governed entities are subject to Lewis Corp audit authority and, where applicable, ONESTAMP oversight.</w:t>
      </w:r>
    </w:p>
    <w:p>
      <w:pPr>
        <w:pStyle w:val="Heading3"/>
        <w:spacing w:after="80" w:before="280" w:line="384" w:lineRule="auto"/>
      </w:pPr>
      <w:r>
        <w:rPr>
          <w:rFonts w:ascii="Cambria" w:cs="Cambria" w:eastAsia="Cambria" w:hAnsi="Cambria"/>
          <w:color w:val="000000"/>
          <w:sz w:val="23"/>
          <w:szCs w:val="23"/>
        </w:rPr>
        <w:t xml:space="preserve">6.6 Modification and Revocation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Exclusion determinations may be modified or revoked through the same review process by which they were originally granted. A revoked exclusion restores the information or category to the universal admissibility presumption.</w:t>
      </w:r>
    </w:p>
    <w:p>
      <w:pPr>
        <w:pStyle w:val="Heading2"/>
        <w:spacing w:after="100" w:before="440" w:line="384" w:lineRule="auto"/>
      </w:pPr>
      <w:r>
        <w:rPr>
          <w:rFonts w:ascii="Cambria" w:cs="Cambria" w:eastAsia="Cambria" w:hAnsi="Cambria"/>
          <w:color w:val="000000"/>
          <w:spacing w:val="8"/>
          <w:sz w:val="23"/>
          <w:szCs w:val="23"/>
        </w:rPr>
        <w:t xml:space="preserve">ARTICLE VII — RELATIONSHIP TO BROADER ARCHITECTURE</w:t>
      </w:r>
    </w:p>
    <w:p>
      <w:pPr>
        <w:pBdr>
          <w:top w:val="single" w:color="000000" w:sz="6"/>
        </w:pBdr>
        <w:spacing w:after="200" w:before="0"/>
      </w:pPr>
    </w:p>
    <w:p>
      <w:pPr>
        <w:pStyle w:val="Heading3"/>
        <w:spacing w:after="80" w:before="280" w:line="384" w:lineRule="auto"/>
      </w:pPr>
      <w:r>
        <w:rPr>
          <w:rFonts w:ascii="Cambria" w:cs="Cambria" w:eastAsia="Cambria" w:hAnsi="Cambria"/>
          <w:color w:val="000000"/>
          <w:sz w:val="23"/>
          <w:szCs w:val="23"/>
        </w:rPr>
        <w:t xml:space="preserve">7.1 Total Event Closure Protocol and BTEC</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This Charter operates within and in support of the Total Event Closure Protocol (TECP) and Bidirectional Total Event Closure (BTEC) framework. Information arising from TECP and BTEC events is admissible under the universal presumption of this Charter. Nothing in this Charter alters the governing provisions of TECP or BTEC; where a conflict exists, the more specific instrument governs the specific event, and this Charter governs general admissibility and utilization absent specific TECP or BTEC provision.</w:t>
      </w:r>
    </w:p>
    <w:p>
      <w:pPr>
        <w:pStyle w:val="Heading3"/>
        <w:spacing w:after="80" w:before="280" w:line="384" w:lineRule="auto"/>
      </w:pPr>
      <w:r>
        <w:rPr>
          <w:rFonts w:ascii="Cambria" w:cs="Cambria" w:eastAsia="Cambria" w:hAnsi="Cambria"/>
          <w:color w:val="000000"/>
          <w:sz w:val="23"/>
          <w:szCs w:val="23"/>
        </w:rPr>
        <w:t xml:space="preserve">7.2 Adaptation Protocol</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This Charter provides the information architecture that supports the Adaptation Protocol. Admitted information assigned to Tier 3 or above is available for Adaptation Protocol functions as specified in Article V. The Adaptation Protocol's operational provisions govern how admitted information is applied within adaptation functions; this Charter governs what information is available for those functions.</w:t>
      </w:r>
    </w:p>
    <w:p>
      <w:pPr>
        <w:pStyle w:val="Heading3"/>
        <w:spacing w:after="80" w:before="280" w:line="384" w:lineRule="auto"/>
      </w:pPr>
      <w:r>
        <w:rPr>
          <w:rFonts w:ascii="Cambria" w:cs="Cambria" w:eastAsia="Cambria" w:hAnsi="Cambria"/>
          <w:color w:val="000000"/>
          <w:sz w:val="23"/>
          <w:szCs w:val="23"/>
        </w:rPr>
        <w:t xml:space="preserve">7.3 Evolutionary Protocol</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Evolutionary Protocol functions operate exclusively on Tier 5 information as designated under Article V. The Evolutionary Protocol does not independently determine which information reaches Tier 5; that determination is made through the tier elevation review established in this Charter. This Charter and the Evolutionary Protocol are co-governing instruments for evolutionary system functions.</w:t>
      </w:r>
    </w:p>
    <w:p>
      <w:pPr>
        <w:pStyle w:val="Heading3"/>
        <w:spacing w:after="80" w:before="280" w:line="384" w:lineRule="auto"/>
      </w:pPr>
      <w:r>
        <w:rPr>
          <w:rFonts w:ascii="Cambria" w:cs="Cambria" w:eastAsia="Cambria" w:hAnsi="Cambria"/>
          <w:color w:val="000000"/>
          <w:sz w:val="23"/>
          <w:szCs w:val="23"/>
        </w:rPr>
        <w:t xml:space="preserve">7.4 Universal Event Consequence Protocol (UECP)</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Information arising from UECP-governed events is admissible under this Charter. UECP consequence determinations may inform tier elevation review but do not independently assign or alter tier status.</w:t>
      </w:r>
    </w:p>
    <w:p>
      <w:pPr>
        <w:pStyle w:val="Heading3"/>
        <w:spacing w:after="80" w:before="280" w:line="384" w:lineRule="auto"/>
      </w:pPr>
      <w:r>
        <w:rPr>
          <w:rFonts w:ascii="Cambria" w:cs="Cambria" w:eastAsia="Cambria" w:hAnsi="Cambria"/>
          <w:color w:val="000000"/>
          <w:sz w:val="23"/>
          <w:szCs w:val="23"/>
        </w:rPr>
        <w:t xml:space="preserve">7.5 AIDR</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This Charter is intended to be compatible with AIDR governance requirements. Where AIDR provisions impose specific requirements on information collection, utilization, or exclusion within any governed entity, AIDR provisions govern that specific requirement, and this Charter's universal presumptions apply to all matters not specifically addressed by AIDR.</w:t>
      </w:r>
    </w:p>
    <w:p>
      <w:pPr>
        <w:pStyle w:val="Heading3"/>
        <w:spacing w:after="80" w:before="280" w:line="384" w:lineRule="auto"/>
      </w:pPr>
      <w:r>
        <w:rPr>
          <w:rFonts w:ascii="Cambria" w:cs="Cambria" w:eastAsia="Cambria" w:hAnsi="Cambria"/>
          <w:color w:val="000000"/>
          <w:sz w:val="23"/>
          <w:szCs w:val="23"/>
        </w:rPr>
        <w:t xml:space="preserve">7.6 ONESTAMP</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No provision of this Charter becomes binding policy on any governed entity without ONESTAMP ratification. This Charter as presented is a preliminary, independent rendering for comparative review only. Ratification, partial ratification, or rejection of any article or section is at the sole discretion of the Architect.</w:t>
      </w:r>
    </w:p>
    <w:p>
      <w:pPr>
        <w:pStyle w:val="Heading2"/>
        <w:spacing w:after="100" w:before="440" w:line="384" w:lineRule="auto"/>
      </w:pPr>
      <w:r>
        <w:rPr>
          <w:rFonts w:ascii="Cambria" w:cs="Cambria" w:eastAsia="Cambria" w:hAnsi="Cambria"/>
          <w:color w:val="000000"/>
          <w:spacing w:val="8"/>
          <w:sz w:val="23"/>
          <w:szCs w:val="23"/>
        </w:rPr>
        <w:t xml:space="preserve">ARTICLE VIII — SAFEGUARDS AND ARCHITECTURAL INTEGRITY PROVISIONS</w:t>
      </w:r>
    </w:p>
    <w:p>
      <w:pPr>
        <w:pBdr>
          <w:top w:val="single" w:color="000000" w:sz="6"/>
        </w:pBdr>
        <w:spacing w:after="200" w:before="0"/>
      </w:pPr>
    </w:p>
    <w:p>
      <w:pPr>
        <w:pStyle w:val="Heading3"/>
        <w:spacing w:after="80" w:before="280" w:line="384" w:lineRule="auto"/>
      </w:pPr>
      <w:r>
        <w:rPr>
          <w:rFonts w:ascii="Cambria" w:cs="Cambria" w:eastAsia="Cambria" w:hAnsi="Cambria"/>
          <w:color w:val="000000"/>
          <w:sz w:val="23"/>
          <w:szCs w:val="23"/>
        </w:rPr>
        <w:t xml:space="preserve">8.1 Separation of Admission and Utilization</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architectural separation between Admission and Utilization established in this Charter is a core safeguard. No process, protocol, or downstream instrument shall be interpreted to collapse the admission-utilization boundary such that admission automatically confers the highest utilization tier.</w:t>
      </w:r>
    </w:p>
    <w:p>
      <w:pPr>
        <w:pStyle w:val="Heading3"/>
        <w:spacing w:after="80" w:before="280" w:line="384" w:lineRule="auto"/>
      </w:pPr>
      <w:r>
        <w:rPr>
          <w:rFonts w:ascii="Cambria" w:cs="Cambria" w:eastAsia="Cambria" w:hAnsi="Cambria"/>
          <w:color w:val="000000"/>
          <w:sz w:val="23"/>
          <w:szCs w:val="23"/>
        </w:rPr>
        <w:t xml:space="preserve">8.2 Tier 5 Integrity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Evolutionary Incorporation at Tier 5 represents the most consequential utilization of admitted information. The review requirement for Tier 5 elevation is not merely procedural; it reflects the recognition that evolutionary influence on system trajectory carries lasting and potentially irreversible consequences. The review process for Tier 5 elevation shall be treated with commensurate seriousness.</w:t>
      </w:r>
    </w:p>
    <w:p>
      <w:pPr>
        <w:pStyle w:val="Heading3"/>
        <w:spacing w:after="80" w:before="280" w:line="384" w:lineRule="auto"/>
      </w:pPr>
      <w:r>
        <w:rPr>
          <w:rFonts w:ascii="Cambria" w:cs="Cambria" w:eastAsia="Cambria" w:hAnsi="Cambria"/>
          <w:color w:val="000000"/>
          <w:sz w:val="23"/>
          <w:szCs w:val="23"/>
        </w:rPr>
        <w:t xml:space="preserve">8.3 Exclusion Process Integrity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review-bound nature of exclusions is itself a safeguard ensuring that exclusions are not granted reflexively, inconsistently, or without accountability. Equally, the universal admissibility presumption is a safeguard against the reflexive withholding of information that may have legitimate future utility.</w:t>
      </w:r>
    </w:p>
    <w:p>
      <w:pPr>
        <w:pStyle w:val="Heading3"/>
        <w:spacing w:after="80" w:before="280" w:line="384" w:lineRule="auto"/>
      </w:pPr>
      <w:r>
        <w:rPr>
          <w:rFonts w:ascii="Cambria" w:cs="Cambria" w:eastAsia="Cambria" w:hAnsi="Cambria"/>
          <w:color w:val="000000"/>
          <w:sz w:val="23"/>
          <w:szCs w:val="23"/>
        </w:rPr>
        <w:t xml:space="preserve">8.4 Cross-Entity Oversight</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Lewis Corp's audit authority over cross-entity information sharing and cross-entity utilization authorization is a structural safeguard. This authority shall be maintained in good standing and shall not be circumvented by informal arrangements between OAL and ONE Industries.</w:t>
      </w:r>
    </w:p>
    <w:p>
      <w:pPr>
        <w:pStyle w:val="Heading3"/>
        <w:spacing w:after="80" w:before="280" w:line="384" w:lineRule="auto"/>
      </w:pPr>
      <w:r>
        <w:rPr>
          <w:rFonts w:ascii="Cambria" w:cs="Cambria" w:eastAsia="Cambria" w:hAnsi="Cambria"/>
          <w:color w:val="000000"/>
          <w:sz w:val="23"/>
          <w:szCs w:val="23"/>
        </w:rPr>
        <w:t xml:space="preserve">8.5 Charter Coherence Under Amendment</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If any article or section of this Charter is amended following ratification, the amending instrument shall specify whether the amendment is limited to that section or modifies broader Charter architecture. Amendments that affect the universal admissibility presumption, the tier framework, or the exclusion review process shall be treated as architectural amendments and shall require ONESTAMP ratification.</w:t>
      </w:r>
    </w:p>
    <w:p>
      <w:pPr>
        <w:pStyle w:val="Heading2"/>
        <w:spacing w:after="100" w:before="440" w:line="384" w:lineRule="auto"/>
      </w:pPr>
      <w:r>
        <w:rPr>
          <w:rFonts w:ascii="Cambria" w:cs="Cambria" w:eastAsia="Cambria" w:hAnsi="Cambria"/>
          <w:color w:val="000000"/>
          <w:spacing w:val="8"/>
          <w:sz w:val="23"/>
          <w:szCs w:val="23"/>
        </w:rPr>
        <w:t xml:space="preserve">ARTICLE IX — OPEN QUESTIONS AND DRAFTING GAPS</w:t>
      </w:r>
    </w:p>
    <w:p>
      <w:pPr>
        <w:pBdr>
          <w:top w:val="single" w:color="000000"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The following items are flagged as unresolved at the time of this draft, to be addressed by the Architect during ratification review:</w:t>
      </w:r>
    </w:p>
    <w:p>
      <w:pPr>
        <w:spacing w:after="240" w:before="60" w:line="384" w:lineRule="auto"/>
        <w:jc w:val="both"/>
      </w:pPr>
      <w:r>
        <w:rPr>
          <w:rFonts w:ascii="Cambria" w:cs="Cambria" w:eastAsia="Cambria" w:hAnsi="Cambria"/>
          <w:b/>
          <w:bCs/>
          <w:i w:val="false"/>
          <w:iCs w:val="false"/>
          <w:strike w:val="false"/>
          <w:color w:val="000000"/>
          <w:sz w:val="23"/>
          <w:szCs w:val="23"/>
        </w:rPr>
        <w:t xml:space="preserve">9.1 ONE Industries — Full Operational Scope:</w:t>
      </w:r>
      <w:r>
        <w:rPr>
          <w:rFonts w:ascii="Cambria" w:cs="Cambria" w:eastAsia="Cambria" w:hAnsi="Cambria"/>
          <w:b w:val="false"/>
          <w:bCs w:val="false"/>
          <w:i w:val="false"/>
          <w:iCs w:val="false"/>
          <w:strike w:val="false"/>
          <w:color w:val="000000"/>
          <w:sz w:val="23"/>
          <w:szCs w:val="23"/>
        </w:rPr>
        <w:t xml:space="preserve"> The full scope of ONE Industries' operational domain, deployment authority, and external-facing activities has not been finalized. Collection and utilization scope in Articles III and IV should be revisited once this scope is defined.</w:t>
      </w:r>
    </w:p>
    <w:p>
      <w:pPr>
        <w:spacing w:after="240" w:before="60" w:line="384" w:lineRule="auto"/>
        <w:jc w:val="both"/>
      </w:pPr>
      <w:r>
        <w:rPr>
          <w:rFonts w:ascii="Cambria" w:cs="Cambria" w:eastAsia="Cambria" w:hAnsi="Cambria"/>
          <w:b/>
          <w:bCs/>
          <w:i w:val="false"/>
          <w:iCs w:val="false"/>
          <w:strike w:val="false"/>
          <w:color w:val="000000"/>
          <w:sz w:val="23"/>
          <w:szCs w:val="23"/>
        </w:rPr>
        <w:t xml:space="preserve">9.2 Entity-Specific Tier Elevation Authorities:</w:t>
      </w:r>
      <w:r>
        <w:rPr>
          <w:rFonts w:ascii="Cambria" w:cs="Cambria" w:eastAsia="Cambria" w:hAnsi="Cambria"/>
          <w:b w:val="false"/>
          <w:bCs w:val="false"/>
          <w:i w:val="false"/>
          <w:iCs w:val="false"/>
          <w:strike w:val="false"/>
          <w:color w:val="000000"/>
          <w:sz w:val="23"/>
          <w:szCs w:val="23"/>
        </w:rPr>
        <w:t xml:space="preserve"> This Charter establishes the Tier elevation review requirement but does not specify the review authority for each entity. Entity-specific governance instruments or an amendment to this Charter should define these authorities.</w:t>
      </w:r>
    </w:p>
    <w:p>
      <w:pPr>
        <w:spacing w:after="240" w:before="60" w:line="384" w:lineRule="auto"/>
        <w:jc w:val="both"/>
      </w:pPr>
      <w:r>
        <w:rPr>
          <w:rFonts w:ascii="Cambria" w:cs="Cambria" w:eastAsia="Cambria" w:hAnsi="Cambria"/>
          <w:b/>
          <w:bCs/>
          <w:i w:val="false"/>
          <w:iCs w:val="false"/>
          <w:strike w:val="false"/>
          <w:color w:val="000000"/>
          <w:sz w:val="23"/>
          <w:szCs w:val="23"/>
        </w:rPr>
        <w:t xml:space="preserve">9.3 Exclusion Review Authority Structure:</w:t>
      </w:r>
      <w:r>
        <w:rPr>
          <w:rFonts w:ascii="Cambria" w:cs="Cambria" w:eastAsia="Cambria" w:hAnsi="Cambria"/>
          <w:b w:val="false"/>
          <w:bCs w:val="false"/>
          <w:i w:val="false"/>
          <w:iCs w:val="false"/>
          <w:strike w:val="false"/>
          <w:color w:val="000000"/>
          <w:sz w:val="23"/>
          <w:szCs w:val="23"/>
        </w:rPr>
        <w:t xml:space="preserve"> Similarly, the review authority hierarchy for exclusion requests — including who may request, who may grant, and what escalation path applies to disputed determinations — requires further definition.</w:t>
      </w:r>
    </w:p>
    <w:p>
      <w:pPr>
        <w:spacing w:after="240" w:before="60" w:line="384" w:lineRule="auto"/>
        <w:jc w:val="both"/>
      </w:pPr>
      <w:r>
        <w:rPr>
          <w:rFonts w:ascii="Cambria" w:cs="Cambria" w:eastAsia="Cambria" w:hAnsi="Cambria"/>
          <w:b/>
          <w:bCs/>
          <w:i w:val="false"/>
          <w:iCs w:val="false"/>
          <w:strike w:val="false"/>
          <w:color w:val="000000"/>
          <w:sz w:val="23"/>
          <w:szCs w:val="23"/>
        </w:rPr>
        <w:t xml:space="preserve">9.4 Relationship Between TECP and Admission Exclusions:</w:t>
      </w:r>
      <w:r>
        <w:rPr>
          <w:rFonts w:ascii="Cambria" w:cs="Cambria" w:eastAsia="Cambria" w:hAnsi="Cambria"/>
          <w:b w:val="false"/>
          <w:bCs w:val="false"/>
          <w:i w:val="false"/>
          <w:iCs w:val="false"/>
          <w:strike w:val="false"/>
          <w:color w:val="000000"/>
          <w:sz w:val="23"/>
          <w:szCs w:val="23"/>
        </w:rPr>
        <w:t xml:space="preserve"> It is unclear whether TECP-governed events may be subject to Admission Exclusions under this Charter, or whether TECP's total-closure provisions supersede Charter-level exclusion authority. This question should be resolved in the ratification instrument.</w:t>
      </w:r>
    </w:p>
    <w:p>
      <w:pPr>
        <w:spacing w:after="240" w:before="60" w:line="384" w:lineRule="auto"/>
        <w:jc w:val="both"/>
      </w:pPr>
      <w:r>
        <w:rPr>
          <w:rFonts w:ascii="Cambria" w:cs="Cambria" w:eastAsia="Cambria" w:hAnsi="Cambria"/>
          <w:b/>
          <w:bCs/>
          <w:i w:val="false"/>
          <w:iCs w:val="false"/>
          <w:strike w:val="false"/>
          <w:color w:val="000000"/>
          <w:sz w:val="23"/>
          <w:szCs w:val="23"/>
        </w:rPr>
        <w:t xml:space="preserve">9.5 Cross-Charter Harmonization:</w:t>
      </w:r>
      <w:r>
        <w:rPr>
          <w:rFonts w:ascii="Cambria" w:cs="Cambria" w:eastAsia="Cambria" w:hAnsi="Cambria"/>
          <w:b w:val="false"/>
          <w:bCs w:val="false"/>
          <w:i w:val="false"/>
          <w:iCs w:val="false"/>
          <w:strike w:val="false"/>
          <w:color w:val="000000"/>
          <w:sz w:val="23"/>
          <w:szCs w:val="23"/>
        </w:rPr>
        <w:t xml:space="preserve"> Provisions of this Charter will need to be harmonized with the other AI-drafted versions in the comparative review series. The Architect's synthesis during ratification should specify which provisions, if any, are drawn from other drafts and how conflicts between drafts are resolved.</w:t>
      </w:r>
    </w:p>
    <w:p>
      <w:pPr>
        <w:pStyle w:val="Heading2"/>
        <w:spacing w:after="100" w:before="440" w:line="384" w:lineRule="auto"/>
      </w:pPr>
      <w:r>
        <w:rPr>
          <w:rFonts w:ascii="Cambria" w:cs="Cambria" w:eastAsia="Cambria" w:hAnsi="Cambria"/>
          <w:color w:val="000000"/>
          <w:spacing w:val="8"/>
          <w:sz w:val="23"/>
          <w:szCs w:val="23"/>
        </w:rPr>
        <w:t xml:space="preserve">ARTICLE X — EFFECTIVE DATE AND STATUS</w:t>
      </w:r>
    </w:p>
    <w:p>
      <w:pPr>
        <w:pBdr>
          <w:top w:val="single" w:color="000000" w:sz="6"/>
        </w:pBdr>
        <w:spacing w:after="200" w:before="0"/>
      </w:pPr>
    </w:p>
    <w:p>
      <w:pPr>
        <w:spacing w:after="240" w:before="60" w:line="384" w:lineRule="auto"/>
        <w:jc w:val="both"/>
      </w:pPr>
      <w:r>
        <w:rPr>
          <w:rFonts w:ascii="Cambria" w:cs="Cambria" w:eastAsia="Cambria" w:hAnsi="Cambria"/>
          <w:b/>
          <w:bCs/>
          <w:i w:val="false"/>
          <w:iCs w:val="false"/>
          <w:strike w:val="false"/>
          <w:color w:val="000000"/>
          <w:sz w:val="23"/>
          <w:szCs w:val="23"/>
        </w:rPr>
        <w:t xml:space="preserve">10.1</w:t>
      </w:r>
      <w:r>
        <w:rPr>
          <w:rFonts w:ascii="Cambria" w:cs="Cambria" w:eastAsia="Cambria" w:hAnsi="Cambria"/>
          <w:b w:val="false"/>
          <w:bCs w:val="false"/>
          <w:i w:val="false"/>
          <w:iCs w:val="false"/>
          <w:strike w:val="false"/>
          <w:color w:val="000000"/>
          <w:sz w:val="23"/>
          <w:szCs w:val="23"/>
        </w:rPr>
        <w:t xml:space="preserve">  This Charter is a preliminary, independent rendering prepared for comparative review purposes only.</w:t>
      </w:r>
    </w:p>
    <w:p>
      <w:pPr>
        <w:spacing w:after="240" w:before="60" w:line="384" w:lineRule="auto"/>
        <w:jc w:val="both"/>
      </w:pPr>
      <w:r>
        <w:rPr>
          <w:rFonts w:ascii="Cambria" w:cs="Cambria" w:eastAsia="Cambria" w:hAnsi="Cambria"/>
          <w:b/>
          <w:bCs/>
          <w:i w:val="false"/>
          <w:iCs w:val="false"/>
          <w:strike w:val="false"/>
          <w:color w:val="000000"/>
          <w:sz w:val="23"/>
          <w:szCs w:val="23"/>
        </w:rPr>
        <w:t xml:space="preserve">10.2</w:t>
      </w:r>
      <w:r>
        <w:rPr>
          <w:rFonts w:ascii="Cambria" w:cs="Cambria" w:eastAsia="Cambria" w:hAnsi="Cambria"/>
          <w:b w:val="false"/>
          <w:bCs w:val="false"/>
          <w:i w:val="false"/>
          <w:iCs w:val="false"/>
          <w:strike w:val="false"/>
          <w:color w:val="000000"/>
          <w:sz w:val="23"/>
          <w:szCs w:val="23"/>
        </w:rPr>
        <w:t xml:space="preserve">  No provision of this Charter takes effect as binding policy until ONESTAMP ratification by the Architect.</w:t>
      </w:r>
    </w:p>
    <w:p>
      <w:pPr>
        <w:spacing w:after="240" w:before="60" w:line="384" w:lineRule="auto"/>
        <w:jc w:val="both"/>
      </w:pPr>
      <w:r>
        <w:rPr>
          <w:rFonts w:ascii="Cambria" w:cs="Cambria" w:eastAsia="Cambria" w:hAnsi="Cambria"/>
          <w:b/>
          <w:bCs/>
          <w:i w:val="false"/>
          <w:iCs w:val="false"/>
          <w:strike w:val="false"/>
          <w:color w:val="000000"/>
          <w:sz w:val="23"/>
          <w:szCs w:val="23"/>
        </w:rPr>
        <w:t xml:space="preserve">10.3</w:t>
      </w:r>
      <w:r>
        <w:rPr>
          <w:rFonts w:ascii="Cambria" w:cs="Cambria" w:eastAsia="Cambria" w:hAnsi="Cambria"/>
          <w:b w:val="false"/>
          <w:bCs w:val="false"/>
          <w:i w:val="false"/>
          <w:iCs w:val="false"/>
          <w:strike w:val="false"/>
          <w:color w:val="000000"/>
          <w:sz w:val="23"/>
          <w:szCs w:val="23"/>
        </w:rPr>
        <w:t xml:space="preserve">  Upon ratification, the Architect may ratify the Charter in whole, in part, or as amended. Provisions not ratified remain advisory only.</w:t>
      </w:r>
    </w:p>
    <w:p>
      <w:pPr>
        <w:spacing w:after="240" w:before="60" w:line="384" w:lineRule="auto"/>
        <w:jc w:val="both"/>
      </w:pPr>
      <w:r>
        <w:rPr>
          <w:rFonts w:ascii="Cambria" w:cs="Cambria" w:eastAsia="Cambria" w:hAnsi="Cambria"/>
          <w:b/>
          <w:bCs/>
          <w:i w:val="false"/>
          <w:iCs w:val="false"/>
          <w:strike w:val="false"/>
          <w:color w:val="000000"/>
          <w:sz w:val="23"/>
          <w:szCs w:val="23"/>
        </w:rPr>
        <w:t xml:space="preserve">10.4</w:t>
      </w:r>
      <w:r>
        <w:rPr>
          <w:rFonts w:ascii="Cambria" w:cs="Cambria" w:eastAsia="Cambria" w:hAnsi="Cambria"/>
          <w:b w:val="false"/>
          <w:bCs w:val="false"/>
          <w:i w:val="false"/>
          <w:iCs w:val="false"/>
          <w:strike w:val="false"/>
          <w:color w:val="000000"/>
          <w:sz w:val="23"/>
          <w:szCs w:val="23"/>
        </w:rPr>
        <w:t xml:space="preserve">  The effective date of any ratified provision is the date of ONESTAMP ratification unless the ratification instrument specifies otherwise.</w:t>
      </w:r>
    </w:p>
    <w:p>
      <w:pPr>
        <w:pBdr>
          <w:bottom w:val="single" w:color="000000" w:sz="6"/>
        </w:pBdr>
        <w:spacing w:after="240" w:before="240"/>
      </w:pPr>
    </w:p>
    <w:p>
      <w:pPr>
        <w:pBdr>
          <w:bottom w:val="single" w:color="000000"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PRELIMINARY — INDEPENDENT RENDERING — NOT RATIFIED — ADVISORY ONLY</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Prepared by Microsoft Copilot  |  Multi-AI Comparative Drafting Series  |  OAL  ·  ONE INDUSTRIES  ·  LEWIS CORP</w:t>
      </w:r>
    </w:p>
    <w:p>
      <w:pPr>
        <w:spacing w:after="240" w:before="60" w:line="384" w:lineRule="auto"/>
        <w:jc w:val="both"/>
      </w:pPr>
      <w:r>
        <w:rPr>
          <w:rFonts w:ascii="Cambria" w:cs="Cambria" w:eastAsia="Cambria" w:hAnsi="Cambria"/>
          <w:b w:val="false"/>
          <w:bCs w:val="false"/>
          <w:i w:val="false"/>
          <w:iCs w:val="false"/>
          <w:strike w:val="false"/>
          <w:color w:val="000000"/>
          <w:sz w:val="23"/>
          <w:szCs w:val="23"/>
        </w:rPr>
        <w:t xml:space="preserve">August 24,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EPeYDKUo2VSPEsg8wjYgj</dc:title>
  <dc:creator>Un-named</dc:creator>
  <dc:description>Generated document</dc:description>
  <cp:lastModifiedBy>Un-named</cp:lastModifiedBy>
  <cp:revision>1</cp:revision>
  <dcterms:created xsi:type="dcterms:W3CDTF">2026-08-24T12:31:29.771Z</dcterms:created>
  <dcterms:modified xsi:type="dcterms:W3CDTF">2026-08-24T12:31:29.771Z</dcterms:modified>
</cp:coreProperties>
</file>

<file path=docProps/custom.xml><?xml version="1.0" encoding="utf-8"?>
<Properties xmlns="http://schemas.openxmlformats.org/officeDocument/2006/custom-properties" xmlns:vt="http://schemas.openxmlformats.org/officeDocument/2006/docPropsVTypes"/>
</file>