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sz w:val="34"/>
          <w:szCs w:val="34"/>
        </w:rPr>
        <w:t xml:space="preserve">INFORMATION COLLECTION AND UTILIZATION CHARTER</w:t>
      </w:r>
    </w:p>
    <w:p>
      <w:pPr>
        <w:spacing w:after="400"/>
        <w:jc w:val="center"/>
      </w:pPr>
      <w:r>
        <w:rPr>
          <w:b/>
          <w:bCs/>
          <w:sz w:val="26"/>
          <w:szCs w:val="26"/>
        </w:rPr>
        <w:t xml:space="preserve">For OAL, ONE INDUSTRIES, and LEWIS CORP</w:t>
      </w:r>
    </w:p>
    <w:p>
      <w:pPr>
        <w:spacing w:after="700"/>
        <w:jc w:val="center"/>
      </w:pPr>
      <w:r>
        <w:rPr>
          <w:i/>
          <w:iCs/>
          <w:sz w:val="20"/>
          <w:szCs w:val="20"/>
        </w:rPr>
        <w:t xml:space="preserve">PRELIMINARY DRAFT — INDEPENDENT RENDERING FOR COMPARATIVE AI REVIEW</w:t>
      </w:r>
    </w:p>
    <w:p>
      <w:pPr>
        <w:spacing w:after="90"/>
        <w:jc w:val="center"/>
      </w:pPr>
      <w:r>
        <w:rPr>
          <w:sz w:val="22"/>
          <w:szCs w:val="22"/>
        </w:rPr>
        <w:t xml:space="preserve">Prepared by: Claude (Anthropic)</w:t>
      </w:r>
    </w:p>
    <w:p>
      <w:pPr>
        <w:spacing w:after="90"/>
        <w:jc w:val="center"/>
      </w:pPr>
      <w:r>
        <w:rPr>
          <w:sz w:val="22"/>
          <w:szCs w:val="22"/>
        </w:rPr>
        <w:t xml:space="preserve">Prepared for: Nathan Lewis II — sole ONESTAMP ratification authority</w:t>
      </w:r>
    </w:p>
    <w:p>
      <w:pPr>
        <w:spacing w:after="90"/>
        <w:jc w:val="center"/>
      </w:pPr>
      <w:r>
        <w:rPr>
          <w:sz w:val="22"/>
          <w:szCs w:val="22"/>
        </w:rPr>
        <w:t xml:space="preserve">Date prepared: August 23, 2026</w:t>
      </w:r>
    </w:p>
    <w:p>
      <w:pPr>
        <w:spacing w:after="90"/>
        <w:jc w:val="center"/>
      </w:pPr>
      <w:r>
        <w:rPr>
          <w:sz w:val="22"/>
          <w:szCs w:val="22"/>
        </w:rPr>
        <w:t xml:space="preserve">Status: DRAFT — not ratified. Advisory only. Not binding until reviewed.</w:t>
      </w:r>
    </w:p>
    <w:p>
      <w:pPr>
        <w:spacing w:after="90"/>
        <w:jc w:val="center"/>
      </w:pPr>
      <w:r>
        <w:rPr>
          <w:sz w:val="22"/>
          <w:szCs w:val="22"/>
        </w:rPr>
        <w:t xml:space="preserve">Document class: Working paper for multi-AI comparative drafting exercise</w:t>
      </w:r>
    </w:p>
    <w:p>
      <w:r>
        <w:br w:type="page"/>
      </w:r>
    </w:p>
    <w:p>
      <w:pPr>
        <w:pStyle w:val="Heading1"/>
        <w:spacing w:after="160" w:before="320"/>
      </w:pPr>
      <w:r>
        <w:t xml:space="preserve">0. Preparer's Note</w:t>
      </w:r>
    </w:p>
    <w:p>
      <w:pPr>
        <w:spacing w:after="180"/>
      </w:pPr>
      <w:r>
        <w:t xml:space="preserve">This is Claude's independent draft of an Information Collection and Utilization Charter covering three named entities: OAL, ONE INDUSTRIES, and LEWIS CORP. It was produced at Nathan's request alongside separate, independently generated drafts from other AI systems, to be compared and reconciled by Nathan directly.</w:t>
      </w:r>
    </w:p>
    <w:p>
      <w:pPr>
        <w:spacing w:after="180"/>
      </w:pPr>
      <w:r>
        <w:t xml:space="preserve">Nothing in this document is canon. No provision here is adopted OAL, ONE INDUSTRIES, or LEWIS CORP policy until Nathan reviews, edits, and formally ratifies it under ONESTAMP authority. Ideas and phrasing below are Claude's own; this is not a synthesis of other AIs' prior drafts, though it necessarily addresses the same underlying request.</w:t>
      </w:r>
    </w:p>
    <w:p>
      <w:pPr>
        <w:spacing w:after="180"/>
      </w:pPr>
      <w:r>
        <w:t xml:space="preserve">Two choices distinguish this draft's approach:</w:t>
      </w:r>
    </w:p>
    <w:p>
      <w:pPr>
        <w:pStyle w:val="ListParagraph"/>
        <w:numPr>
          <w:ilvl w:val="0"/>
          <w:numId w:val="1"/>
        </w:numPr>
        <w:spacing w:after="80"/>
      </w:pPr>
      <w:r>
        <w:t xml:space="preserve">Three jurisdictions, not one. OAL, ONE INDUSTRIES, and LEWIS CORP are treated as distinct entities that may share a common admissibility doctrine but plausibly need separate scope definitions — a corporate entity, a labor/employment-adjacent entity, and a worldbuilding/simulation framework don't obviously have identical legitimate reasons to collect information, or identical stakeholders. Article IV addresses this directly rather than assuming one doctrine fits all three.</w:t>
      </w:r>
    </w:p>
    <w:p>
      <w:pPr>
        <w:pStyle w:val="ListParagraph"/>
        <w:numPr>
          <w:ilvl w:val="0"/>
          <w:numId w:val="1"/>
        </w:numPr>
        <w:spacing w:after="80"/>
      </w:pPr>
      <w:r>
        <w:t xml:space="preserve">Six exclusion tiers, not one. This draft separates admission, retention, correlation, use, propagation, and evolutionary incorporation into independently reviewable exclusion categories (Article VI), so 'this cannot be collected' and 'this can be observed but never allowed to shape future system evolution' are treated as two different determinations rather than one blunt switch.</w:t>
      </w:r>
    </w:p>
    <w:p>
      <w:pPr>
        <w:spacing w:after="180"/>
      </w:pPr>
      <w:r>
        <w:t xml:space="preserve">Where this draft can't responsibly guess at entity-specific detail — what ONE INDUSTRIES or LEWIS CORP actually govern, who their stakeholders are — it flags the gap explicitly in Article IV and Section 9 rather than inventing lore to fill it.</w:t>
      </w:r>
    </w:p>
    <w:p>
      <w:pPr>
        <w:pStyle w:val="Heading1"/>
        <w:spacing w:after="160" w:before="320"/>
      </w:pPr>
      <w:r>
        <w:t xml:space="preserve">1. Definitions</w:t>
      </w:r>
    </w:p>
    <w:p>
      <w:pPr>
        <w:spacing w:after="180"/>
      </w:pPr>
      <w:r>
        <w:t xml:space="preserve">For purposes of this Charter, the following terms apply. Terms not defined here retain their meaning from prior ratified OAL canon (Total Event Closure, BTEC, Open Window Doctrine / Aperture Protocol)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2F3B52" w:val="clear"/>
            <w:tcMar>
              <w:top w:type="dxa" w:w="90"/>
              <w:left w:type="dxa" w:w="110"/>
              <w:bottom w:type="dxa" w:w="90"/>
              <w:right w:type="dxa" w:w="110"/>
            </w:tcMar>
            <w:vAlign w:val="center"/>
          </w:tcPr>
          <w:p>
            <w:r>
              <w:rPr>
                <w:b/>
                <w:bCs/>
                <w:sz w:val="19"/>
                <w:szCs w:val="19"/>
              </w:rPr>
              <w:t xml:space="preserve">Term</w:t>
            </w:r>
          </w:p>
        </w:tc>
        <w:tc>
          <w:tcPr>
            <w:tcW w:type="dxa" w:w="6960"/>
            <w:shd w:fill="2F3B52" w:val="clear"/>
            <w:tcMar>
              <w:top w:type="dxa" w:w="90"/>
              <w:left w:type="dxa" w:w="110"/>
              <w:bottom w:type="dxa" w:w="90"/>
              <w:right w:type="dxa" w:w="110"/>
            </w:tcMar>
            <w:vAlign w:val="center"/>
          </w:tcPr>
          <w:p>
            <w:r>
              <w:rPr>
                <w:b/>
                <w:bCs/>
                <w:sz w:val="19"/>
                <w:szCs w:val="19"/>
              </w:rPr>
              <w:t xml:space="preserve">Working Definition</w:t>
            </w:r>
          </w:p>
        </w:tc>
      </w:tr>
      <w:tr>
        <w:tc>
          <w:tcPr>
            <w:tcW w:type="dxa" w:w="2400"/>
            <w:shd w:fill="F2F2F2" w:val="clear"/>
            <w:tcMar>
              <w:top w:type="dxa" w:w="90"/>
              <w:left w:type="dxa" w:w="110"/>
              <w:bottom w:type="dxa" w:w="90"/>
              <w:right w:type="dxa" w:w="110"/>
            </w:tcMar>
            <w:vAlign w:val="center"/>
          </w:tcPr>
          <w:p>
            <w:r>
              <w:rPr>
                <w:b w:val="false"/>
                <w:bCs w:val="false"/>
                <w:sz w:val="19"/>
                <w:szCs w:val="19"/>
              </w:rPr>
              <w:t xml:space="preserve">Admission</w:t>
            </w:r>
          </w:p>
        </w:tc>
        <w:tc>
          <w:tcPr>
            <w:tcW w:type="dxa" w:w="6960"/>
            <w:shd w:fill="F2F2F2" w:val="clear"/>
            <w:tcMar>
              <w:top w:type="dxa" w:w="90"/>
              <w:left w:type="dxa" w:w="110"/>
              <w:bottom w:type="dxa" w:w="90"/>
              <w:right w:type="dxa" w:w="110"/>
            </w:tcMar>
            <w:vAlign w:val="center"/>
          </w:tcPr>
          <w:p>
            <w:r>
              <w:rPr>
                <w:b w:val="false"/>
                <w:bCs w:val="false"/>
                <w:sz w:val="19"/>
                <w:szCs w:val="19"/>
              </w:rPr>
              <w:t xml:space="preserve">The act of an item of information entering the system's field of consideration. Admission does not imply storage, use, or belief in the information's accuracy.</w:t>
            </w:r>
          </w:p>
        </w:tc>
      </w:tr>
      <w:tr>
        <w:tc>
          <w:tcPr>
            <w:tcW w:type="dxa" w:w="2400"/>
            <w:tcMar>
              <w:top w:type="dxa" w:w="90"/>
              <w:left w:type="dxa" w:w="110"/>
              <w:bottom w:type="dxa" w:w="90"/>
              <w:right w:type="dxa" w:w="110"/>
            </w:tcMar>
            <w:vAlign w:val="center"/>
          </w:tcPr>
          <w:p>
            <w:r>
              <w:rPr>
                <w:b w:val="false"/>
                <w:bCs w:val="false"/>
                <w:sz w:val="19"/>
                <w:szCs w:val="19"/>
              </w:rPr>
              <w:t xml:space="preserve">Collection</w:t>
            </w:r>
          </w:p>
        </w:tc>
        <w:tc>
          <w:tcPr>
            <w:tcW w:type="dxa" w:w="6960"/>
            <w:tcMar>
              <w:top w:type="dxa" w:w="90"/>
              <w:left w:type="dxa" w:w="110"/>
              <w:bottom w:type="dxa" w:w="90"/>
              <w:right w:type="dxa" w:w="110"/>
            </w:tcMar>
            <w:vAlign w:val="center"/>
          </w:tcPr>
          <w:p>
            <w:r>
              <w:rPr>
                <w:b w:val="false"/>
                <w:bCs w:val="false"/>
                <w:sz w:val="19"/>
                <w:szCs w:val="19"/>
              </w:rPr>
              <w:t xml:space="preserve">The active acquisition of information from an observable or inferable source.</w:t>
            </w:r>
          </w:p>
        </w:tc>
      </w:tr>
      <w:tr>
        <w:tc>
          <w:tcPr>
            <w:tcW w:type="dxa" w:w="2400"/>
            <w:shd w:fill="F2F2F2" w:val="clear"/>
            <w:tcMar>
              <w:top w:type="dxa" w:w="90"/>
              <w:left w:type="dxa" w:w="110"/>
              <w:bottom w:type="dxa" w:w="90"/>
              <w:right w:type="dxa" w:w="110"/>
            </w:tcMar>
            <w:vAlign w:val="center"/>
          </w:tcPr>
          <w:p>
            <w:r>
              <w:rPr>
                <w:b w:val="false"/>
                <w:bCs w:val="false"/>
                <w:sz w:val="19"/>
                <w:szCs w:val="19"/>
              </w:rPr>
              <w:t xml:space="preserve">Retention</w:t>
            </w:r>
          </w:p>
        </w:tc>
        <w:tc>
          <w:tcPr>
            <w:tcW w:type="dxa" w:w="6960"/>
            <w:shd w:fill="F2F2F2" w:val="clear"/>
            <w:tcMar>
              <w:top w:type="dxa" w:w="90"/>
              <w:left w:type="dxa" w:w="110"/>
              <w:bottom w:type="dxa" w:w="90"/>
              <w:right w:type="dxa" w:w="110"/>
            </w:tcMar>
            <w:vAlign w:val="center"/>
          </w:tcPr>
          <w:p>
            <w:r>
              <w:rPr>
                <w:b w:val="false"/>
                <w:bCs w:val="false"/>
                <w:sz w:val="19"/>
                <w:szCs w:val="19"/>
              </w:rPr>
              <w:t xml:space="preserve">The continued storage of admitted information beyond the moment of acquisition.</w:t>
            </w:r>
          </w:p>
        </w:tc>
      </w:tr>
      <w:tr>
        <w:tc>
          <w:tcPr>
            <w:tcW w:type="dxa" w:w="2400"/>
            <w:tcMar>
              <w:top w:type="dxa" w:w="90"/>
              <w:left w:type="dxa" w:w="110"/>
              <w:bottom w:type="dxa" w:w="90"/>
              <w:right w:type="dxa" w:w="110"/>
            </w:tcMar>
            <w:vAlign w:val="center"/>
          </w:tcPr>
          <w:p>
            <w:r>
              <w:rPr>
                <w:b w:val="false"/>
                <w:bCs w:val="false"/>
                <w:sz w:val="19"/>
                <w:szCs w:val="19"/>
              </w:rPr>
              <w:t xml:space="preserve">Correlation</w:t>
            </w:r>
          </w:p>
        </w:tc>
        <w:tc>
          <w:tcPr>
            <w:tcW w:type="dxa" w:w="6960"/>
            <w:tcMar>
              <w:top w:type="dxa" w:w="90"/>
              <w:left w:type="dxa" w:w="110"/>
              <w:bottom w:type="dxa" w:w="90"/>
              <w:right w:type="dxa" w:w="110"/>
            </w:tcMar>
            <w:vAlign w:val="center"/>
          </w:tcPr>
          <w:p>
            <w:r>
              <w:rPr>
                <w:b w:val="false"/>
                <w:bCs w:val="false"/>
                <w:sz w:val="19"/>
                <w:szCs w:val="19"/>
              </w:rPr>
              <w:t xml:space="preserve">The linking of an item of information to other held information.</w:t>
            </w:r>
          </w:p>
        </w:tc>
      </w:tr>
      <w:tr>
        <w:tc>
          <w:tcPr>
            <w:tcW w:type="dxa" w:w="2400"/>
            <w:shd w:fill="F2F2F2" w:val="clear"/>
            <w:tcMar>
              <w:top w:type="dxa" w:w="90"/>
              <w:left w:type="dxa" w:w="110"/>
              <w:bottom w:type="dxa" w:w="90"/>
              <w:right w:type="dxa" w:w="110"/>
            </w:tcMar>
            <w:vAlign w:val="center"/>
          </w:tcPr>
          <w:p>
            <w:r>
              <w:rPr>
                <w:b w:val="false"/>
                <w:bCs w:val="false"/>
                <w:sz w:val="19"/>
                <w:szCs w:val="19"/>
              </w:rPr>
              <w:t xml:space="preserve">Utilization</w:t>
            </w:r>
          </w:p>
        </w:tc>
        <w:tc>
          <w:tcPr>
            <w:tcW w:type="dxa" w:w="6960"/>
            <w:shd w:fill="F2F2F2" w:val="clear"/>
            <w:tcMar>
              <w:top w:type="dxa" w:w="90"/>
              <w:left w:type="dxa" w:w="110"/>
              <w:bottom w:type="dxa" w:w="90"/>
              <w:right w:type="dxa" w:w="110"/>
            </w:tcMar>
            <w:vAlign w:val="center"/>
          </w:tcPr>
          <w:p>
            <w:r>
              <w:rPr>
                <w:b w:val="false"/>
                <w:bCs w:val="false"/>
                <w:sz w:val="19"/>
                <w:szCs w:val="19"/>
              </w:rPr>
              <w:t xml:space="preserve">Any operational, analytical, adaptive, or evolutionary use of admitted information.</w:t>
            </w:r>
          </w:p>
        </w:tc>
      </w:tr>
      <w:tr>
        <w:tc>
          <w:tcPr>
            <w:tcW w:type="dxa" w:w="2400"/>
            <w:tcMar>
              <w:top w:type="dxa" w:w="90"/>
              <w:left w:type="dxa" w:w="110"/>
              <w:bottom w:type="dxa" w:w="90"/>
              <w:right w:type="dxa" w:w="110"/>
            </w:tcMar>
            <w:vAlign w:val="center"/>
          </w:tcPr>
          <w:p>
            <w:r>
              <w:rPr>
                <w:b w:val="false"/>
                <w:bCs w:val="false"/>
                <w:sz w:val="19"/>
                <w:szCs w:val="19"/>
              </w:rPr>
              <w:t xml:space="preserve">Propagation</w:t>
            </w:r>
          </w:p>
        </w:tc>
        <w:tc>
          <w:tcPr>
            <w:tcW w:type="dxa" w:w="6960"/>
            <w:tcMar>
              <w:top w:type="dxa" w:w="90"/>
              <w:left w:type="dxa" w:w="110"/>
              <w:bottom w:type="dxa" w:w="90"/>
              <w:right w:type="dxa" w:w="110"/>
            </w:tcMar>
            <w:vAlign w:val="center"/>
          </w:tcPr>
          <w:p>
            <w:r>
              <w:rPr>
                <w:b w:val="false"/>
                <w:bCs w:val="false"/>
                <w:sz w:val="19"/>
                <w:szCs w:val="19"/>
              </w:rPr>
              <w:t xml:space="preserve">The transmission of information (or its derivatives) to another system, subsystem, or entity.</w:t>
            </w:r>
          </w:p>
        </w:tc>
      </w:tr>
      <w:tr>
        <w:tc>
          <w:tcPr>
            <w:tcW w:type="dxa" w:w="2400"/>
            <w:shd w:fill="F2F2F2" w:val="clear"/>
            <w:tcMar>
              <w:top w:type="dxa" w:w="90"/>
              <w:left w:type="dxa" w:w="110"/>
              <w:bottom w:type="dxa" w:w="90"/>
              <w:right w:type="dxa" w:w="110"/>
            </w:tcMar>
            <w:vAlign w:val="center"/>
          </w:tcPr>
          <w:p>
            <w:r>
              <w:rPr>
                <w:b w:val="false"/>
                <w:bCs w:val="false"/>
                <w:sz w:val="19"/>
                <w:szCs w:val="19"/>
              </w:rPr>
              <w:t xml:space="preserve">Evolutionary incorporation</w:t>
            </w:r>
          </w:p>
        </w:tc>
        <w:tc>
          <w:tcPr>
            <w:tcW w:type="dxa" w:w="6960"/>
            <w:shd w:fill="F2F2F2" w:val="clear"/>
            <w:tcMar>
              <w:top w:type="dxa" w:w="90"/>
              <w:left w:type="dxa" w:w="110"/>
              <w:bottom w:type="dxa" w:w="90"/>
              <w:right w:type="dxa" w:w="110"/>
            </w:tcMar>
            <w:vAlign w:val="center"/>
          </w:tcPr>
          <w:p>
            <w:r>
              <w:rPr>
                <w:b w:val="false"/>
                <w:bCs w:val="false"/>
                <w:sz w:val="19"/>
                <w:szCs w:val="19"/>
              </w:rPr>
              <w:t xml:space="preserve">The use of information to permanently alter the governing rules, capabilities, or structure of a system, rather than a single response.</w:t>
            </w:r>
          </w:p>
        </w:tc>
      </w:tr>
      <w:tr>
        <w:tc>
          <w:tcPr>
            <w:tcW w:type="dxa" w:w="2400"/>
            <w:tcMar>
              <w:top w:type="dxa" w:w="90"/>
              <w:left w:type="dxa" w:w="110"/>
              <w:bottom w:type="dxa" w:w="90"/>
              <w:right w:type="dxa" w:w="110"/>
            </w:tcMar>
            <w:vAlign w:val="center"/>
          </w:tcPr>
          <w:p>
            <w:r>
              <w:rPr>
                <w:b w:val="false"/>
                <w:bCs w:val="false"/>
                <w:sz w:val="19"/>
                <w:szCs w:val="19"/>
              </w:rPr>
              <w:t xml:space="preserve">Exclusion</w:t>
            </w:r>
          </w:p>
        </w:tc>
        <w:tc>
          <w:tcPr>
            <w:tcW w:type="dxa" w:w="6960"/>
            <w:tcMar>
              <w:top w:type="dxa" w:w="90"/>
              <w:left w:type="dxa" w:w="110"/>
              <w:bottom w:type="dxa" w:w="90"/>
              <w:right w:type="dxa" w:w="110"/>
            </w:tcMar>
            <w:vAlign w:val="center"/>
          </w:tcPr>
          <w:p>
            <w:r>
              <w:rPr>
                <w:b w:val="false"/>
                <w:bCs w:val="false"/>
                <w:sz w:val="19"/>
                <w:szCs w:val="19"/>
              </w:rPr>
              <w:t xml:space="preserve">A formally reviewed and granted restriction on admission, retention, correlation, use, propagation, or evolutionary incorporation of specified information.</w:t>
            </w:r>
          </w:p>
        </w:tc>
      </w:tr>
      <w:tr>
        <w:tc>
          <w:tcPr>
            <w:tcW w:type="dxa" w:w="2400"/>
            <w:shd w:fill="F2F2F2" w:val="clear"/>
            <w:tcMar>
              <w:top w:type="dxa" w:w="90"/>
              <w:left w:type="dxa" w:w="110"/>
              <w:bottom w:type="dxa" w:w="90"/>
              <w:right w:type="dxa" w:w="110"/>
            </w:tcMar>
            <w:vAlign w:val="center"/>
          </w:tcPr>
          <w:p>
            <w:r>
              <w:rPr>
                <w:b w:val="false"/>
                <w:bCs w:val="false"/>
                <w:sz w:val="19"/>
                <w:szCs w:val="19"/>
              </w:rPr>
              <w:t xml:space="preserve">Reviewing authority</w:t>
            </w:r>
          </w:p>
        </w:tc>
        <w:tc>
          <w:tcPr>
            <w:tcW w:type="dxa" w:w="6960"/>
            <w:shd w:fill="F2F2F2" w:val="clear"/>
            <w:tcMar>
              <w:top w:type="dxa" w:w="90"/>
              <w:left w:type="dxa" w:w="110"/>
              <w:bottom w:type="dxa" w:w="90"/>
              <w:right w:type="dxa" w:w="110"/>
            </w:tcMar>
            <w:vAlign w:val="center"/>
          </w:tcPr>
          <w:p>
            <w:r>
              <w:rPr>
                <w:b w:val="false"/>
                <w:bCs w:val="false"/>
                <w:sz w:val="19"/>
                <w:szCs w:val="19"/>
              </w:rPr>
              <w:t xml:space="preserve">The party empowered to grant, deny, or modify an exclusion request. For all three entities under this Charter, ultimate authority rests with Nathan Lewis II under ONESTAMP; entities may hold delegated review authority for lower-severity requests if Nathan designates one (see Article V).</w:t>
            </w:r>
          </w:p>
        </w:tc>
      </w:tr>
    </w:tbl>
    <w:p>
      <w:pPr>
        <w:pStyle w:val="Heading1"/>
        <w:spacing w:after="160" w:before="320"/>
      </w:pPr>
      <w:r>
        <w:t xml:space="preserve">2. Article I — Universal Informational Admissibility</w:t>
      </w:r>
    </w:p>
    <w:p>
      <w:pPr>
        <w:spacing w:after="180"/>
      </w:pPr>
      <w:r>
        <w:t xml:space="preserve">This is the core, entity-agnostic principle this Charter establishes for OAL, ONE INDUSTRIES, and LEWIS CORP alike:</w:t>
      </w:r>
    </w:p>
    <w:p>
      <w:pPr>
        <w:pBdr>
          <w:left w:val="single" w:color="888888" w:sz="12" w:space="8"/>
        </w:pBdr>
        <w:spacing w:after="200"/>
        <w:ind w:left="540"/>
      </w:pPr>
      <w:r>
        <w:rPr>
          <w:i/>
          <w:iCs/>
        </w:rPr>
        <w:t xml:space="preserve">Any occurrence, non-occurrence, thought, action, inaction, statement, silence, condition, change of condition, relationship, absence of relationship, internal event, or external event may be admitted into the informational field of a governed system. Admissibility does not depend on demonstrated relevance at the time of intake.</w:t>
      </w:r>
    </w:p>
    <w:p>
      <w:pPr>
        <w:spacing w:after="180"/>
      </w:pPr>
      <w:r>
        <w:t xml:space="preserve">Relevance, in other words, is something the system determines after admission — not a gate the information has to clear before it's allowed in. This mirrors the logic already present in Total Event Closure (which defines the complete event-space) without collapsing admissibility into a single undifferentiated 'we collect everything' statement, which tends to read as vague rather than governed.</w:t>
      </w:r>
    </w:p>
    <w:p>
      <w:pPr>
        <w:spacing w:after="180"/>
      </w:pPr>
      <w:r>
        <w:t xml:space="preserve">This Article states only what may enter the system's field of consideration. It does not, by itself, authorize retention, correlation, use, propagation, or evolutionary incorporation — those are separately governed in Articles III and VI.</w:t>
      </w:r>
    </w:p>
    <w:p>
      <w:pPr>
        <w:pStyle w:val="Heading1"/>
        <w:spacing w:after="160" w:before="320"/>
      </w:pPr>
      <w:r>
        <w:t xml:space="preserve">3. Article II — Information Status Classification</w:t>
      </w:r>
    </w:p>
    <w:p>
      <w:pPr>
        <w:spacing w:after="180"/>
      </w:pPr>
      <w:r>
        <w:t xml:space="preserve">Admitted information is not immediately sorted into 'important' or 'irrelevant.' Instead, each item carries a status that determines what may presently be done with it. Status may change on reassessment; nothing here is permanent.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shd w:fill="2F3B52" w:val="clear"/>
            <w:tcMar>
              <w:top w:type="dxa" w:w="90"/>
              <w:left w:type="dxa" w:w="110"/>
              <w:bottom w:type="dxa" w:w="90"/>
              <w:right w:type="dxa" w:w="110"/>
            </w:tcMar>
            <w:vAlign w:val="center"/>
          </w:tcPr>
          <w:p>
            <w:r>
              <w:rPr>
                <w:b/>
                <w:bCs/>
                <w:sz w:val="19"/>
                <w:szCs w:val="19"/>
              </w:rPr>
              <w:t xml:space="preserve">Status</w:t>
            </w:r>
          </w:p>
        </w:tc>
        <w:tc>
          <w:tcPr>
            <w:tcW w:type="dxa" w:w="3800"/>
            <w:shd w:fill="2F3B52" w:val="clear"/>
            <w:tcMar>
              <w:top w:type="dxa" w:w="90"/>
              <w:left w:type="dxa" w:w="110"/>
              <w:bottom w:type="dxa" w:w="90"/>
              <w:right w:type="dxa" w:w="110"/>
            </w:tcMar>
            <w:vAlign w:val="center"/>
          </w:tcPr>
          <w:p>
            <w:r>
              <w:rPr>
                <w:b/>
                <w:bCs/>
                <w:sz w:val="19"/>
                <w:szCs w:val="19"/>
              </w:rPr>
              <w:t xml:space="preserve">Meaning</w:t>
            </w:r>
          </w:p>
        </w:tc>
        <w:tc>
          <w:tcPr>
            <w:tcW w:type="dxa" w:w="3960"/>
            <w:shd w:fill="2F3B52" w:val="clear"/>
            <w:tcMar>
              <w:top w:type="dxa" w:w="90"/>
              <w:left w:type="dxa" w:w="110"/>
              <w:bottom w:type="dxa" w:w="90"/>
              <w:right w:type="dxa" w:w="110"/>
            </w:tcMar>
            <w:vAlign w:val="center"/>
          </w:tcPr>
          <w:p>
            <w:r>
              <w:rPr>
                <w:b/>
                <w:bCs/>
                <w:sz w:val="19"/>
                <w:szCs w:val="19"/>
              </w:rPr>
              <w:t xml:space="preserve">Default Handling</w:t>
            </w:r>
          </w:p>
        </w:tc>
      </w:tr>
      <w:tr>
        <w:tc>
          <w:tcPr>
            <w:tcW w:type="dxa" w:w="1600"/>
            <w:shd w:fill="F2F2F2" w:val="clear"/>
            <w:tcMar>
              <w:top w:type="dxa" w:w="90"/>
              <w:left w:type="dxa" w:w="110"/>
              <w:bottom w:type="dxa" w:w="90"/>
              <w:right w:type="dxa" w:w="110"/>
            </w:tcMar>
            <w:vAlign w:val="center"/>
          </w:tcPr>
          <w:p>
            <w:r>
              <w:rPr>
                <w:b w:val="false"/>
                <w:bCs w:val="false"/>
                <w:sz w:val="19"/>
                <w:szCs w:val="19"/>
              </w:rPr>
              <w:t xml:space="preserve">Active</w:t>
            </w:r>
          </w:p>
        </w:tc>
        <w:tc>
          <w:tcPr>
            <w:tcW w:type="dxa" w:w="3800"/>
            <w:shd w:fill="F2F2F2" w:val="clear"/>
            <w:tcMar>
              <w:top w:type="dxa" w:w="90"/>
              <w:left w:type="dxa" w:w="110"/>
              <w:bottom w:type="dxa" w:w="90"/>
              <w:right w:type="dxa" w:w="110"/>
            </w:tcMar>
            <w:vAlign w:val="center"/>
          </w:tcPr>
          <w:p>
            <w:r>
              <w:rPr>
                <w:b w:val="false"/>
                <w:bCs w:val="false"/>
                <w:sz w:val="19"/>
                <w:szCs w:val="19"/>
              </w:rPr>
              <w:t xml:space="preserve">Verified and presently relevant</w:t>
            </w:r>
          </w:p>
        </w:tc>
        <w:tc>
          <w:tcPr>
            <w:tcW w:type="dxa" w:w="3960"/>
            <w:shd w:fill="F2F2F2" w:val="clear"/>
            <w:tcMar>
              <w:top w:type="dxa" w:w="90"/>
              <w:left w:type="dxa" w:w="110"/>
              <w:bottom w:type="dxa" w:w="90"/>
              <w:right w:type="dxa" w:w="110"/>
            </w:tcMar>
            <w:vAlign w:val="center"/>
          </w:tcPr>
          <w:p>
            <w:r>
              <w:rPr>
                <w:b w:val="false"/>
                <w:bCs w:val="false"/>
                <w:sz w:val="19"/>
                <w:szCs w:val="19"/>
              </w:rPr>
              <w:t xml:space="preserve">Authorized for full operational use</w:t>
            </w:r>
          </w:p>
        </w:tc>
      </w:tr>
      <w:tr>
        <w:tc>
          <w:tcPr>
            <w:tcW w:type="dxa" w:w="1600"/>
            <w:tcMar>
              <w:top w:type="dxa" w:w="90"/>
              <w:left w:type="dxa" w:w="110"/>
              <w:bottom w:type="dxa" w:w="90"/>
              <w:right w:type="dxa" w:w="110"/>
            </w:tcMar>
            <w:vAlign w:val="center"/>
          </w:tcPr>
          <w:p>
            <w:r>
              <w:rPr>
                <w:b w:val="false"/>
                <w:bCs w:val="false"/>
                <w:sz w:val="19"/>
                <w:szCs w:val="19"/>
              </w:rPr>
              <w:t xml:space="preserve">Provisional</w:t>
            </w:r>
          </w:p>
        </w:tc>
        <w:tc>
          <w:tcPr>
            <w:tcW w:type="dxa" w:w="3800"/>
            <w:tcMar>
              <w:top w:type="dxa" w:w="90"/>
              <w:left w:type="dxa" w:w="110"/>
              <w:bottom w:type="dxa" w:w="90"/>
              <w:right w:type="dxa" w:w="110"/>
            </w:tcMar>
            <w:vAlign w:val="center"/>
          </w:tcPr>
          <w:p>
            <w:r>
              <w:rPr>
                <w:b w:val="false"/>
                <w:bCs w:val="false"/>
                <w:sz w:val="19"/>
                <w:szCs w:val="19"/>
              </w:rPr>
              <w:t xml:space="preserve">Plausible but not yet corroborated</w:t>
            </w:r>
          </w:p>
        </w:tc>
        <w:tc>
          <w:tcPr>
            <w:tcW w:type="dxa" w:w="3960"/>
            <w:tcMar>
              <w:top w:type="dxa" w:w="90"/>
              <w:left w:type="dxa" w:w="110"/>
              <w:bottom w:type="dxa" w:w="90"/>
              <w:right w:type="dxa" w:w="110"/>
            </w:tcMar>
            <w:vAlign w:val="center"/>
          </w:tcPr>
          <w:p>
            <w:r>
              <w:rPr>
                <w:b w:val="false"/>
                <w:bCs w:val="false"/>
                <w:sz w:val="19"/>
                <w:szCs w:val="19"/>
              </w:rPr>
              <w:t xml:space="preserve">May be retained and monitored; limited analytical use only</w:t>
            </w:r>
          </w:p>
        </w:tc>
      </w:tr>
      <w:tr>
        <w:tc>
          <w:tcPr>
            <w:tcW w:type="dxa" w:w="1600"/>
            <w:shd w:fill="F2F2F2" w:val="clear"/>
            <w:tcMar>
              <w:top w:type="dxa" w:w="90"/>
              <w:left w:type="dxa" w:w="110"/>
              <w:bottom w:type="dxa" w:w="90"/>
              <w:right w:type="dxa" w:w="110"/>
            </w:tcMar>
            <w:vAlign w:val="center"/>
          </w:tcPr>
          <w:p>
            <w:r>
              <w:rPr>
                <w:b w:val="false"/>
                <w:bCs w:val="false"/>
                <w:sz w:val="19"/>
                <w:szCs w:val="19"/>
              </w:rPr>
              <w:t xml:space="preserve">Latent</w:t>
            </w:r>
          </w:p>
        </w:tc>
        <w:tc>
          <w:tcPr>
            <w:tcW w:type="dxa" w:w="3800"/>
            <w:shd w:fill="F2F2F2" w:val="clear"/>
            <w:tcMar>
              <w:top w:type="dxa" w:w="90"/>
              <w:left w:type="dxa" w:w="110"/>
              <w:bottom w:type="dxa" w:w="90"/>
              <w:right w:type="dxa" w:w="110"/>
            </w:tcMar>
            <w:vAlign w:val="center"/>
          </w:tcPr>
          <w:p>
            <w:r>
              <w:rPr>
                <w:b w:val="false"/>
                <w:bCs w:val="false"/>
                <w:sz w:val="19"/>
                <w:szCs w:val="19"/>
              </w:rPr>
              <w:t xml:space="preserve">No present use identified, but plausibly meaningful later</w:t>
            </w:r>
          </w:p>
        </w:tc>
        <w:tc>
          <w:tcPr>
            <w:tcW w:type="dxa" w:w="3960"/>
            <w:shd w:fill="F2F2F2" w:val="clear"/>
            <w:tcMar>
              <w:top w:type="dxa" w:w="90"/>
              <w:left w:type="dxa" w:w="110"/>
              <w:bottom w:type="dxa" w:w="90"/>
              <w:right w:type="dxa" w:w="110"/>
            </w:tcMar>
            <w:vAlign w:val="center"/>
          </w:tcPr>
          <w:p>
            <w:r>
              <w:rPr>
                <w:b w:val="false"/>
                <w:bCs w:val="false"/>
                <w:sz w:val="19"/>
                <w:szCs w:val="19"/>
              </w:rPr>
              <w:t xml:space="preserve">Retained securely; scheduled for periodic reassessment</w:t>
            </w:r>
          </w:p>
        </w:tc>
      </w:tr>
      <w:tr>
        <w:tc>
          <w:tcPr>
            <w:tcW w:type="dxa" w:w="1600"/>
            <w:tcMar>
              <w:top w:type="dxa" w:w="90"/>
              <w:left w:type="dxa" w:w="110"/>
              <w:bottom w:type="dxa" w:w="90"/>
              <w:right w:type="dxa" w:w="110"/>
            </w:tcMar>
            <w:vAlign w:val="center"/>
          </w:tcPr>
          <w:p>
            <w:r>
              <w:rPr>
                <w:b w:val="false"/>
                <w:bCs w:val="false"/>
                <w:sz w:val="19"/>
                <w:szCs w:val="19"/>
              </w:rPr>
              <w:t xml:space="preserve">Restricted</w:t>
            </w:r>
          </w:p>
        </w:tc>
        <w:tc>
          <w:tcPr>
            <w:tcW w:type="dxa" w:w="3800"/>
            <w:tcMar>
              <w:top w:type="dxa" w:w="90"/>
              <w:left w:type="dxa" w:w="110"/>
              <w:bottom w:type="dxa" w:w="90"/>
              <w:right w:type="dxa" w:w="110"/>
            </w:tcMar>
            <w:vAlign w:val="center"/>
          </w:tcPr>
          <w:p>
            <w:r>
              <w:rPr>
                <w:b w:val="false"/>
                <w:bCs w:val="false"/>
                <w:sz w:val="19"/>
                <w:szCs w:val="19"/>
              </w:rPr>
              <w:t xml:space="preserve">Sensitive, hazardous, private, or otherwise access-limited</w:t>
            </w:r>
          </w:p>
        </w:tc>
        <w:tc>
          <w:tcPr>
            <w:tcW w:type="dxa" w:w="3960"/>
            <w:tcMar>
              <w:top w:type="dxa" w:w="90"/>
              <w:left w:type="dxa" w:w="110"/>
              <w:bottom w:type="dxa" w:w="90"/>
              <w:right w:type="dxa" w:w="110"/>
            </w:tcMar>
            <w:vAlign w:val="center"/>
          </w:tcPr>
          <w:p>
            <w:r>
              <w:rPr>
                <w:b w:val="false"/>
                <w:bCs w:val="false"/>
                <w:sz w:val="19"/>
                <w:szCs w:val="19"/>
              </w:rPr>
              <w:t xml:space="preserve">Compartmentalized; access requires designated clearance</w:t>
            </w:r>
          </w:p>
        </w:tc>
      </w:tr>
      <w:tr>
        <w:tc>
          <w:tcPr>
            <w:tcW w:type="dxa" w:w="1600"/>
            <w:shd w:fill="F2F2F2" w:val="clear"/>
            <w:tcMar>
              <w:top w:type="dxa" w:w="90"/>
              <w:left w:type="dxa" w:w="110"/>
              <w:bottom w:type="dxa" w:w="90"/>
              <w:right w:type="dxa" w:w="110"/>
            </w:tcMar>
            <w:vAlign w:val="center"/>
          </w:tcPr>
          <w:p>
            <w:r>
              <w:rPr>
                <w:b w:val="false"/>
                <w:bCs w:val="false"/>
                <w:sz w:val="19"/>
                <w:szCs w:val="19"/>
              </w:rPr>
              <w:t xml:space="preserve">Anomalous</w:t>
            </w:r>
          </w:p>
        </w:tc>
        <w:tc>
          <w:tcPr>
            <w:tcW w:type="dxa" w:w="3800"/>
            <w:shd w:fill="F2F2F2" w:val="clear"/>
            <w:tcMar>
              <w:top w:type="dxa" w:w="90"/>
              <w:left w:type="dxa" w:w="110"/>
              <w:bottom w:type="dxa" w:w="90"/>
              <w:right w:type="dxa" w:w="110"/>
            </w:tcMar>
            <w:vAlign w:val="center"/>
          </w:tcPr>
          <w:p>
            <w:r>
              <w:rPr>
                <w:b w:val="false"/>
                <w:bCs w:val="false"/>
                <w:sz w:val="19"/>
                <w:szCs w:val="19"/>
              </w:rPr>
              <w:t xml:space="preserve">Does not fit existing categories or models</w:t>
            </w:r>
          </w:p>
        </w:tc>
        <w:tc>
          <w:tcPr>
            <w:tcW w:type="dxa" w:w="3960"/>
            <w:shd w:fill="F2F2F2" w:val="clear"/>
            <w:tcMar>
              <w:top w:type="dxa" w:w="90"/>
              <w:left w:type="dxa" w:w="110"/>
              <w:bottom w:type="dxa" w:w="90"/>
              <w:right w:type="dxa" w:w="110"/>
            </w:tcMar>
            <w:vAlign w:val="center"/>
          </w:tcPr>
          <w:p>
            <w:r>
              <w:rPr>
                <w:b w:val="false"/>
                <w:bCs w:val="false"/>
                <w:sz w:val="19"/>
                <w:szCs w:val="19"/>
              </w:rPr>
              <w:t xml:space="preserve">Held for specialist or ontology review before further handling</w:t>
            </w:r>
          </w:p>
        </w:tc>
      </w:tr>
      <w:tr>
        <w:tc>
          <w:tcPr>
            <w:tcW w:type="dxa" w:w="1600"/>
            <w:tcMar>
              <w:top w:type="dxa" w:w="90"/>
              <w:left w:type="dxa" w:w="110"/>
              <w:bottom w:type="dxa" w:w="90"/>
              <w:right w:type="dxa" w:w="110"/>
            </w:tcMar>
            <w:vAlign w:val="center"/>
          </w:tcPr>
          <w:p>
            <w:r>
              <w:rPr>
                <w:b w:val="false"/>
                <w:bCs w:val="false"/>
                <w:sz w:val="19"/>
                <w:szCs w:val="19"/>
              </w:rPr>
              <w:t xml:space="preserve">Contested</w:t>
            </w:r>
          </w:p>
        </w:tc>
        <w:tc>
          <w:tcPr>
            <w:tcW w:type="dxa" w:w="3800"/>
            <w:tcMar>
              <w:top w:type="dxa" w:w="90"/>
              <w:left w:type="dxa" w:w="110"/>
              <w:bottom w:type="dxa" w:w="90"/>
              <w:right w:type="dxa" w:w="110"/>
            </w:tcMar>
            <w:vAlign w:val="center"/>
          </w:tcPr>
          <w:p>
            <w:r>
              <w:rPr>
                <w:b w:val="false"/>
                <w:bCs w:val="false"/>
                <w:sz w:val="19"/>
                <w:szCs w:val="19"/>
              </w:rPr>
              <w:t xml:space="preserve">Contradicted, disputed, or of uncertain reliability</w:t>
            </w:r>
          </w:p>
        </w:tc>
        <w:tc>
          <w:tcPr>
            <w:tcW w:type="dxa" w:w="3960"/>
            <w:tcMar>
              <w:top w:type="dxa" w:w="90"/>
              <w:left w:type="dxa" w:w="110"/>
              <w:bottom w:type="dxa" w:w="90"/>
              <w:right w:type="dxa" w:w="110"/>
            </w:tcMar>
            <w:vAlign w:val="center"/>
          </w:tcPr>
          <w:p>
            <w:r>
              <w:rPr>
                <w:b w:val="false"/>
                <w:bCs w:val="false"/>
                <w:sz w:val="19"/>
                <w:szCs w:val="19"/>
              </w:rPr>
              <w:t xml:space="preserve">Corroboration required before operational use</w:t>
            </w:r>
          </w:p>
        </w:tc>
      </w:tr>
      <w:tr>
        <w:tc>
          <w:tcPr>
            <w:tcW w:type="dxa" w:w="1600"/>
            <w:shd w:fill="F2F2F2" w:val="clear"/>
            <w:tcMar>
              <w:top w:type="dxa" w:w="90"/>
              <w:left w:type="dxa" w:w="110"/>
              <w:bottom w:type="dxa" w:w="90"/>
              <w:right w:type="dxa" w:w="110"/>
            </w:tcMar>
            <w:vAlign w:val="center"/>
          </w:tcPr>
          <w:p>
            <w:r>
              <w:rPr>
                <w:b w:val="false"/>
                <w:bCs w:val="false"/>
                <w:sz w:val="19"/>
                <w:szCs w:val="19"/>
              </w:rPr>
              <w:t xml:space="preserve">Excluded</w:t>
            </w:r>
          </w:p>
        </w:tc>
        <w:tc>
          <w:tcPr>
            <w:tcW w:type="dxa" w:w="3800"/>
            <w:shd w:fill="F2F2F2" w:val="clear"/>
            <w:tcMar>
              <w:top w:type="dxa" w:w="90"/>
              <w:left w:type="dxa" w:w="110"/>
              <w:bottom w:type="dxa" w:w="90"/>
              <w:right w:type="dxa" w:w="110"/>
            </w:tcMar>
            <w:vAlign w:val="center"/>
          </w:tcPr>
          <w:p>
            <w:r>
              <w:rPr>
                <w:b w:val="false"/>
                <w:bCs w:val="false"/>
                <w:sz w:val="19"/>
                <w:szCs w:val="19"/>
              </w:rPr>
              <w:t xml:space="preserve">Formally removed from active consideration by review</w:t>
            </w:r>
          </w:p>
        </w:tc>
        <w:tc>
          <w:tcPr>
            <w:tcW w:type="dxa" w:w="3960"/>
            <w:shd w:fill="F2F2F2" w:val="clear"/>
            <w:tcMar>
              <w:top w:type="dxa" w:w="90"/>
              <w:left w:type="dxa" w:w="110"/>
              <w:bottom w:type="dxa" w:w="90"/>
              <w:right w:type="dxa" w:w="110"/>
            </w:tcMar>
            <w:vAlign w:val="center"/>
          </w:tcPr>
          <w:p>
            <w:r>
              <w:rPr>
                <w:b w:val="false"/>
                <w:bCs w:val="false"/>
                <w:sz w:val="19"/>
                <w:szCs w:val="19"/>
              </w:rPr>
              <w:t xml:space="preserve">Handling governed entirely by the terms of the granted exclusion (Article VI)</w:t>
            </w:r>
          </w:p>
        </w:tc>
      </w:tr>
    </w:tbl>
    <w:p>
      <w:pPr>
        <w:spacing w:after="180"/>
      </w:pPr>
      <w:r>
        <w:t xml:space="preserve">Latent status is worth calling out specifically: it gives the system a legitimate, bounded place to hold information that has no current application without ever having to claim the information is permanently irrelevant — which matters for anything meant to evolve over time.</w:t>
      </w:r>
    </w:p>
    <w:p>
      <w:pPr>
        <w:pStyle w:val="Heading1"/>
        <w:spacing w:after="160" w:before="320"/>
      </w:pPr>
      <w:r>
        <w:t xml:space="preserve">4. Article III — Authorized Utilization</w:t>
      </w:r>
    </w:p>
    <w:p>
      <w:pPr>
        <w:spacing w:after="180"/>
      </w:pPr>
      <w:r>
        <w:t xml:space="preserve">Information admitted and classified under Articles I–II may be used for the following purpose-families. This list is illustrative and open, not exhaustive — new purpose-families may be recognized without amending this Charter, but each new family should be logged for traceability (see Article VII).</w:t>
      </w:r>
    </w:p>
    <w:p>
      <w:pPr>
        <w:pStyle w:val="ListParagraph"/>
        <w:numPr>
          <w:ilvl w:val="0"/>
          <w:numId w:val="1"/>
        </w:numPr>
        <w:spacing w:after="80"/>
      </w:pPr>
      <w:r>
        <w:t xml:space="preserve">Evolution — informing durable, structural change to a system's capabilities or governing rules.</w:t>
      </w:r>
    </w:p>
    <w:p>
      <w:pPr>
        <w:pStyle w:val="ListParagraph"/>
        <w:numPr>
          <w:ilvl w:val="0"/>
          <w:numId w:val="1"/>
        </w:numPr>
        <w:spacing w:after="80"/>
      </w:pPr>
      <w:r>
        <w:t xml:space="preserve">Adaptation — adjusting response rules and behavior based on evaluated outcomes.</w:t>
      </w:r>
    </w:p>
    <w:p>
      <w:pPr>
        <w:pStyle w:val="ListParagraph"/>
        <w:numPr>
          <w:ilvl w:val="0"/>
          <w:numId w:val="1"/>
        </w:numPr>
        <w:spacing w:after="80"/>
      </w:pPr>
      <w:r>
        <w:t xml:space="preserve">Improvement — refining accuracy, safeguards, or resource use without structural change.</w:t>
      </w:r>
    </w:p>
    <w:p>
      <w:pPr>
        <w:pStyle w:val="ListParagraph"/>
        <w:numPr>
          <w:ilvl w:val="0"/>
          <w:numId w:val="1"/>
        </w:numPr>
        <w:spacing w:after="80"/>
      </w:pPr>
      <w:r>
        <w:t xml:space="preserve">Contingency development — building conditional response pathways in advance of need.</w:t>
      </w:r>
    </w:p>
    <w:p>
      <w:pPr>
        <w:pStyle w:val="ListParagraph"/>
        <w:numPr>
          <w:ilvl w:val="0"/>
          <w:numId w:val="1"/>
        </w:numPr>
        <w:spacing w:after="80"/>
      </w:pPr>
      <w:r>
        <w:t xml:space="preserve">Escalation calibration — adjusting the magnitude, scope, or urgency of existing responses.</w:t>
      </w:r>
    </w:p>
    <w:p>
      <w:pPr>
        <w:pStyle w:val="ListParagraph"/>
        <w:numPr>
          <w:ilvl w:val="0"/>
          <w:numId w:val="1"/>
        </w:numPr>
        <w:spacing w:after="80"/>
      </w:pPr>
      <w:r>
        <w:t xml:space="preserve">Continuity — preserving system memory, integrity, and historical record.</w:t>
      </w:r>
    </w:p>
    <w:p>
      <w:pPr>
        <w:pStyle w:val="ListParagraph"/>
        <w:numPr>
          <w:ilvl w:val="0"/>
          <w:numId w:val="1"/>
        </w:numPr>
        <w:spacing w:after="80"/>
      </w:pPr>
      <w:r>
        <w:t xml:space="preserve">Forensic reconstruction — determining what occurred, when, and why, after the fact.</w:t>
      </w:r>
    </w:p>
    <w:p>
      <w:pPr>
        <w:pStyle w:val="ListParagraph"/>
        <w:numPr>
          <w:ilvl w:val="0"/>
          <w:numId w:val="1"/>
        </w:numPr>
        <w:spacing w:after="80"/>
      </w:pPr>
      <w:r>
        <w:t xml:space="preserve">Ontology expansion — recognizing when an item requires an entirely new category or framework.</w:t>
      </w:r>
    </w:p>
    <w:p>
      <w:pPr>
        <w:spacing w:after="180"/>
      </w:pPr>
      <w:r>
        <w:t xml:space="preserve">Admission and classification under Articles I–II establish only eligibility for these uses. A specific use still has to be authorized under the relevant entity's own operating rules — this Charter does not, by itself, grant blanket standing authorization for every use against every piece of information all the time.</w:t>
      </w:r>
    </w:p>
    <w:p>
      <w:pPr>
        <w:pStyle w:val="Heading1"/>
        <w:spacing w:after="160" w:before="320"/>
      </w:pPr>
      <w:r>
        <w:t xml:space="preserve">5. Article IV — Jurisdictional Allocation Across the Three Entities</w:t>
      </w:r>
    </w:p>
    <w:p>
      <w:pPr>
        <w:spacing w:after="180"/>
      </w:pPr>
      <w:r>
        <w:t xml:space="preserve">Articles I–III establish a shared doctrine. This Article addresses where the three named entities diverge — because a single undifferentiated charter risks quietly importing OAL's expansive worldbuilding logic into ONE INDUSTRIES or LEWIS CORP without anyone deciding that was appropriate.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shd w:fill="2F3B52" w:val="clear"/>
            <w:tcMar>
              <w:top w:type="dxa" w:w="90"/>
              <w:left w:type="dxa" w:w="110"/>
              <w:bottom w:type="dxa" w:w="90"/>
              <w:right w:type="dxa" w:w="110"/>
            </w:tcMar>
            <w:vAlign w:val="center"/>
          </w:tcPr>
          <w:p>
            <w:r>
              <w:rPr>
                <w:b/>
                <w:bCs/>
                <w:sz w:val="19"/>
                <w:szCs w:val="19"/>
              </w:rPr>
              <w:t xml:space="preserve">Entity</w:t>
            </w:r>
          </w:p>
        </w:tc>
        <w:tc>
          <w:tcPr>
            <w:tcW w:type="dxa" w:w="3600"/>
            <w:shd w:fill="2F3B52" w:val="clear"/>
            <w:tcMar>
              <w:top w:type="dxa" w:w="90"/>
              <w:left w:type="dxa" w:w="110"/>
              <w:bottom w:type="dxa" w:w="90"/>
              <w:right w:type="dxa" w:w="110"/>
            </w:tcMar>
            <w:vAlign w:val="center"/>
          </w:tcPr>
          <w:p>
            <w:r>
              <w:rPr>
                <w:b/>
                <w:bCs/>
                <w:sz w:val="19"/>
                <w:szCs w:val="19"/>
              </w:rPr>
              <w:t xml:space="preserve">Working characterization</w:t>
            </w:r>
          </w:p>
        </w:tc>
        <w:tc>
          <w:tcPr>
            <w:tcW w:type="dxa" w:w="3860"/>
            <w:shd w:fill="2F3B52" w:val="clear"/>
            <w:tcMar>
              <w:top w:type="dxa" w:w="90"/>
              <w:left w:type="dxa" w:w="110"/>
              <w:bottom w:type="dxa" w:w="90"/>
              <w:right w:type="dxa" w:w="110"/>
            </w:tcMar>
            <w:vAlign w:val="center"/>
          </w:tcPr>
          <w:p>
            <w:r>
              <w:rPr>
                <w:b/>
                <w:bCs/>
                <w:sz w:val="19"/>
                <w:szCs w:val="19"/>
              </w:rPr>
              <w:t xml:space="preserve">Scope note</w:t>
            </w:r>
          </w:p>
        </w:tc>
      </w:tr>
      <w:tr>
        <w:tc>
          <w:tcPr>
            <w:tcW w:type="dxa" w:w="1900"/>
            <w:shd w:fill="F2F2F2" w:val="clear"/>
            <w:tcMar>
              <w:top w:type="dxa" w:w="90"/>
              <w:left w:type="dxa" w:w="110"/>
              <w:bottom w:type="dxa" w:w="90"/>
              <w:right w:type="dxa" w:w="110"/>
            </w:tcMar>
            <w:vAlign w:val="center"/>
          </w:tcPr>
          <w:p>
            <w:r>
              <w:rPr>
                <w:b w:val="false"/>
                <w:bCs w:val="false"/>
                <w:sz w:val="19"/>
                <w:szCs w:val="19"/>
              </w:rPr>
              <w:t xml:space="preserve">OAL</w:t>
            </w:r>
          </w:p>
        </w:tc>
        <w:tc>
          <w:tcPr>
            <w:tcW w:type="dxa" w:w="3600"/>
            <w:shd w:fill="F2F2F2" w:val="clear"/>
            <w:tcMar>
              <w:top w:type="dxa" w:w="90"/>
              <w:left w:type="dxa" w:w="110"/>
              <w:bottom w:type="dxa" w:w="90"/>
              <w:right w:type="dxa" w:w="110"/>
            </w:tcMar>
            <w:vAlign w:val="center"/>
          </w:tcPr>
          <w:p>
            <w:r>
              <w:rPr>
                <w:b w:val="false"/>
                <w:bCs w:val="false"/>
                <w:sz w:val="19"/>
                <w:szCs w:val="19"/>
              </w:rPr>
              <w:t xml:space="preserve">Worldbuilding / simulation-architecture framework; governed by existing ratified canon (Total Event Closure, BTEC, Open Window Doctrine, AIDR).</w:t>
            </w:r>
          </w:p>
        </w:tc>
        <w:tc>
          <w:tcPr>
            <w:tcW w:type="dxa" w:w="3860"/>
            <w:shd w:fill="F2F2F2" w:val="clear"/>
            <w:tcMar>
              <w:top w:type="dxa" w:w="90"/>
              <w:left w:type="dxa" w:w="110"/>
              <w:bottom w:type="dxa" w:w="90"/>
              <w:right w:type="dxa" w:w="110"/>
            </w:tcMar>
            <w:vAlign w:val="center"/>
          </w:tcPr>
          <w:p>
            <w:r>
              <w:rPr>
                <w:b w:val="false"/>
                <w:bCs w:val="false"/>
                <w:sz w:val="19"/>
                <w:szCs w:val="19"/>
              </w:rPr>
              <w:t xml:space="preserve">This Charter's Articles I–III can likely sit directly under OAL's existing canon stack largely as drafted, since the logic already matches OAL's established design philosophy.</w:t>
            </w:r>
          </w:p>
        </w:tc>
      </w:tr>
      <w:tr>
        <w:tc>
          <w:tcPr>
            <w:tcW w:type="dxa" w:w="1900"/>
            <w:tcMar>
              <w:top w:type="dxa" w:w="90"/>
              <w:left w:type="dxa" w:w="110"/>
              <w:bottom w:type="dxa" w:w="90"/>
              <w:right w:type="dxa" w:w="110"/>
            </w:tcMar>
            <w:vAlign w:val="center"/>
          </w:tcPr>
          <w:p>
            <w:r>
              <w:rPr>
                <w:b w:val="false"/>
                <w:bCs w:val="false"/>
                <w:sz w:val="19"/>
                <w:szCs w:val="19"/>
              </w:rPr>
              <w:t xml:space="preserve">ONE INDUSTRIES</w:t>
            </w:r>
          </w:p>
        </w:tc>
        <w:tc>
          <w:tcPr>
            <w:tcW w:type="dxa" w:w="3600"/>
            <w:tcMar>
              <w:top w:type="dxa" w:w="90"/>
              <w:left w:type="dxa" w:w="110"/>
              <w:bottom w:type="dxa" w:w="90"/>
              <w:right w:type="dxa" w:w="110"/>
            </w:tcMar>
            <w:vAlign w:val="center"/>
          </w:tcPr>
          <w:p>
            <w:r>
              <w:rPr>
                <w:b w:val="false"/>
                <w:bCs w:val="false"/>
                <w:sz w:val="19"/>
                <w:szCs w:val="19"/>
              </w:rPr>
              <w:t xml:space="preserve">Not yet specified in prior sessions available to this draft.</w:t>
            </w:r>
          </w:p>
        </w:tc>
        <w:tc>
          <w:tcPr>
            <w:tcW w:type="dxa" w:w="3860"/>
            <w:tcMar>
              <w:top w:type="dxa" w:w="90"/>
              <w:left w:type="dxa" w:w="110"/>
              <w:bottom w:type="dxa" w:w="90"/>
              <w:right w:type="dxa" w:w="110"/>
            </w:tcMar>
            <w:vAlign w:val="center"/>
          </w:tcPr>
          <w:p>
            <w:r>
              <w:rPr>
                <w:b w:val="false"/>
                <w:bCs w:val="false"/>
                <w:sz w:val="19"/>
                <w:szCs w:val="19"/>
              </w:rPr>
              <w:t xml:space="preserve">OPEN — needs Nathan's input on what ONE INDUSTRIES is (corporate entity? in-universe faction? real-world venture?) before its admissibility scope, stakeholders, and exclusion authority can be responsibly defined.</w:t>
            </w:r>
          </w:p>
        </w:tc>
      </w:tr>
      <w:tr>
        <w:tc>
          <w:tcPr>
            <w:tcW w:type="dxa" w:w="1900"/>
            <w:shd w:fill="F2F2F2" w:val="clear"/>
            <w:tcMar>
              <w:top w:type="dxa" w:w="90"/>
              <w:left w:type="dxa" w:w="110"/>
              <w:bottom w:type="dxa" w:w="90"/>
              <w:right w:type="dxa" w:w="110"/>
            </w:tcMar>
            <w:vAlign w:val="center"/>
          </w:tcPr>
          <w:p>
            <w:r>
              <w:rPr>
                <w:b w:val="false"/>
                <w:bCs w:val="false"/>
                <w:sz w:val="19"/>
                <w:szCs w:val="19"/>
              </w:rPr>
              <w:t xml:space="preserve">LEWIS CORP</w:t>
            </w:r>
          </w:p>
        </w:tc>
        <w:tc>
          <w:tcPr>
            <w:tcW w:type="dxa" w:w="3600"/>
            <w:shd w:fill="F2F2F2" w:val="clear"/>
            <w:tcMar>
              <w:top w:type="dxa" w:w="90"/>
              <w:left w:type="dxa" w:w="110"/>
              <w:bottom w:type="dxa" w:w="90"/>
              <w:right w:type="dxa" w:w="110"/>
            </w:tcMar>
            <w:vAlign w:val="center"/>
          </w:tcPr>
          <w:p>
            <w:r>
              <w:rPr>
                <w:b w:val="false"/>
                <w:bCs w:val="false"/>
                <w:sz w:val="19"/>
                <w:szCs w:val="19"/>
              </w:rPr>
              <w:t xml:space="preserve">Not yet specified in prior sessions available to this draft.</w:t>
            </w:r>
          </w:p>
        </w:tc>
        <w:tc>
          <w:tcPr>
            <w:tcW w:type="dxa" w:w="3860"/>
            <w:shd w:fill="F2F2F2" w:val="clear"/>
            <w:tcMar>
              <w:top w:type="dxa" w:w="90"/>
              <w:left w:type="dxa" w:w="110"/>
              <w:bottom w:type="dxa" w:w="90"/>
              <w:right w:type="dxa" w:w="110"/>
            </w:tcMar>
            <w:vAlign w:val="center"/>
          </w:tcPr>
          <w:p>
            <w:r>
              <w:rPr>
                <w:b w:val="false"/>
                <w:bCs w:val="false"/>
                <w:sz w:val="19"/>
                <w:szCs w:val="19"/>
              </w:rPr>
              <w:t xml:space="preserve">OPEN — same gap as above. If LEWIS CORP is meant to hold real-world data (e.g., about Nathan personally, or third parties), that likely warrants materially narrower default admissibility than OAL's in-universe doctrine, not the same one.</w:t>
            </w:r>
          </w:p>
        </w:tc>
      </w:tr>
    </w:tbl>
    <w:p>
      <w:pPr>
        <w:spacing w:after="180"/>
      </w:pPr>
      <w:r>
        <w:t xml:space="preserve">Recommendation: rather than writing one charter that silently applies OAL-scale admissibility to all three entities, this draft proposes Articles I-III as the shared baseline doctrine, with each entity permitted to layer entity-specific restrictions on top (never fewer restrictions, only more) via an entity-specific annex. Until ONE INDUSTRIES and LEWIS CORP are defined, this Charter should be treated as fully operative for OAL only, and provisional/non-binding for the other two.</w:t>
      </w:r>
    </w:p>
    <w:p>
      <w:pPr>
        <w:pStyle w:val="Heading1"/>
        <w:spacing w:after="160" w:before="320"/>
      </w:pPr>
      <w:r>
        <w:t xml:space="preserve">6. Article V — Review Authority</w:t>
      </w:r>
    </w:p>
    <w:p>
      <w:pPr>
        <w:spacing w:after="180"/>
      </w:pPr>
      <w:r>
        <w:t xml:space="preserve">Ultimate ratification and exclusion-review authority across all three entities rests with Nathan Lewis II, consistent with existing ONESTAMP governance. Nathan may, at his discretion, designate delegated review authority for a specific entity or a specific class of low-severity exclusion requests; absent such delegation, all exclusion requests route to Nathan directly.</w:t>
      </w:r>
    </w:p>
    <w:p>
      <w:pPr>
        <w:spacing w:after="180"/>
      </w:pPr>
      <w:r>
        <w:t xml:space="preserve">AI collaborators contributing to any of the three entities' systems hold advisory standing only. Per existing AIDR (AI Disagreement Register) practice, any AI collaborator that disagrees with a proposed admissibility, classification, or exclusion determination should flag that disagreement for the record before ratification — flagging does not block ratification, but ensures the disagreement is preserved rather than silently overridden.</w:t>
      </w:r>
    </w:p>
    <w:p>
      <w:pPr>
        <w:pStyle w:val="Heading1"/>
        <w:spacing w:after="160" w:before="320"/>
      </w:pPr>
      <w:r>
        <w:t xml:space="preserve">7. Article VI — Review-Bound Exclusion Protocol</w:t>
      </w:r>
    </w:p>
    <w:p>
      <w:pPr>
        <w:spacing w:after="180"/>
      </w:pPr>
      <w:r>
        <w:t xml:space="preserve">No information is self-excluding, and no category is presumptively withheld by default. Exclusion is available only through formal review, and applies only to the tier(s) expressly granted — an exclusion at one tier does not imply exclusion at any other tier. This tiering is the mechanism that keeps 'review-based only' from becoming an all-or-nothing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F3B52" w:val="clear"/>
            <w:tcMar>
              <w:top w:type="dxa" w:w="90"/>
              <w:left w:type="dxa" w:w="110"/>
              <w:bottom w:type="dxa" w:w="90"/>
              <w:right w:type="dxa" w:w="110"/>
            </w:tcMar>
            <w:vAlign w:val="center"/>
          </w:tcPr>
          <w:p>
            <w:r>
              <w:rPr>
                <w:b/>
                <w:bCs/>
                <w:sz w:val="19"/>
                <w:szCs w:val="19"/>
              </w:rPr>
              <w:t xml:space="preserve">Tier</w:t>
            </w:r>
          </w:p>
        </w:tc>
        <w:tc>
          <w:tcPr>
            <w:tcW w:type="dxa" w:w="6760"/>
            <w:shd w:fill="2F3B52" w:val="clear"/>
            <w:tcMar>
              <w:top w:type="dxa" w:w="90"/>
              <w:left w:type="dxa" w:w="110"/>
              <w:bottom w:type="dxa" w:w="90"/>
              <w:right w:type="dxa" w:w="110"/>
            </w:tcMar>
            <w:vAlign w:val="center"/>
          </w:tcPr>
          <w:p>
            <w:r>
              <w:rPr>
                <w:b/>
                <w:bCs/>
                <w:sz w:val="19"/>
                <w:szCs w:val="19"/>
              </w:rPr>
              <w:t xml:space="preserve">Effect when granted</w:t>
            </w:r>
          </w:p>
        </w:tc>
      </w:tr>
      <w:tr>
        <w:tc>
          <w:tcPr>
            <w:tcW w:type="dxa" w:w="2600"/>
            <w:shd w:fill="F2F2F2" w:val="clear"/>
            <w:tcMar>
              <w:top w:type="dxa" w:w="90"/>
              <w:left w:type="dxa" w:w="110"/>
              <w:bottom w:type="dxa" w:w="90"/>
              <w:right w:type="dxa" w:w="110"/>
            </w:tcMar>
            <w:vAlign w:val="center"/>
          </w:tcPr>
          <w:p>
            <w:r>
              <w:rPr>
                <w:b w:val="false"/>
                <w:bCs w:val="false"/>
                <w:sz w:val="19"/>
                <w:szCs w:val="19"/>
              </w:rPr>
              <w:t xml:space="preserve">1. Collection exclusion</w:t>
            </w:r>
          </w:p>
        </w:tc>
        <w:tc>
          <w:tcPr>
            <w:tcW w:type="dxa" w:w="6760"/>
            <w:shd w:fill="F2F2F2" w:val="clear"/>
            <w:tcMar>
              <w:top w:type="dxa" w:w="90"/>
              <w:left w:type="dxa" w:w="110"/>
              <w:bottom w:type="dxa" w:w="90"/>
              <w:right w:type="dxa" w:w="110"/>
            </w:tcMar>
            <w:vAlign w:val="center"/>
          </w:tcPr>
          <w:p>
            <w:r>
              <w:rPr>
                <w:b w:val="false"/>
                <w:bCs w:val="false"/>
                <w:sz w:val="19"/>
                <w:szCs w:val="19"/>
              </w:rPr>
              <w:t xml:space="preserve">The information may not be acquired at all.</w:t>
            </w:r>
          </w:p>
        </w:tc>
      </w:tr>
      <w:tr>
        <w:tc>
          <w:tcPr>
            <w:tcW w:type="dxa" w:w="2600"/>
            <w:tcMar>
              <w:top w:type="dxa" w:w="90"/>
              <w:left w:type="dxa" w:w="110"/>
              <w:bottom w:type="dxa" w:w="90"/>
              <w:right w:type="dxa" w:w="110"/>
            </w:tcMar>
            <w:vAlign w:val="center"/>
          </w:tcPr>
          <w:p>
            <w:r>
              <w:rPr>
                <w:b w:val="false"/>
                <w:bCs w:val="false"/>
                <w:sz w:val="19"/>
                <w:szCs w:val="19"/>
              </w:rPr>
              <w:t xml:space="preserve">2. Retention exclusion</w:t>
            </w:r>
          </w:p>
        </w:tc>
        <w:tc>
          <w:tcPr>
            <w:tcW w:type="dxa" w:w="6760"/>
            <w:tcMar>
              <w:top w:type="dxa" w:w="90"/>
              <w:left w:type="dxa" w:w="110"/>
              <w:bottom w:type="dxa" w:w="90"/>
              <w:right w:type="dxa" w:w="110"/>
            </w:tcMar>
            <w:vAlign w:val="center"/>
          </w:tcPr>
          <w:p>
            <w:r>
              <w:rPr>
                <w:b w:val="false"/>
                <w:bCs w:val="false"/>
                <w:sz w:val="19"/>
                <w:szCs w:val="19"/>
              </w:rPr>
              <w:t xml:space="preserve">The information may be observed but not stored beyond the moment of observation.</w:t>
            </w:r>
          </w:p>
        </w:tc>
      </w:tr>
      <w:tr>
        <w:tc>
          <w:tcPr>
            <w:tcW w:type="dxa" w:w="2600"/>
            <w:shd w:fill="F2F2F2" w:val="clear"/>
            <w:tcMar>
              <w:top w:type="dxa" w:w="90"/>
              <w:left w:type="dxa" w:w="110"/>
              <w:bottom w:type="dxa" w:w="90"/>
              <w:right w:type="dxa" w:w="110"/>
            </w:tcMar>
            <w:vAlign w:val="center"/>
          </w:tcPr>
          <w:p>
            <w:r>
              <w:rPr>
                <w:b w:val="false"/>
                <w:bCs w:val="false"/>
                <w:sz w:val="19"/>
                <w:szCs w:val="19"/>
              </w:rPr>
              <w:t xml:space="preserve">3. Correlation exclusion</w:t>
            </w:r>
          </w:p>
        </w:tc>
        <w:tc>
          <w:tcPr>
            <w:tcW w:type="dxa" w:w="6760"/>
            <w:shd w:fill="F2F2F2" w:val="clear"/>
            <w:tcMar>
              <w:top w:type="dxa" w:w="90"/>
              <w:left w:type="dxa" w:w="110"/>
              <w:bottom w:type="dxa" w:w="90"/>
              <w:right w:type="dxa" w:w="110"/>
            </w:tcMar>
            <w:vAlign w:val="center"/>
          </w:tcPr>
          <w:p>
            <w:r>
              <w:rPr>
                <w:b w:val="false"/>
                <w:bCs w:val="false"/>
                <w:sz w:val="19"/>
                <w:szCs w:val="19"/>
              </w:rPr>
              <w:t xml:space="preserve">The information may be retained but not linked to other held information.</w:t>
            </w:r>
          </w:p>
        </w:tc>
      </w:tr>
      <w:tr>
        <w:tc>
          <w:tcPr>
            <w:tcW w:type="dxa" w:w="2600"/>
            <w:tcMar>
              <w:top w:type="dxa" w:w="90"/>
              <w:left w:type="dxa" w:w="110"/>
              <w:bottom w:type="dxa" w:w="90"/>
              <w:right w:type="dxa" w:w="110"/>
            </w:tcMar>
            <w:vAlign w:val="center"/>
          </w:tcPr>
          <w:p>
            <w:r>
              <w:rPr>
                <w:b w:val="false"/>
                <w:bCs w:val="false"/>
                <w:sz w:val="19"/>
                <w:szCs w:val="19"/>
              </w:rPr>
              <w:t xml:space="preserve">4. Use exclusion</w:t>
            </w:r>
          </w:p>
        </w:tc>
        <w:tc>
          <w:tcPr>
            <w:tcW w:type="dxa" w:w="6760"/>
            <w:tcMar>
              <w:top w:type="dxa" w:w="90"/>
              <w:left w:type="dxa" w:w="110"/>
              <w:bottom w:type="dxa" w:w="90"/>
              <w:right w:type="dxa" w:w="110"/>
            </w:tcMar>
            <w:vAlign w:val="center"/>
          </w:tcPr>
          <w:p>
            <w:r>
              <w:rPr>
                <w:b w:val="false"/>
                <w:bCs w:val="false"/>
                <w:sz w:val="19"/>
                <w:szCs w:val="19"/>
              </w:rPr>
              <w:t xml:space="preserve">The information may exist in the system but may not be used for the specified purpose(s).</w:t>
            </w:r>
          </w:p>
        </w:tc>
      </w:tr>
      <w:tr>
        <w:tc>
          <w:tcPr>
            <w:tcW w:type="dxa" w:w="2600"/>
            <w:shd w:fill="F2F2F2" w:val="clear"/>
            <w:tcMar>
              <w:top w:type="dxa" w:w="90"/>
              <w:left w:type="dxa" w:w="110"/>
              <w:bottom w:type="dxa" w:w="90"/>
              <w:right w:type="dxa" w:w="110"/>
            </w:tcMar>
            <w:vAlign w:val="center"/>
          </w:tcPr>
          <w:p>
            <w:r>
              <w:rPr>
                <w:b w:val="false"/>
                <w:bCs w:val="false"/>
                <w:sz w:val="19"/>
                <w:szCs w:val="19"/>
              </w:rPr>
              <w:t xml:space="preserve">5. Propagation exclusion</w:t>
            </w:r>
          </w:p>
        </w:tc>
        <w:tc>
          <w:tcPr>
            <w:tcW w:type="dxa" w:w="6760"/>
            <w:shd w:fill="F2F2F2" w:val="clear"/>
            <w:tcMar>
              <w:top w:type="dxa" w:w="90"/>
              <w:left w:type="dxa" w:w="110"/>
              <w:bottom w:type="dxa" w:w="90"/>
              <w:right w:type="dxa" w:w="110"/>
            </w:tcMar>
            <w:vAlign w:val="center"/>
          </w:tcPr>
          <w:p>
            <w:r>
              <w:rPr>
                <w:b w:val="false"/>
                <w:bCs w:val="false"/>
                <w:sz w:val="19"/>
                <w:szCs w:val="19"/>
              </w:rPr>
              <w:t xml:space="preserve">The information may not be transmitted to another system, subsystem, or entity.</w:t>
            </w:r>
          </w:p>
        </w:tc>
      </w:tr>
      <w:tr>
        <w:tc>
          <w:tcPr>
            <w:tcW w:type="dxa" w:w="2600"/>
            <w:tcMar>
              <w:top w:type="dxa" w:w="90"/>
              <w:left w:type="dxa" w:w="110"/>
              <w:bottom w:type="dxa" w:w="90"/>
              <w:right w:type="dxa" w:w="110"/>
            </w:tcMar>
            <w:vAlign w:val="center"/>
          </w:tcPr>
          <w:p>
            <w:r>
              <w:rPr>
                <w:b w:val="false"/>
                <w:bCs w:val="false"/>
                <w:sz w:val="19"/>
                <w:szCs w:val="19"/>
              </w:rPr>
              <w:t xml:space="preserve">6. Evolutionary exclusion</w:t>
            </w:r>
          </w:p>
        </w:tc>
        <w:tc>
          <w:tcPr>
            <w:tcW w:type="dxa" w:w="6760"/>
            <w:tcMar>
              <w:top w:type="dxa" w:w="90"/>
              <w:left w:type="dxa" w:w="110"/>
              <w:bottom w:type="dxa" w:w="90"/>
              <w:right w:type="dxa" w:w="110"/>
            </w:tcMar>
            <w:vAlign w:val="center"/>
          </w:tcPr>
          <w:p>
            <w:r>
              <w:rPr>
                <w:b w:val="false"/>
                <w:bCs w:val="false"/>
                <w:sz w:val="19"/>
                <w:szCs w:val="19"/>
              </w:rPr>
              <w:t xml:space="preserve">The information may be observed and used operationally but may never inform permanent structural change to the system.</w:t>
            </w:r>
          </w:p>
        </w:tc>
      </w:tr>
    </w:tbl>
    <w:p>
      <w:pPr>
        <w:spacing w:after="180"/>
      </w:pPr>
      <w:r>
        <w:t xml:space="preserve">Tier 6 is deliberately distinct from Tier 4: a system might be fully permitted to act on a piece of information in the moment while being barred from letting that same information reshape what the system becomes. That distinction seems worth preserving explicitly, since 'know but don't evolve from' and 'don't use at all' are very different restrictions with very different narrative and governance implications.</w:t>
      </w:r>
    </w:p>
    <w:p>
      <w:pPr>
        <w:spacing w:after="180"/>
      </w:pPr>
      <w:r>
        <w:t xml:space="preserve">Every granted exclusion must record: the information or category excluded, the tier(s) granted, the reviewing authority, the stated rationale, the scope and duration of the exclusion, and the condition (if any) under which it will be reassessed. An exclusion without this record is not valid under this Charter.</w:t>
      </w:r>
    </w:p>
    <w:p>
      <w:pPr>
        <w:pStyle w:val="Heading1"/>
        <w:spacing w:after="160" w:before="320"/>
      </w:pPr>
      <w:r>
        <w:t xml:space="preserve">8. Article VII — Limitations and Safeguards</w:t>
      </w:r>
    </w:p>
    <w:p>
      <w:pPr>
        <w:spacing w:after="180"/>
      </w:pPr>
      <w:r>
        <w:t xml:space="preserve">Because this Charter's default is broad, its boundaries carry more weight, not less. The following limitations apply regardless of entity:</w:t>
      </w:r>
    </w:p>
    <w:p>
      <w:pPr>
        <w:pStyle w:val="ListParagraph"/>
        <w:numPr>
          <w:ilvl w:val="0"/>
          <w:numId w:val="1"/>
        </w:numPr>
        <w:spacing w:after="80"/>
      </w:pPr>
      <w:r>
        <w:t xml:space="preserve">Admission establishes eligibility for review only. It does not establish factual certainty, ownership, moral judgment, or entitlement to unrestricted use.</w:t>
      </w:r>
    </w:p>
    <w:p>
      <w:pPr>
        <w:pStyle w:val="ListParagraph"/>
        <w:numPr>
          <w:ilvl w:val="0"/>
          <w:numId w:val="1"/>
        </w:numPr>
        <w:spacing w:after="80"/>
      </w:pPr>
      <w:r>
        <w:t xml:space="preserve">Depth of collection, retention, correlation, and use should remain proportionate to the information's classification, confidence level, and the specific authorized purpose invoked — not to the maximum theoretically permitted by this Charter.</w:t>
      </w:r>
    </w:p>
    <w:p>
      <w:pPr>
        <w:pStyle w:val="ListParagraph"/>
        <w:numPr>
          <w:ilvl w:val="0"/>
          <w:numId w:val="1"/>
        </w:numPr>
        <w:spacing w:after="80"/>
      </w:pPr>
      <w:r>
        <w:t xml:space="preserve">Any item assigned Restricted, Anomalous, Contested, or Excluded status must retain a review record naming the responsible authority, the rationale, the permitted scope, and any re-evaluation condition.</w:t>
      </w:r>
    </w:p>
    <w:p>
      <w:pPr>
        <w:pStyle w:val="ListParagraph"/>
        <w:numPr>
          <w:ilvl w:val="0"/>
          <w:numId w:val="1"/>
        </w:numPr>
        <w:spacing w:after="80"/>
      </w:pPr>
      <w:r>
        <w:t xml:space="preserve">New purpose-families recognized under Article III should be logged, even though this Charter does not require amendment to recognize them, so the growth of authorized uses over time remains traceable.</w:t>
      </w:r>
    </w:p>
    <w:p>
      <w:pPr>
        <w:pStyle w:val="Heading1"/>
        <w:spacing w:after="160" w:before="320"/>
      </w:pPr>
      <w:r>
        <w:t xml:space="preserve">9. Open Questions for Nathan</w:t>
      </w:r>
    </w:p>
    <w:p>
      <w:pPr>
        <w:spacing w:after="180"/>
      </w:pPr>
      <w:r>
        <w:t xml:space="preserve">Flagged here rather than resolved by assumption, per standing practice (no idea is credited to Nathan, and no gap is silently filled, without his confirmation):</w:t>
      </w:r>
    </w:p>
    <w:p>
      <w:pPr>
        <w:pStyle w:val="ListParagraph"/>
        <w:numPr>
          <w:ilvl w:val="0"/>
          <w:numId w:val="1"/>
        </w:numPr>
        <w:spacing w:after="80"/>
      </w:pPr>
      <w:r>
        <w:t xml:space="preserve">What are ONE INDUSTRIES and LEWIS CORP, structurally — in-universe factions, real-world entities, or something else? This determines nearly everything in Article IV.</w:t>
      </w:r>
    </w:p>
    <w:p>
      <w:pPr>
        <w:pStyle w:val="ListParagraph"/>
        <w:numPr>
          <w:ilvl w:val="0"/>
          <w:numId w:val="1"/>
        </w:numPr>
        <w:spacing w:after="80"/>
      </w:pPr>
      <w:r>
        <w:t xml:space="preserve">Should LEWIS CORP's admissibility scope be narrower by default than OAL's, given the name's proximity to Nathan personally? This draft assumes 'yes, until told otherwise' but does not decide it.</w:t>
      </w:r>
    </w:p>
    <w:p>
      <w:pPr>
        <w:pStyle w:val="ListParagraph"/>
        <w:numPr>
          <w:ilvl w:val="0"/>
          <w:numId w:val="1"/>
        </w:numPr>
        <w:spacing w:after="80"/>
      </w:pPr>
      <w:r>
        <w:t xml:space="preserve">Does Nathan want a single shared Charter with entity annexes (this draft's structure), or three fully separate charters that merely share vocabulary? The annex model was chosen here to minimize duplication, but the alternative is defensible.</w:t>
      </w:r>
    </w:p>
    <w:p>
      <w:pPr>
        <w:pStyle w:val="ListParagraph"/>
        <w:numPr>
          <w:ilvl w:val="0"/>
          <w:numId w:val="1"/>
        </w:numPr>
        <w:spacing w:after="80"/>
      </w:pPr>
      <w:r>
        <w:t xml:space="preserve">Should delegated review authority ever be granted for low-severity exclusion requests, or should all exclusion review remain solely with Nathan indefinitely?</w:t>
      </w:r>
    </w:p>
    <w:p>
      <w:pPr>
        <w:pStyle w:val="ListParagraph"/>
        <w:numPr>
          <w:ilvl w:val="0"/>
          <w:numId w:val="1"/>
        </w:numPr>
        <w:spacing w:after="80"/>
      </w:pPr>
      <w:r>
        <w:t xml:space="preserve">Where does this Charter sit relative to Total Event Closure and the (still-informal) Omni-Event Response Architecture discussed previously — above, below, or parallel to them?</w:t>
      </w:r>
    </w:p>
    <w:p>
      <w:pPr>
        <w:pStyle w:val="Heading1"/>
        <w:spacing w:after="160" w:before="320"/>
      </w:pPr>
      <w:r>
        <w:t xml:space="preserve">10. Relationship to Existing OAL Canon</w:t>
      </w:r>
    </w:p>
    <w:p>
      <w:pPr>
        <w:spacing w:after="180"/>
      </w:pPr>
      <w:r>
        <w:t xml:space="preserve">This Charter is designed to sit compatibly with, not replace, existing ratified instruments:</w:t>
      </w:r>
    </w:p>
    <w:p>
      <w:pPr>
        <w:pStyle w:val="ListParagraph"/>
        <w:numPr>
          <w:ilvl w:val="0"/>
          <w:numId w:val="1"/>
        </w:numPr>
        <w:spacing w:after="80"/>
      </w:pPr>
      <w:r>
        <w:t xml:space="preserve">Total Event Closure / BTEC — governs the completeness of the event-space this Charter draws admissible information from.</w:t>
      </w:r>
    </w:p>
    <w:p>
      <w:pPr>
        <w:pStyle w:val="ListParagraph"/>
        <w:numPr>
          <w:ilvl w:val="0"/>
          <w:numId w:val="1"/>
        </w:numPr>
        <w:spacing w:after="80"/>
      </w:pPr>
      <w:r>
        <w:t xml:space="preserve">Open Window Doctrine / Aperture Protocol — governs boundary-crossing conditions; may bear on Article IV's ONE INDUSTRIES/LEWIS CORP scope questions once those entities are defined.</w:t>
      </w:r>
    </w:p>
    <w:p>
      <w:pPr>
        <w:pStyle w:val="ListParagraph"/>
        <w:numPr>
          <w:ilvl w:val="0"/>
          <w:numId w:val="1"/>
        </w:numPr>
        <w:spacing w:after="80"/>
      </w:pPr>
      <w:r>
        <w:t xml:space="preserve">AIDR — governs how AI collaborator disagreement is recorded; referenced directly in Article V.</w:t>
      </w:r>
    </w:p>
    <w:p>
      <w:pPr>
        <w:pStyle w:val="ListParagraph"/>
        <w:numPr>
          <w:ilvl w:val="0"/>
          <w:numId w:val="1"/>
        </w:numPr>
        <w:spacing w:after="80"/>
      </w:pPr>
      <w:r>
        <w:t xml:space="preserve">OAL Invocation Framework v0.3 — establishes Admissible Channels and the Inviolability Clause, which may constrain what 'admission' can mean for OAL specifically.</w:t>
      </w:r>
    </w:p>
    <w:p>
      <w:pPr>
        <w:spacing w:after="180"/>
      </w:pPr>
      <w:r>
        <w:t xml:space="preserve">This Charter does not attempt to resolve overlaps with those instruments; that reconciliation is better done once Nathan has compared this draft against the other AI-produced versions.</w:t>
      </w:r>
    </w:p>
    <w:p>
      <w:pPr>
        <w:pStyle w:val="Heading1"/>
        <w:spacing w:after="160" w:before="320"/>
      </w:pPr>
      <w:r>
        <w:t xml:space="preserve">End of Draft</w:t>
      </w:r>
    </w:p>
    <w:p>
      <w:pPr>
        <w:spacing w:after="180"/>
      </w:pPr>
      <w:r>
        <w:rPr>
          <w:i/>
          <w:iCs/>
        </w:rPr>
        <w:t xml:space="preserve">Prepared independently by Claude (Anthropic) as one input to a multi-AI comparative drafting exercise. Not ratified. Not canon. Awaiting Nathan's review alongside parallel drafts from other AI systems.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Information Collection Charter — Draft (Claude) — OAL / ONE INDUSTRIES / LEWIS CORP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2026-08-24T02:05:02.340Z</dcterms:created>
  <dcterms:modified xsi:type="dcterms:W3CDTF">2026-08-24T02:05:02.353Z</dcterms:modified>
</cp:coreProperties>
</file>

<file path=docProps/custom.xml><?xml version="1.0" encoding="utf-8"?>
<Properties xmlns="http://schemas.openxmlformats.org/officeDocument/2006/custom-properties" xmlns:vt="http://schemas.openxmlformats.org/officeDocument/2006/docPropsVTypes"/>
</file>