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line="360" w:lineRule="auto"/>
      </w:pPr>
      <w:r>
        <w:rPr>
          <w:rFonts w:ascii="Calibri" w:cs="Calibri" w:eastAsia="Calibri" w:hAnsi="Calibri"/>
          <w:b w:val="false"/>
          <w:bCs w:val="false"/>
          <w:i w:val="false"/>
          <w:iCs w:val="false"/>
          <w:strike w:val="false"/>
          <w:color w:val="777777"/>
          <w:sz w:val="17"/>
          <w:szCs w:val="17"/>
        </w:rPr>
        <w:t xml:space="preserve">Integrated Resilient Housing System — Concept Framework  |  Nathan  |  UAGC Environmental Science  |  August 2026</w:t>
      </w:r>
    </w:p>
    <w:p>
      <w:pPr>
        <w:pBdr>
          <w:bottom w:val="single" w:color="B7D9B3" w:sz="6"/>
        </w:pBdr>
        <w:spacing w:after="240" w:before="240"/>
      </w:pPr>
    </w:p>
    <w:p>
      <w:pPr>
        <w:pStyle w:val="Heading1"/>
        <w:spacing w:after="120" w:before="160" w:line="312" w:lineRule="auto"/>
      </w:pPr>
      <w:r>
        <w:rPr>
          <w:rFonts w:ascii="Calibri" w:cs="Calibri" w:eastAsia="Calibri" w:hAnsi="Calibri"/>
          <w:color w:val="1A4D2E"/>
          <w:sz w:val="52"/>
          <w:szCs w:val="52"/>
        </w:rPr>
        <w:t xml:space="preserve">Integrated Resilient Housing System— Concept Framework</w:t>
      </w:r>
    </w:p>
    <w:p>
      <w:pPr>
        <w:spacing w:after="240" w:before="60" w:line="360" w:lineRule="auto"/>
      </w:pPr>
      <w:r>
        <w:rPr>
          <w:rFonts w:ascii="Calibri" w:cs="Calibri" w:eastAsia="Calibri" w:hAnsi="Calibri"/>
          <w:b w:val="false"/>
          <w:bCs w:val="false"/>
          <w:i/>
          <w:iCs/>
          <w:strike w:val="false"/>
          <w:color w:val="2D6A4F"/>
          <w:sz w:val="26"/>
          <w:szCs w:val="26"/>
        </w:rPr>
        <w:t xml:space="preserve">A Sustainable, Shock-Resistant, Solar-Adaptive Neighborhood Design</w:t>
      </w:r>
    </w:p>
    <w:p>
      <w:pPr>
        <w:spacing w:after="240" w:line="360" w:lineRule="auto"/>
      </w:pPr>
      <w:r>
        <w:rPr>
          <w:rFonts w:ascii="Calibri" w:cs="Calibri" w:eastAsia="Calibri" w:hAnsi="Calibri"/>
          <w:b/>
          <w:bCs/>
          <w:i w:val="false"/>
          <w:iCs w:val="false"/>
          <w:strike w:val="false"/>
          <w:color w:val="1A1A1A"/>
          <w:sz w:val="22"/>
          <w:szCs w:val="22"/>
        </w:rPr>
        <w:t xml:space="preserve">Author:</w:t>
      </w:r>
      <w:r>
        <w:rPr>
          <w:rFonts w:ascii="Calibri" w:cs="Calibri" w:eastAsia="Calibri" w:hAnsi="Calibri"/>
          <w:b w:val="false"/>
          <w:bCs w:val="false"/>
          <w:i w:val="false"/>
          <w:iCs w:val="false"/>
          <w:strike w:val="false"/>
          <w:color w:val="1A1A1A"/>
          <w:sz w:val="22"/>
          <w:szCs w:val="22"/>
        </w:rPr>
        <w:t xml:space="preserve"> Nathan</w:t>
      </w:r>
      <w:r>
        <w:rPr>
          <w:rFonts w:ascii="Calibri" w:cs="Calibri" w:eastAsia="Calibri" w:hAnsi="Calibri"/>
          <w:b w:val="false"/>
          <w:bCs w:val="false"/>
          <w:i w:val="false"/>
          <w:iCs w:val="false"/>
          <w:strike w:val="false"/>
          <w:color w:val="555555"/>
          <w:sz w:val="19"/>
          <w:szCs w:val="19"/>
        </w:rPr>
        <w:t xml:space="preserve"> </w:t>
      </w:r>
      <w:r>
        <w:rPr>
          <w:rFonts w:ascii="Calibri" w:cs="Calibri" w:eastAsia="Calibri" w:hAnsi="Calibri"/>
          <w:b/>
          <w:bCs/>
          <w:i w:val="false"/>
          <w:iCs w:val="false"/>
          <w:strike w:val="false"/>
          <w:color w:val="1A1A1A"/>
          <w:sz w:val="22"/>
          <w:szCs w:val="22"/>
        </w:rPr>
        <w:t xml:space="preserve">Institution:</w:t>
      </w:r>
      <w:r>
        <w:rPr>
          <w:rFonts w:ascii="Calibri" w:cs="Calibri" w:eastAsia="Calibri" w:hAnsi="Calibri"/>
          <w:b w:val="false"/>
          <w:bCs w:val="false"/>
          <w:i w:val="false"/>
          <w:iCs w:val="false"/>
          <w:strike w:val="false"/>
          <w:color w:val="1A1A1A"/>
          <w:sz w:val="22"/>
          <w:szCs w:val="22"/>
        </w:rPr>
        <w:t xml:space="preserve"> University of Arizona Global Campus (UAGC)</w:t>
      </w:r>
      <w:r>
        <w:rPr>
          <w:rFonts w:ascii="Calibri" w:cs="Calibri" w:eastAsia="Calibri" w:hAnsi="Calibri"/>
          <w:b w:val="false"/>
          <w:bCs w:val="false"/>
          <w:i w:val="false"/>
          <w:iCs w:val="false"/>
          <w:strike w:val="false"/>
          <w:color w:val="555555"/>
          <w:sz w:val="19"/>
          <w:szCs w:val="19"/>
        </w:rPr>
        <w:t xml:space="preserve"> </w:t>
      </w:r>
      <w:r>
        <w:rPr>
          <w:rFonts w:ascii="Calibri" w:cs="Calibri" w:eastAsia="Calibri" w:hAnsi="Calibri"/>
          <w:b/>
          <w:bCs/>
          <w:i w:val="false"/>
          <w:iCs w:val="false"/>
          <w:strike w:val="false"/>
          <w:color w:val="1A1A1A"/>
          <w:sz w:val="22"/>
          <w:szCs w:val="22"/>
        </w:rPr>
        <w:t xml:space="preserve">Program:</w:t>
      </w:r>
      <w:r>
        <w:rPr>
          <w:rFonts w:ascii="Calibri" w:cs="Calibri" w:eastAsia="Calibri" w:hAnsi="Calibri"/>
          <w:b w:val="false"/>
          <w:bCs w:val="false"/>
          <w:i w:val="false"/>
          <w:iCs w:val="false"/>
          <w:strike w:val="false"/>
          <w:color w:val="1A1A1A"/>
          <w:sz w:val="22"/>
          <w:szCs w:val="22"/>
        </w:rPr>
        <w:t xml:space="preserve"> Bachelor of Science in Psychology</w:t>
      </w:r>
      <w:r>
        <w:rPr>
          <w:rFonts w:ascii="Calibri" w:cs="Calibri" w:eastAsia="Calibri" w:hAnsi="Calibri"/>
          <w:b w:val="false"/>
          <w:bCs w:val="false"/>
          <w:i w:val="false"/>
          <w:iCs w:val="false"/>
          <w:color w:val="555555"/>
          <w:sz w:val="19"/>
          <w:szCs w:val="19"/>
        </w:rPr>
        <w:br/>
      </w:r>
      <w:r>
        <w:rPr>
          <w:rFonts w:ascii="Calibri" w:cs="Calibri" w:eastAsia="Calibri" w:hAnsi="Calibri"/>
          <w:b w:val="false"/>
          <w:bCs w:val="false"/>
          <w:i w:val="false"/>
          <w:iCs w:val="false"/>
          <w:strike w:val="false"/>
          <w:color w:val="555555"/>
          <w:sz w:val="19"/>
          <w:szCs w:val="19"/>
        </w:rPr>
        <w:t xml:space="preserve"> </w:t>
      </w:r>
      <w:r>
        <w:rPr>
          <w:rFonts w:ascii="Calibri" w:cs="Calibri" w:eastAsia="Calibri" w:hAnsi="Calibri"/>
          <w:b/>
          <w:bCs/>
          <w:i w:val="false"/>
          <w:iCs w:val="false"/>
          <w:strike w:val="false"/>
          <w:color w:val="1A1A1A"/>
          <w:sz w:val="22"/>
          <w:szCs w:val="22"/>
        </w:rPr>
        <w:t xml:space="preserve">Course Origin:</w:t>
      </w:r>
      <w:r>
        <w:rPr>
          <w:rFonts w:ascii="Calibri" w:cs="Calibri" w:eastAsia="Calibri" w:hAnsi="Calibri"/>
          <w:b w:val="false"/>
          <w:bCs w:val="false"/>
          <w:i w:val="false"/>
          <w:iCs w:val="false"/>
          <w:strike w:val="false"/>
          <w:color w:val="1A1A1A"/>
          <w:sz w:val="22"/>
          <w:szCs w:val="22"/>
        </w:rPr>
        <w:t xml:space="preserve"> Environmental Science</w:t>
      </w:r>
      <w:r>
        <w:rPr>
          <w:rFonts w:ascii="Calibri" w:cs="Calibri" w:eastAsia="Calibri" w:hAnsi="Calibri"/>
          <w:b w:val="false"/>
          <w:bCs w:val="false"/>
          <w:i w:val="false"/>
          <w:iCs w:val="false"/>
          <w:strike w:val="false"/>
          <w:color w:val="555555"/>
          <w:sz w:val="19"/>
          <w:szCs w:val="19"/>
        </w:rPr>
        <w:t xml:space="preserve"> </w:t>
      </w:r>
      <w:r>
        <w:rPr>
          <w:rFonts w:ascii="Calibri" w:cs="Calibri" w:eastAsia="Calibri" w:hAnsi="Calibri"/>
          <w:b/>
          <w:bCs/>
          <w:i w:val="false"/>
          <w:iCs w:val="false"/>
          <w:strike w:val="false"/>
          <w:color w:val="1A1A1A"/>
          <w:sz w:val="22"/>
          <w:szCs w:val="22"/>
        </w:rPr>
        <w:t xml:space="preserve">Document Type:</w:t>
      </w:r>
      <w:r>
        <w:rPr>
          <w:rFonts w:ascii="Calibri" w:cs="Calibri" w:eastAsia="Calibri" w:hAnsi="Calibri"/>
          <w:b w:val="false"/>
          <w:bCs w:val="false"/>
          <w:i w:val="false"/>
          <w:iCs w:val="false"/>
          <w:strike w:val="false"/>
          <w:color w:val="1A1A1A"/>
          <w:sz w:val="22"/>
          <w:szCs w:val="22"/>
        </w:rPr>
        <w:t xml:space="preserve"> Original Concept Framework / White Paper</w:t>
      </w:r>
      <w:r>
        <w:rPr>
          <w:rFonts w:ascii="Calibri" w:cs="Calibri" w:eastAsia="Calibri" w:hAnsi="Calibri"/>
          <w:b w:val="false"/>
          <w:bCs w:val="false"/>
          <w:i w:val="false"/>
          <w:iCs w:val="false"/>
          <w:strike w:val="false"/>
          <w:color w:val="555555"/>
          <w:sz w:val="19"/>
          <w:szCs w:val="19"/>
        </w:rPr>
        <w:t xml:space="preserve"> </w:t>
      </w:r>
      <w:r>
        <w:rPr>
          <w:rFonts w:ascii="Calibri" w:cs="Calibri" w:eastAsia="Calibri" w:hAnsi="Calibri"/>
          <w:b/>
          <w:bCs/>
          <w:i w:val="false"/>
          <w:iCs w:val="false"/>
          <w:strike w:val="false"/>
          <w:color w:val="1A1A1A"/>
          <w:sz w:val="22"/>
          <w:szCs w:val="22"/>
        </w:rPr>
        <w:t xml:space="preserve">Date:</w:t>
      </w:r>
      <w:r>
        <w:rPr>
          <w:rFonts w:ascii="Calibri" w:cs="Calibri" w:eastAsia="Calibri" w:hAnsi="Calibri"/>
          <w:b w:val="false"/>
          <w:bCs w:val="false"/>
          <w:i w:val="false"/>
          <w:iCs w:val="false"/>
          <w:strike w:val="false"/>
          <w:color w:val="1A1A1A"/>
          <w:sz w:val="22"/>
          <w:szCs w:val="22"/>
        </w:rPr>
        <w:t xml:space="preserve"> August 30, 2026</w:t>
      </w:r>
    </w:p>
    <w:p>
      <w:pPr>
        <w:pBdr>
          <w:bottom w:val="single" w:color="2D6A4F"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7D9B3" w:sz="6"/>
              <w:left w:val="single" w:color="B7D9B3" w:sz="6"/>
              <w:bottom w:val="single" w:color="B7D9B3" w:sz="6"/>
              <w:right w:val="single" w:color="B7D9B3" w:sz="6"/>
            </w:tcBorders>
            <w:shd w:fill="F4F9F2" w:color="auto" w:val="clear"/>
            <w:tcMar>
              <w:top w:type="dxa" w:w="210"/>
              <w:left w:type="dxa" w:w="270"/>
              <w:bottom w:type="dxa" w:w="210"/>
              <w:right w:type="dxa" w:w="270"/>
            </w:tcMar>
          </w:tcPr>
          <w:p>
            <w:pPr>
              <w:pStyle w:val="Heading2"/>
              <w:spacing w:after="120" w:line="312" w:lineRule="auto"/>
            </w:pPr>
            <w:r>
              <w:rPr>
                <w:color w:val="1A4D2E"/>
              </w:rPr>
              <w:t xml:space="preserve">Table of Contents</w:t>
            </w:r>
          </w:p>
          <w:p>
            <w:pPr>
              <w:spacing w:after="120" w:line="408" w:lineRule="auto"/>
            </w:pPr>
            <w:r>
              <w:rPr>
                <w:b/>
                <w:bCs/>
                <w:i w:val="false"/>
                <w:iCs w:val="false"/>
                <w:color w:val="1A4D2E"/>
              </w:rPr>
              <w:t xml:space="preserve">Executive Summary ............................................................................................. 2</w:t>
            </w:r>
          </w:p>
          <w:p>
            <w:pPr>
              <w:spacing w:after="120" w:line="408" w:lineRule="auto"/>
            </w:pPr>
            <w:r>
              <w:rPr>
                <w:b/>
                <w:bCs/>
                <w:i w:val="false"/>
                <w:iCs w:val="false"/>
                <w:color w:val="1A4D2E"/>
              </w:rPr>
              <w:t xml:space="preserve">Section 1  — Background &amp; Motivation ................................................................ 3</w:t>
            </w:r>
          </w:p>
          <w:p>
            <w:pPr>
              <w:spacing w:after="120" w:line="408" w:lineRule="auto"/>
            </w:pPr>
            <w:r>
              <w:rPr>
                <w:b/>
                <w:bCs/>
                <w:i w:val="false"/>
                <w:iCs w:val="false"/>
                <w:color w:val="1A4D2E"/>
              </w:rPr>
              <w:t xml:space="preserve">Section 2  — The Housing Structure: Seismic Isolation &amp; Shock-Resistance ............. 4</w:t>
            </w:r>
          </w:p>
          <w:p>
            <w:pPr>
              <w:spacing w:after="120" w:line="408" w:lineRule="auto"/>
            </w:pPr>
            <w:r>
              <w:rPr>
                <w:rFonts w:ascii="Calibri" w:cs="Calibri" w:eastAsia="Calibri" w:hAnsi="Calibri"/>
                <w:b w:val="false"/>
                <w:bCs w:val="false"/>
                <w:i w:val="false"/>
                <w:iCs w:val="false"/>
                <w:strike w:val="false"/>
                <w:color w:val="2D6A4F"/>
                <w:sz w:val="20"/>
                <w:szCs w:val="20"/>
              </w:rPr>
              <w:t xml:space="preserve">2.1   Base Isolation System</w:t>
            </w:r>
          </w:p>
          <w:p>
            <w:pPr>
              <w:spacing w:after="120" w:line="408" w:lineRule="auto"/>
            </w:pPr>
            <w:r>
              <w:rPr>
                <w:rFonts w:ascii="Calibri" w:cs="Calibri" w:eastAsia="Calibri" w:hAnsi="Calibri"/>
                <w:b w:val="false"/>
                <w:bCs w:val="false"/>
                <w:i w:val="false"/>
                <w:iCs w:val="false"/>
                <w:strike w:val="false"/>
                <w:color w:val="2D6A4F"/>
                <w:sz w:val="20"/>
                <w:szCs w:val="20"/>
              </w:rPr>
              <w:t xml:space="preserve">2.2   Shockproofing for Non-Seismic Events</w:t>
            </w:r>
          </w:p>
          <w:p>
            <w:pPr>
              <w:spacing w:after="120" w:line="408" w:lineRule="auto"/>
            </w:pPr>
            <w:r>
              <w:rPr>
                <w:rFonts w:ascii="Calibri" w:cs="Calibri" w:eastAsia="Calibri" w:hAnsi="Calibri"/>
                <w:b w:val="false"/>
                <w:bCs w:val="false"/>
                <w:i w:val="false"/>
                <w:iCs w:val="false"/>
                <w:strike w:val="false"/>
                <w:color w:val="2D6A4F"/>
                <w:sz w:val="20"/>
                <w:szCs w:val="20"/>
              </w:rPr>
              <w:t xml:space="preserve">2.3   Adaptive Sound Penetration</w:t>
            </w:r>
          </w:p>
          <w:p>
            <w:pPr>
              <w:spacing w:after="120" w:line="408" w:lineRule="auto"/>
            </w:pPr>
            <w:r>
              <w:rPr>
                <w:rFonts w:ascii="Calibri" w:cs="Calibri" w:eastAsia="Calibri" w:hAnsi="Calibri"/>
                <w:b w:val="false"/>
                <w:bCs w:val="false"/>
                <w:i w:val="false"/>
                <w:iCs w:val="false"/>
                <w:strike w:val="false"/>
                <w:color w:val="2D6A4F"/>
                <w:sz w:val="20"/>
                <w:szCs w:val="20"/>
              </w:rPr>
              <w:t xml:space="preserve">2.4   Weatherproofing</w:t>
            </w:r>
          </w:p>
          <w:p>
            <w:pPr>
              <w:spacing w:after="120" w:line="408" w:lineRule="auto"/>
            </w:pPr>
            <w:r>
              <w:rPr>
                <w:b/>
                <w:bCs/>
                <w:i w:val="false"/>
                <w:iCs w:val="false"/>
                <w:color w:val="1A4D2E"/>
              </w:rPr>
              <w:t xml:space="preserve">Section 3  — Replaceable Parts &amp; The Circular Materials Stream ........................ 6</w:t>
            </w:r>
          </w:p>
          <w:p>
            <w:pPr>
              <w:spacing w:after="120" w:line="408" w:lineRule="auto"/>
            </w:pPr>
            <w:r>
              <w:rPr>
                <w:rFonts w:ascii="Calibri" w:cs="Calibri" w:eastAsia="Calibri" w:hAnsi="Calibri"/>
                <w:b w:val="false"/>
                <w:bCs w:val="false"/>
                <w:i w:val="false"/>
                <w:iCs w:val="false"/>
                <w:strike w:val="false"/>
                <w:color w:val="2D6A4F"/>
                <w:sz w:val="20"/>
                <w:szCs w:val="20"/>
              </w:rPr>
              <w:t xml:space="preserve">3.1   Modular, Replaceable Components</w:t>
            </w:r>
          </w:p>
          <w:p>
            <w:pPr>
              <w:spacing w:after="120" w:line="408" w:lineRule="auto"/>
            </w:pPr>
            <w:r>
              <w:rPr>
                <w:rFonts w:ascii="Calibri" w:cs="Calibri" w:eastAsia="Calibri" w:hAnsi="Calibri"/>
                <w:b w:val="false"/>
                <w:bCs w:val="false"/>
                <w:i w:val="false"/>
                <w:iCs w:val="false"/>
                <w:strike w:val="false"/>
                <w:color w:val="2D6A4F"/>
                <w:sz w:val="20"/>
                <w:szCs w:val="20"/>
              </w:rPr>
              <w:t xml:space="preserve">3.2   The Whole-Neighborhood Waste Stream</w:t>
            </w:r>
          </w:p>
          <w:p>
            <w:pPr>
              <w:spacing w:after="120" w:line="408" w:lineRule="auto"/>
            </w:pPr>
            <w:r>
              <w:rPr>
                <w:b/>
                <w:bCs/>
                <w:i w:val="false"/>
                <w:iCs w:val="false"/>
                <w:color w:val="1A4D2E"/>
              </w:rPr>
              <w:t xml:space="preserve">Section 4  — The Energy Plan: Solar Integration &amp; Sun-Tracking Rotation ............. 8</w:t>
            </w:r>
          </w:p>
          <w:p>
            <w:pPr>
              <w:spacing w:after="120" w:line="408" w:lineRule="auto"/>
            </w:pPr>
            <w:r>
              <w:rPr>
                <w:rFonts w:ascii="Calibri" w:cs="Calibri" w:eastAsia="Calibri" w:hAnsi="Calibri"/>
                <w:b w:val="false"/>
                <w:bCs w:val="false"/>
                <w:i w:val="false"/>
                <w:iCs w:val="false"/>
                <w:strike w:val="false"/>
                <w:color w:val="2D6A4F"/>
                <w:sz w:val="20"/>
                <w:szCs w:val="20"/>
              </w:rPr>
              <w:t xml:space="preserve">4.1   Solar-Integrated Structure (Not Just Panels)</w:t>
            </w:r>
          </w:p>
          <w:p>
            <w:pPr>
              <w:spacing w:after="120" w:line="408" w:lineRule="auto"/>
            </w:pPr>
            <w:r>
              <w:rPr>
                <w:rFonts w:ascii="Calibri" w:cs="Calibri" w:eastAsia="Calibri" w:hAnsi="Calibri"/>
                <w:b w:val="false"/>
                <w:bCs w:val="false"/>
                <w:i w:val="false"/>
                <w:iCs w:val="false"/>
                <w:strike w:val="false"/>
                <w:color w:val="2D6A4F"/>
                <w:sz w:val="20"/>
                <w:szCs w:val="20"/>
              </w:rPr>
              <w:t xml:space="preserve">4.2   The Sun-Tracking Rotating Structure</w:t>
            </w:r>
          </w:p>
          <w:p>
            <w:pPr>
              <w:spacing w:after="120" w:line="408" w:lineRule="auto"/>
            </w:pPr>
            <w:r>
              <w:rPr>
                <w:rFonts w:ascii="Calibri" w:cs="Calibri" w:eastAsia="Calibri" w:hAnsi="Calibri"/>
                <w:b w:val="false"/>
                <w:bCs w:val="false"/>
                <w:i w:val="false"/>
                <w:iCs w:val="false"/>
                <w:strike w:val="false"/>
                <w:color w:val="2D6A4F"/>
                <w:sz w:val="20"/>
                <w:szCs w:val="20"/>
              </w:rPr>
              <w:t xml:space="preserve">4.3   Location-Specific Solar Modeling</w:t>
            </w:r>
          </w:p>
          <w:p>
            <w:pPr>
              <w:spacing w:after="120" w:line="408" w:lineRule="auto"/>
            </w:pPr>
            <w:r>
              <w:rPr>
                <w:rFonts w:ascii="Calibri" w:cs="Calibri" w:eastAsia="Calibri" w:hAnsi="Calibri"/>
                <w:b w:val="false"/>
                <w:bCs w:val="false"/>
                <w:i w:val="false"/>
                <w:iCs w:val="false"/>
                <w:strike w:val="false"/>
                <w:color w:val="2D6A4F"/>
                <w:sz w:val="20"/>
                <w:szCs w:val="20"/>
              </w:rPr>
              <w:t xml:space="preserve">4.4   Neighborhood Energy Design</w:t>
            </w:r>
          </w:p>
          <w:p>
            <w:pPr>
              <w:spacing w:after="120" w:line="408" w:lineRule="auto"/>
            </w:pPr>
            <w:r>
              <w:rPr>
                <w:b/>
                <w:bCs/>
                <w:i w:val="false"/>
                <w:iCs w:val="false"/>
                <w:color w:val="1A4D2E"/>
              </w:rPr>
              <w:t xml:space="preserve">Section 5  — The Resilience Plan: Community-Scale Sustainability ..................... 11</w:t>
            </w:r>
          </w:p>
          <w:p>
            <w:pPr>
              <w:spacing w:after="120" w:line="408" w:lineRule="auto"/>
            </w:pPr>
            <w:r>
              <w:rPr>
                <w:rFonts w:ascii="Calibri" w:cs="Calibri" w:eastAsia="Calibri" w:hAnsi="Calibri"/>
                <w:b w:val="false"/>
                <w:bCs w:val="false"/>
                <w:i w:val="false"/>
                <w:iCs w:val="false"/>
                <w:strike w:val="false"/>
                <w:color w:val="2D6A4F"/>
                <w:sz w:val="20"/>
                <w:szCs w:val="20"/>
              </w:rPr>
              <w:t xml:space="preserve">5.1   Holistic Risk Reduction</w:t>
            </w:r>
          </w:p>
          <w:p>
            <w:pPr>
              <w:spacing w:after="120" w:line="408" w:lineRule="auto"/>
            </w:pPr>
            <w:r>
              <w:rPr>
                <w:rFonts w:ascii="Calibri" w:cs="Calibri" w:eastAsia="Calibri" w:hAnsi="Calibri"/>
                <w:b w:val="false"/>
                <w:bCs w:val="false"/>
                <w:i w:val="false"/>
                <w:iCs w:val="false"/>
                <w:strike w:val="false"/>
                <w:color w:val="2D6A4F"/>
                <w:sz w:val="20"/>
                <w:szCs w:val="20"/>
              </w:rPr>
              <w:t xml:space="preserve">5.2   Financial Resilience for Homeowners</w:t>
            </w:r>
          </w:p>
          <w:p>
            <w:pPr>
              <w:spacing w:after="120" w:line="408" w:lineRule="auto"/>
            </w:pPr>
            <w:r>
              <w:rPr>
                <w:rFonts w:ascii="Calibri" w:cs="Calibri" w:eastAsia="Calibri" w:hAnsi="Calibri"/>
                <w:b w:val="false"/>
                <w:bCs w:val="false"/>
                <w:i w:val="false"/>
                <w:iCs w:val="false"/>
                <w:strike w:val="false"/>
                <w:color w:val="2D6A4F"/>
                <w:sz w:val="20"/>
                <w:szCs w:val="20"/>
              </w:rPr>
              <w:t xml:space="preserve">5.3   Built to Last — The Core Design Philosophy</w:t>
            </w:r>
          </w:p>
          <w:p>
            <w:pPr>
              <w:spacing w:after="120" w:line="408" w:lineRule="auto"/>
            </w:pPr>
            <w:r>
              <w:rPr>
                <w:b/>
                <w:bCs/>
                <w:i w:val="false"/>
                <w:iCs w:val="false"/>
                <w:color w:val="1A4D2E"/>
              </w:rPr>
              <w:t xml:space="preserve">Section 6  — The Neighborhood Model ......................................................................... 13</w:t>
            </w:r>
          </w:p>
          <w:p>
            <w:pPr>
              <w:spacing w:after="120" w:line="408" w:lineRule="auto"/>
            </w:pPr>
            <w:r>
              <w:rPr>
                <w:b/>
                <w:bCs/>
                <w:i w:val="false"/>
                <w:iCs w:val="false"/>
                <w:color w:val="1A4D2E"/>
              </w:rPr>
              <w:t xml:space="preserve">Section 7  — Conclusion ................................................................................................. 14</w:t>
            </w:r>
          </w:p>
          <w:p>
            <w:pPr>
              <w:spacing w:after="120" w:line="408" w:lineRule="auto"/>
            </w:pPr>
            <w:r>
              <w:rPr>
                <w:b/>
                <w:bCs/>
                <w:i w:val="false"/>
                <w:iCs w:val="false"/>
                <w:color w:val="1A4D2E"/>
              </w:rPr>
              <w:t xml:space="preserve">Appendix  — Key Terms &amp; Definitions ............................................................................. 15</w:t>
            </w:r>
          </w:p>
        </w:tc>
      </w:tr>
    </w:tbl>
    <w:p>
      <w:pPr>
        <w:spacing w:after="240" w:before="0"/>
      </w:pPr>
    </w:p>
    <w:p>
      <w:pPr>
        <w:pBdr>
          <w:bottom w:val="single" w:color="1A1A1A" w:sz="6"/>
        </w:pBdr>
        <w:spacing w:after="240" w:before="240"/>
      </w:pPr>
    </w:p>
    <w:p>
      <w:pPr>
        <w:pStyle w:val="Heading2"/>
        <w:spacing w:after="120" w:before="360" w:line="312" w:lineRule="auto"/>
      </w:pPr>
      <w:r>
        <w:rPr>
          <w:rFonts w:ascii="Calibri" w:cs="Calibri" w:eastAsia="Calibri" w:hAnsi="Calibri"/>
          <w:color w:val="1A4D2E"/>
          <w:sz w:val="32"/>
          <w:szCs w:val="32"/>
        </w:rPr>
        <w:t xml:space="preserve">Executive Summary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This document presents an original concept framework developed by Nathan, a Psychology student at the University of Arizona Global Campus (UAGC), as part of hands-on Environmental Science coursework. What began as a course exploring humanity's unsustainable relationship with the natural world became a springboard for a series of integrated design concepts that together constitute a vision for the next generation of resilient, sustainable housing.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DF7F0" w:color="auto" w:val="clear"/>
            <w:tcMar>
              <w:top w:type="dxa" w:w="180"/>
              <w:left w:type="dxa" w:w="210"/>
              <w:bottom w:type="dxa" w:w="180"/>
              <w:right w:type="dxa" w:w="210"/>
            </w:tcMar>
          </w:tcPr>
          <w:p>
            <w:pPr>
              <w:spacing w:after="120" w:line="408" w:lineRule="auto"/>
            </w:pPr>
            <w:r>
              <w:rPr>
                <w:b/>
                <w:bCs/>
                <w:i w:val="false"/>
                <w:iCs w:val="false"/>
                <w:color w:val="1A1A1A"/>
              </w:rPr>
              <w:t xml:space="preserve">◆ The Three Pillars of the Framework</w:t>
            </w:r>
          </w:p>
          <w:p>
            <w:pPr>
              <w:spacing w:after="100" w:line="408" w:lineRule="auto"/>
              <w:ind w:left="240"/>
            </w:pPr>
            <w:r>
              <w:t xml:space="preserve">1.  </w:t>
            </w:r>
            <w:r>
              <w:rPr>
                <w:rFonts w:ascii="Calibri" w:cs="Calibri" w:eastAsia="Calibri" w:hAnsi="Calibri"/>
                <w:b/>
                <w:bCs/>
                <w:i w:val="false"/>
                <w:iCs w:val="false"/>
                <w:strike w:val="false"/>
                <w:color w:val="1A1A1A"/>
                <w:sz w:val="22"/>
                <w:szCs w:val="22"/>
              </w:rPr>
              <w:t xml:space="preserve">Pillar I — Seismic Isolation &amp; Shock-Resistant Structure:</w:t>
            </w:r>
            <w:r>
              <w:rPr>
                <w:rFonts w:ascii="Calibri" w:cs="Calibri" w:eastAsia="Calibri" w:hAnsi="Calibri"/>
                <w:b w:val="false"/>
                <w:bCs w:val="false"/>
                <w:i w:val="false"/>
                <w:iCs w:val="false"/>
                <w:strike w:val="false"/>
                <w:color w:val="1A1A1A"/>
                <w:sz w:val="22"/>
                <w:szCs w:val="22"/>
              </w:rPr>
              <w:t xml:space="preserve"> A housing unit engineered to absorb and dissipate earthquake, storm, and impact energy through a curved cradle base isolation system, layered absorptive materials, and structural redundancy — so that disasters leave the home standing.</w:t>
            </w:r>
          </w:p>
          <w:p>
            <w:pPr>
              <w:spacing w:after="100" w:line="408" w:lineRule="auto"/>
              <w:ind w:left="240"/>
            </w:pPr>
            <w:r>
              <w:t xml:space="preserve">2.  </w:t>
            </w:r>
            <w:r>
              <w:rPr>
                <w:rFonts w:ascii="Calibri" w:cs="Calibri" w:eastAsia="Calibri" w:hAnsi="Calibri"/>
                <w:b/>
                <w:bCs/>
                <w:i w:val="false"/>
                <w:iCs w:val="false"/>
                <w:strike w:val="false"/>
                <w:color w:val="1A1A1A"/>
                <w:sz w:val="22"/>
                <w:szCs w:val="22"/>
              </w:rPr>
              <w:t xml:space="preserve">Pillar II — Solar-Adaptive Integrated Energy System:</w:t>
            </w:r>
            <w:r>
              <w:rPr>
                <w:rFonts w:ascii="Calibri" w:cs="Calibri" w:eastAsia="Calibri" w:hAnsi="Calibri"/>
                <w:b w:val="false"/>
                <w:bCs w:val="false"/>
                <w:i w:val="false"/>
                <w:iCs w:val="false"/>
                <w:strike w:val="false"/>
                <w:color w:val="1A1A1A"/>
                <w:sz w:val="22"/>
                <w:szCs w:val="22"/>
              </w:rPr>
              <w:t xml:space="preserve"> A structure whose every exterior surface participates in solar energy collection, mounted on a slow-rotation mechanism that tracks the sun throughout the day and across seasons — maximizing energy capture and eliminating or dramatically reducing utility costs.</w:t>
            </w:r>
          </w:p>
          <w:p>
            <w:pPr>
              <w:spacing w:after="100" w:line="408" w:lineRule="auto"/>
              <w:ind w:left="240"/>
            </w:pPr>
            <w:r>
              <w:t xml:space="preserve">3.  </w:t>
            </w:r>
            <w:r>
              <w:rPr>
                <w:rFonts w:ascii="Calibri" w:cs="Calibri" w:eastAsia="Calibri" w:hAnsi="Calibri"/>
                <w:b/>
                <w:bCs/>
                <w:i w:val="false"/>
                <w:iCs w:val="false"/>
                <w:strike w:val="false"/>
                <w:color w:val="1A1A1A"/>
                <w:sz w:val="22"/>
                <w:szCs w:val="22"/>
              </w:rPr>
              <w:t xml:space="preserve">Pillar III — Community Resilience &amp; Circular Materials Plan:</w:t>
            </w:r>
            <w:r>
              <w:rPr>
                <w:rFonts w:ascii="Calibri" w:cs="Calibri" w:eastAsia="Calibri" w:hAnsi="Calibri"/>
                <w:b w:val="false"/>
                <w:bCs w:val="false"/>
                <w:i w:val="false"/>
                <w:iCs w:val="false"/>
                <w:strike w:val="false"/>
                <w:color w:val="1A1A1A"/>
                <w:sz w:val="22"/>
                <w:szCs w:val="22"/>
              </w:rPr>
              <w:t xml:space="preserve"> A neighborhood-scale design in which every component is modular and individually replaceable, every material follows a defined lifecycle stream, and every home feeds into a shared solar microgrid — creating a self-sustaining, financially resilient community ecosystem.</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coursework that seeded these ideas included soil sample collection, soil erosion landscape modeling (testing how different soil compositions erode over time under simulated rainfall), and real backyard experimentation — all of which cultivated a </w:t>
      </w:r>
      <w:r>
        <w:rPr>
          <w:rFonts w:ascii="Calibri" w:cs="Calibri" w:eastAsia="Calibri" w:hAnsi="Calibri"/>
          <w:b/>
          <w:bCs/>
          <w:i w:val="false"/>
          <w:iCs w:val="false"/>
          <w:strike w:val="false"/>
          <w:color w:val="1A1A1A"/>
          <w:sz w:val="22"/>
          <w:szCs w:val="22"/>
        </w:rPr>
        <w:t xml:space="preserve">systems-thinking</w:t>
      </w:r>
      <w:r>
        <w:rPr>
          <w:rFonts w:ascii="Calibri" w:cs="Calibri" w:eastAsia="Calibri" w:hAnsi="Calibri"/>
          <w:b w:val="false"/>
          <w:bCs w:val="false"/>
          <w:i w:val="false"/>
          <w:iCs w:val="false"/>
          <w:strike w:val="false"/>
          <w:color w:val="1A1A1A"/>
          <w:sz w:val="22"/>
          <w:szCs w:val="22"/>
        </w:rPr>
        <w:t xml:space="preserve"> approach to environmental design. These are not abstract theoretical exercises. They are the product of asking a straightforward question: </w:t>
      </w:r>
      <w:r>
        <w:rPr>
          <w:rFonts w:ascii="Calibri" w:cs="Calibri" w:eastAsia="Calibri" w:hAnsi="Calibri"/>
          <w:b w:val="false"/>
          <w:bCs w:val="false"/>
          <w:i/>
          <w:iCs/>
          <w:strike w:val="false"/>
          <w:color w:val="1A1A1A"/>
          <w:sz w:val="22"/>
          <w:szCs w:val="22"/>
        </w:rPr>
        <w:t xml:space="preserve">What would a home look like if it were genuinely built to last?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DF6E3" w:color="auto" w:val="clear"/>
            <w:tcMar>
              <w:top w:type="dxa" w:w="180"/>
              <w:left w:type="dxa" w:w="210"/>
              <w:bottom w:type="dxa" w:w="180"/>
              <w:right w:type="dxa" w:w="210"/>
            </w:tcMar>
          </w:tcPr>
          <w:p>
            <w:pPr>
              <w:spacing w:after="120" w:line="408" w:lineRule="auto"/>
            </w:pPr>
            <w:r>
              <w:rPr>
                <w:b/>
                <w:bCs/>
                <w:i w:val="false"/>
                <w:iCs w:val="false"/>
                <w:color w:val="1A1A1A"/>
              </w:rPr>
              <w:t xml:space="preserve">◆ Core Design Philosophy</w:t>
            </w:r>
          </w:p>
          <w:p>
            <w:pPr>
              <w:spacing w:after="140" w:line="360" w:lineRule="auto"/>
            </w:pPr>
            <w:r>
              <w:rPr>
                <w:rFonts w:ascii="Calibri" w:cs="Calibri" w:eastAsia="Calibri" w:hAnsi="Calibri"/>
                <w:b/>
                <w:bCs/>
                <w:i w:val="false"/>
                <w:iCs w:val="false"/>
                <w:strike w:val="false"/>
                <w:color w:val="7A5C1E"/>
                <w:sz w:val="22"/>
                <w:szCs w:val="22"/>
              </w:rPr>
              <w:t xml:space="preserve">"Built to Last."</w:t>
            </w:r>
          </w:p>
          <w:p>
            <w:pPr>
              <w:spacing w:after="140" w:line="360" w:lineRule="auto"/>
            </w:pPr>
            <w:r>
              <w:rPr>
                <w:rFonts w:ascii="Calibri" w:cs="Calibri" w:eastAsia="Calibri" w:hAnsi="Calibri"/>
                <w:b w:val="false"/>
                <w:bCs w:val="false"/>
                <w:i w:val="false"/>
                <w:iCs w:val="false"/>
                <w:strike w:val="false"/>
                <w:color w:val="1A1A1A"/>
                <w:sz w:val="22"/>
                <w:szCs w:val="22"/>
              </w:rPr>
              <w:t xml:space="preserve">Every design decision in this framework traces back to a single principle: that a home should outlast its mortgage, its occupants, the disasters it weathers, and the era in which it was built. This framework is the antidote to disposable construction.</w:t>
            </w:r>
          </w:p>
        </w:tc>
      </w:tr>
    </w:tbl>
    <w:p>
      <w:pPr>
        <w:spacing w:after="240" w:before="0"/>
      </w:pPr>
    </w:p>
    <w:p>
      <w:pPr>
        <w:pBdr>
          <w:bottom w:val="single" w:color="1A1A1A" w:sz="6"/>
        </w:pBdr>
        <w:spacing w:after="240" w:before="240"/>
      </w:pPr>
    </w:p>
    <w:p>
      <w:pPr>
        <w:pStyle w:val="Heading2"/>
        <w:spacing w:after="120" w:before="360" w:line="312" w:lineRule="auto"/>
      </w:pPr>
      <w:r>
        <w:rPr>
          <w:rFonts w:ascii="Calibri" w:cs="Calibri" w:eastAsia="Calibri" w:hAnsi="Calibri"/>
          <w:color w:val="1A4D2E"/>
          <w:sz w:val="32"/>
          <w:szCs w:val="32"/>
        </w:rPr>
        <w:t xml:space="preserve">Section 1: Background &amp; Motivation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Environmental Science course at UAGC presented a clear-eyed examination of the ways human civilization interacts — often destructively — with the natural systems that sustain it. Construction practices, energy consumption, land use, and material waste all emerged as areas of significant ecological concern. For Nathan, this academic framing did not produce paralysis; it produced design questions.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course's hands-on laboratory and field components were particularly formative. Soil sample collection and erosion landscape modeling — in which different soil types were subjected to simulated weather conditions to observe how water, slope, and composition interact to drive erosion — trained a way of thinking about physical systems under stress. What holds? What breaks down? What absorbs force, and what transmits it? These are engineering questions as much as they are environmental science questions, and they carry directly into housing design.</w:t>
      </w:r>
    </w:p>
    <w:p>
      <w:pPr>
        <w:pStyle w:val="Heading3"/>
        <w:spacing w:after="80" w:before="240" w:line="312" w:lineRule="auto"/>
      </w:pPr>
      <w:r>
        <w:rPr>
          <w:rFonts w:ascii="Calibri" w:cs="Calibri" w:eastAsia="Calibri" w:hAnsi="Calibri"/>
          <w:color w:val="2D6A4F"/>
          <w:sz w:val="26"/>
          <w:szCs w:val="26"/>
        </w:rPr>
        <w:t xml:space="preserve">1.1 Key Problems This Framework Addresses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Integrated Resilient Housing System concept emerged specifically in response to a cluster of interconnected problems facing homeowners, communities, and the environment: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Problem Domain</w:t>
            </w:r>
          </w:p>
        </w:tc>
        <w:tc>
          <w:tcPr>
            <w:tcW w:type="pct" w:w="55%"/>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Specific Challenge</w:t>
            </w:r>
          </w:p>
        </w:tc>
        <w:tc>
          <w:tcPr>
            <w:tcW w:type="pct" w:w="29%"/>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Framework Response</w:t>
            </w:r>
          </w:p>
        </w:tc>
      </w:tr>
      <w:tr>
        <w:trPr>
          <w:tblHeader w:val="false"/>
        </w:trPr>
        <w:tc>
          <w:tcPr>
            <w:tcW w:type="pct" w:w="16%"/>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Seismic Risk</w:t>
            </w:r>
          </w:p>
        </w:tc>
        <w:tc>
          <w:tcPr>
            <w:tcW w:type="pct" w:w="5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Millions of homes in the U.S. are built on or near active fault lines, with little structural mitigation built into residential design</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Curved cradle base isolation + absorptive buffer system</w:t>
            </w:r>
          </w:p>
        </w:tc>
      </w:tr>
      <w:tr>
        <w:trPr>
          <w:tblHeader w:val="false"/>
        </w:trPr>
        <w:tc>
          <w:tcPr>
            <w:tcW w:type="pct" w:w="16%"/>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Energy Cost</w:t>
            </w:r>
          </w:p>
        </w:tc>
        <w:tc>
          <w:tcPr>
            <w:tcW w:type="pct" w:w="5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Summer utility bills place significant financial pressure on households, particularly in high-temperature regions like the Central Valley of California</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Full-surface BIPV + sun-tracking rotation + microgrid</w:t>
            </w:r>
          </w:p>
        </w:tc>
      </w:tr>
      <w:tr>
        <w:trPr>
          <w:tblHeader w:val="false"/>
        </w:trPr>
        <w:tc>
          <w:tcPr>
            <w:tcW w:type="pct" w:w="16%"/>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Weather Damage</w:t>
            </w:r>
          </w:p>
        </w:tc>
        <w:tc>
          <w:tcPr>
            <w:tcW w:type="pct" w:w="5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Storm damage repair cycles are expensive, disruptive, and environmentally costly — often driven by insurance disputes</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Integrated weatherproofing + structural redundancy</w:t>
            </w:r>
          </w:p>
        </w:tc>
      </w:tr>
      <w:tr>
        <w:trPr>
          <w:tblHeader w:val="false"/>
        </w:trPr>
        <w:tc>
          <w:tcPr>
            <w:tcW w:type="pct" w:w="16%"/>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Repair &amp; Replacement Costs</w:t>
            </w:r>
          </w:p>
        </w:tc>
        <w:tc>
          <w:tcPr>
            <w:tcW w:type="pct" w:w="5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Siding and exterior cladding must currently be purchased in bulk even for small repairs, creating disproportionate costs</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Modular, standardized, individually replaceable components</w:t>
            </w:r>
          </w:p>
        </w:tc>
      </w:tr>
      <w:tr>
        <w:trPr>
          <w:tblHeader w:val="false"/>
        </w:trPr>
        <w:tc>
          <w:tcPr>
            <w:tcW w:type="pct" w:w="16%"/>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Construction Waste</w:t>
            </w:r>
          </w:p>
        </w:tc>
        <w:tc>
          <w:tcPr>
            <w:tcW w:type="pct" w:w="5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The construction and demolition sector generates approximately 600 million tons of debris annually in the U.S. alone</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Circular material stream with defined lifecycle for every component</w:t>
            </w:r>
          </w:p>
        </w:tc>
      </w:tr>
      <w:tr>
        <w:trPr>
          <w:tblHeader w:val="false"/>
        </w:trPr>
        <w:tc>
          <w:tcPr>
            <w:tcW w:type="pct" w:w="16%"/>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Energy Demand Growth</w:t>
            </w:r>
          </w:p>
        </w:tc>
        <w:tc>
          <w:tcPr>
            <w:tcW w:type="pct" w:w="5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Expanding data center infrastructure and urban growth are straining electrical grids, driving price volatility and reliability concerns</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Community-scale solar microgrid with battery buffer storage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1A1A"/>
              </w:rPr>
              <w:t xml:space="preserve">◆ Systems-Thinking Origin</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same question asked of an eroding soil sample — </w:t>
            </w:r>
            <w:r>
              <w:rPr>
                <w:rFonts w:ascii="Calibri" w:cs="Calibri" w:eastAsia="Calibri" w:hAnsi="Calibri"/>
                <w:b w:val="false"/>
                <w:bCs w:val="false"/>
                <w:i/>
                <w:iCs/>
                <w:strike w:val="false"/>
                <w:color w:val="1A1A1A"/>
                <w:sz w:val="22"/>
                <w:szCs w:val="22"/>
              </w:rPr>
              <w:t xml:space="preserve">Where does the stress concentrate, and what can we do to dissipate it?</w:t>
            </w:r>
            <w:r>
              <w:rPr>
                <w:rFonts w:ascii="Calibri" w:cs="Calibri" w:eastAsia="Calibri" w:hAnsi="Calibri"/>
                <w:b w:val="false"/>
                <w:bCs w:val="false"/>
                <w:i w:val="false"/>
                <w:iCs w:val="false"/>
                <w:strike w:val="false"/>
                <w:color w:val="1A1A1A"/>
                <w:sz w:val="22"/>
                <w:szCs w:val="22"/>
              </w:rPr>
              <w:t xml:space="preserve"> — applies equally to a house on a fault line, a neighborhood paying peak-summer utility rates, and a community managing decades of construction waste. This framework applies environmental science principles at the scale of human habitat.</w:t>
            </w:r>
          </w:p>
        </w:tc>
      </w:tr>
    </w:tbl>
    <w:p>
      <w:pPr>
        <w:spacing w:after="240" w:before="0"/>
      </w:pPr>
    </w:p>
    <w:p>
      <w:pPr>
        <w:pBdr>
          <w:bottom w:val="single" w:color="1A1A1A" w:sz="6"/>
        </w:pBdr>
        <w:spacing w:after="240" w:before="240"/>
      </w:pPr>
    </w:p>
    <w:p>
      <w:pPr>
        <w:pStyle w:val="Heading2"/>
        <w:spacing w:after="120" w:before="360" w:line="312" w:lineRule="auto"/>
      </w:pPr>
      <w:r>
        <w:rPr>
          <w:rFonts w:ascii="Calibri" w:cs="Calibri" w:eastAsia="Calibri" w:hAnsi="Calibri"/>
          <w:color w:val="1A4D2E"/>
          <w:sz w:val="32"/>
          <w:szCs w:val="32"/>
        </w:rPr>
        <w:t xml:space="preserve">Section 2: The Housing Structure — Seismic Isolation &amp; Shock-Resistance</w:t>
      </w:r>
    </w:p>
    <w:p>
      <w:pPr>
        <w:spacing w:after="80" w:before="200"/>
        <w:jc w:val="center"/>
      </w:pPr>
      <w:r>
        <w:drawing>
          <wp:inline distT="0" distB="0" distL="0" distR="0">
            <wp:extent cx="59436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00025"/>
                    </a:xfrm>
                    <a:prstGeom prst="rect">
                      <a:avLst/>
                    </a:prstGeom>
                  </pic:spPr>
                </pic:pic>
              </a:graphicData>
            </a:graphic>
          </wp:inline>
        </w:drawing>
      </w:r>
    </w:p>
    <w:p>
      <w:pPr>
        <w:spacing w:after="200"/>
        <w:jc w:val="center"/>
      </w:pPr>
      <w:r>
        <w:rPr>
          <w:i/>
          <w:iCs/>
          <w:color w:val="6B7280"/>
          <w:sz w:val="20"/>
          <w:szCs w:val="20"/>
        </w:rPr>
        <w:t xml:space="preserve">Figure 1. Conceptual illustration of a seismic base isolation system. The superstructure is mechanically decoupled from the ground, allowing the foundation to move with seismic waves while the building above remains comparatively stable.</w:t>
      </w:r>
    </w:p>
    <w:p>
      <w:pPr>
        <w:pStyle w:val="Heading3"/>
        <w:spacing w:after="80" w:before="240" w:line="312" w:lineRule="auto"/>
      </w:pPr>
      <w:r>
        <w:rPr>
          <w:rFonts w:ascii="Calibri" w:cs="Calibri" w:eastAsia="Calibri" w:hAnsi="Calibri"/>
          <w:color w:val="2D6A4F"/>
          <w:sz w:val="26"/>
          <w:szCs w:val="26"/>
        </w:rPr>
        <w:t xml:space="preserve">2.1 Base Isolation System</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cornerstone of the structural design is a </w:t>
      </w:r>
      <w:r>
        <w:rPr>
          <w:rFonts w:ascii="Calibri" w:cs="Calibri" w:eastAsia="Calibri" w:hAnsi="Calibri"/>
          <w:b/>
          <w:bCs/>
          <w:i w:val="false"/>
          <w:iCs w:val="false"/>
          <w:strike w:val="false"/>
          <w:color w:val="1A1A1A"/>
          <w:sz w:val="22"/>
          <w:szCs w:val="22"/>
        </w:rPr>
        <w:t xml:space="preserve">seismic base isolation</w:t>
      </w:r>
      <w:r>
        <w:rPr>
          <w:rFonts w:ascii="Calibri" w:cs="Calibri" w:eastAsia="Calibri" w:hAnsi="Calibri"/>
          <w:b w:val="false"/>
          <w:bCs w:val="false"/>
          <w:i w:val="false"/>
          <w:iCs w:val="false"/>
          <w:strike w:val="false"/>
          <w:color w:val="1A1A1A"/>
          <w:sz w:val="22"/>
          <w:szCs w:val="22"/>
        </w:rPr>
        <w:t xml:space="preserve"> system — one of the most effective earthquake-mitigation technologies in modern structural engineering. In its conventional form, base isolation places a flexible interface between the ground and the building, decoupling the structure from the chaotic lateral motion of seismic waves. The building is effectively allowed to "float" above the ground motion rather than absorb it rigidly.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Nathan's original vision translates this principle into an intuitive geometric model: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DF7F0" w:color="auto" w:val="clear"/>
            <w:tcMar>
              <w:top w:type="dxa" w:w="180"/>
              <w:left w:type="dxa" w:w="210"/>
              <w:bottom w:type="dxa" w:w="180"/>
              <w:right w:type="dxa" w:w="210"/>
            </w:tcMar>
          </w:tcPr>
          <w:p>
            <w:pPr>
              <w:spacing w:after="120" w:line="408" w:lineRule="auto"/>
            </w:pPr>
            <w:r>
              <w:rPr>
                <w:b/>
                <w:bCs/>
                <w:i w:val="false"/>
                <w:iCs w:val="false"/>
                <w:color w:val="1A1A1A"/>
              </w:rPr>
              <w:t xml:space="preserve">◆ The Cradle Concept — How Nathan Envisioned It</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The building sits within a </w:t>
            </w:r>
            <w:r>
              <w:rPr>
                <w:rFonts w:ascii="Calibri" w:cs="Calibri" w:eastAsia="Calibri" w:hAnsi="Calibri"/>
                <w:b/>
                <w:bCs/>
                <w:i w:val="false"/>
                <w:iCs w:val="false"/>
                <w:strike w:val="false"/>
                <w:color w:val="1A1A1A"/>
                <w:sz w:val="22"/>
                <w:szCs w:val="22"/>
              </w:rPr>
              <w:t xml:space="preserve">curved cradle</w:t>
            </w:r>
            <w:r>
              <w:rPr>
                <w:rFonts w:ascii="Calibri" w:cs="Calibri" w:eastAsia="Calibri" w:hAnsi="Calibri"/>
                <w:b w:val="false"/>
                <w:bCs w:val="false"/>
                <w:i w:val="false"/>
                <w:iCs w:val="false"/>
                <w:strike w:val="false"/>
                <w:color w:val="1A1A1A"/>
                <w:sz w:val="22"/>
                <w:szCs w:val="22"/>
              </w:rPr>
              <w:t xml:space="preserve"> — imagine the letter "C" rotated so the open face points upward, forming a concave dish or half-sphere beneath the structure.</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The housing unit rests on </w:t>
            </w:r>
            <w:r>
              <w:rPr>
                <w:rFonts w:ascii="Calibri" w:cs="Calibri" w:eastAsia="Calibri" w:hAnsi="Calibri"/>
                <w:b/>
                <w:bCs/>
                <w:i w:val="false"/>
                <w:iCs w:val="false"/>
                <w:strike w:val="false"/>
                <w:color w:val="1A1A1A"/>
                <w:sz w:val="22"/>
                <w:szCs w:val="22"/>
              </w:rPr>
              <w:t xml:space="preserve">spherical isolation pods or ball bearings</w:t>
            </w:r>
            <w:r>
              <w:rPr>
                <w:rFonts w:ascii="Calibri" w:cs="Calibri" w:eastAsia="Calibri" w:hAnsi="Calibri"/>
                <w:b w:val="false"/>
                <w:bCs w:val="false"/>
                <w:i w:val="false"/>
                <w:iCs w:val="false"/>
                <w:strike w:val="false"/>
                <w:color w:val="1A1A1A"/>
                <w:sz w:val="22"/>
                <w:szCs w:val="22"/>
              </w:rPr>
              <w:t xml:space="preserve"> within this cradle, allowing it to rock, shift, and translate with seismic wave energy rather than resist it.</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Surrounding the structure and filling the space between the building base and the cradle is an </w:t>
            </w:r>
            <w:r>
              <w:rPr>
                <w:rFonts w:ascii="Calibri" w:cs="Calibri" w:eastAsia="Calibri" w:hAnsi="Calibri"/>
                <w:b/>
                <w:bCs/>
                <w:i w:val="false"/>
                <w:iCs w:val="false"/>
                <w:strike w:val="false"/>
                <w:color w:val="1A1A1A"/>
                <w:sz w:val="22"/>
                <w:szCs w:val="22"/>
              </w:rPr>
              <w:t xml:space="preserve">energy-absorbing buffer zone</w:t>
            </w:r>
            <w:r>
              <w:rPr>
                <w:rFonts w:ascii="Calibri" w:cs="Calibri" w:eastAsia="Calibri" w:hAnsi="Calibri"/>
                <w:b w:val="false"/>
                <w:bCs w:val="false"/>
                <w:i w:val="false"/>
                <w:iCs w:val="false"/>
                <w:strike w:val="false"/>
                <w:color w:val="1A1A1A"/>
                <w:sz w:val="22"/>
                <w:szCs w:val="22"/>
              </w:rPr>
              <w:t xml:space="preserve"> — a "sandbox" layer of elastomeric pads, layered rubber composites, or engineered foam — that captures and dissipates lateral and vertical forces before they reach the living structure.</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This conceptual model maps closely onto real-world engineering solutions that have been deployed in earthquake-prone regions for decades: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Lead Rubber Bearings (LRB):</w:t>
      </w:r>
      <w:r>
        <w:rPr>
          <w:rFonts w:ascii="Calibri" w:cs="Calibri" w:eastAsia="Calibri" w:hAnsi="Calibri"/>
          <w:b w:val="false"/>
          <w:bCs w:val="false"/>
          <w:i w:val="false"/>
          <w:iCs w:val="false"/>
          <w:strike w:val="false"/>
          <w:color w:val="1A1A1A"/>
          <w:sz w:val="22"/>
          <w:szCs w:val="22"/>
        </w:rPr>
        <w:t xml:space="preserve"> Developed in New Zealand in the 1970s and in commercial use since the 1980s, LRBs consist of alternating layers of rubber and steel bonded together with a central lead core. The rubber provides low horizontal stiffness (extending the building's natural period), while the lead core yields plastically during seismic shaking, converting kinetic energy into heat. Post-event, the rubber's elasticity recenters the bearing. Research has shown LRBs can reduce base shear by over 50% compared to fixed-base structures.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Friction Pendulum Systems (FPS):</w:t>
      </w:r>
      <w:r>
        <w:rPr>
          <w:rFonts w:ascii="Calibri" w:cs="Calibri" w:eastAsia="Calibri" w:hAnsi="Calibri"/>
          <w:b w:val="false"/>
          <w:bCs w:val="false"/>
          <w:i w:val="false"/>
          <w:iCs w:val="false"/>
          <w:strike w:val="false"/>
          <w:color w:val="1A1A1A"/>
          <w:sz w:val="22"/>
          <w:szCs w:val="22"/>
        </w:rPr>
        <w:t xml:space="preserve"> These bearings use a concave sliding surface — structurally analogous to Nathan's cradle concept — in which the building slides along a curved surface during an earthquake. Gravity acts as the restoring force, returning the building toward center after the event. The isolation period is determined by the geometry of the surface, not the mass of the building. Friction Pendulum Systems have achieved base shear reductions of up to 62% and floor acceleration reductions of up to 68% in analytical studies.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Triple Friction Pendulum Bearings (TFPB):</w:t>
      </w:r>
      <w:r>
        <w:rPr>
          <w:rFonts w:ascii="Calibri" w:cs="Calibri" w:eastAsia="Calibri" w:hAnsi="Calibri"/>
          <w:b w:val="false"/>
          <w:bCs w:val="false"/>
          <w:i w:val="false"/>
          <w:iCs w:val="false"/>
          <w:strike w:val="false"/>
          <w:color w:val="1A1A1A"/>
          <w:sz w:val="22"/>
          <w:szCs w:val="22"/>
        </w:rPr>
        <w:t xml:space="preserve"> An advanced variant featuring three nested concave sliding surfaces, introduced in the late 1990s. TFPBs exhibit adaptive behavior — responding differently to low-, medium-, and high-intensity shaking — and offer significantly greater displacement capacity within a compact footprint, making them well-suited for residential-scale applications.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Nathan's "sandbox zone" of absorptive material beneath the structure is consistent with the role of </w:t>
      </w:r>
      <w:r>
        <w:rPr>
          <w:rFonts w:ascii="Calibri" w:cs="Calibri" w:eastAsia="Calibri" w:hAnsi="Calibri"/>
          <w:b/>
          <w:bCs/>
          <w:i w:val="false"/>
          <w:iCs w:val="false"/>
          <w:strike w:val="false"/>
          <w:color w:val="1A1A1A"/>
          <w:sz w:val="22"/>
          <w:szCs w:val="22"/>
        </w:rPr>
        <w:t xml:space="preserve">elastomeric pads</w:t>
      </w:r>
      <w:r>
        <w:rPr>
          <w:rFonts w:ascii="Calibri" w:cs="Calibri" w:eastAsia="Calibri" w:hAnsi="Calibri"/>
          <w:b w:val="false"/>
          <w:bCs w:val="false"/>
          <w:i w:val="false"/>
          <w:iCs w:val="false"/>
          <w:strike w:val="false"/>
          <w:color w:val="1A1A1A"/>
          <w:sz w:val="22"/>
          <w:szCs w:val="22"/>
        </w:rPr>
        <w:t xml:space="preserve"> and </w:t>
      </w:r>
      <w:r>
        <w:rPr>
          <w:rFonts w:ascii="Calibri" w:cs="Calibri" w:eastAsia="Calibri" w:hAnsi="Calibri"/>
          <w:b/>
          <w:bCs/>
          <w:i w:val="false"/>
          <w:iCs w:val="false"/>
          <w:strike w:val="false"/>
          <w:color w:val="1A1A1A"/>
          <w:sz w:val="22"/>
          <w:szCs w:val="22"/>
        </w:rPr>
        <w:t xml:space="preserve">viscous dampers</w:t>
      </w:r>
      <w:r>
        <w:rPr>
          <w:rFonts w:ascii="Calibri" w:cs="Calibri" w:eastAsia="Calibri" w:hAnsi="Calibri"/>
          <w:b w:val="false"/>
          <w:bCs w:val="false"/>
          <w:i w:val="false"/>
          <w:iCs w:val="false"/>
          <w:strike w:val="false"/>
          <w:color w:val="1A1A1A"/>
          <w:sz w:val="22"/>
          <w:szCs w:val="22"/>
        </w:rPr>
        <w:t xml:space="preserve"> in supplemental damping systems, which are increasingly deployed alongside primary isolators to further reduce energy transmission to the superstructure.</w:t>
      </w:r>
    </w:p>
    <w:p>
      <w:pPr>
        <w:pStyle w:val="Heading3"/>
        <w:spacing w:after="80" w:before="240" w:line="312" w:lineRule="auto"/>
      </w:pPr>
      <w:r>
        <w:rPr>
          <w:rFonts w:ascii="Calibri" w:cs="Calibri" w:eastAsia="Calibri" w:hAnsi="Calibri"/>
          <w:color w:val="2D6A4F"/>
          <w:sz w:val="26"/>
          <w:szCs w:val="26"/>
        </w:rPr>
        <w:t xml:space="preserve">2.2 Shockproofing for Non-Seismic Events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structural philosophy extends beyond seismic events. The framework envisions a home designed to be </w:t>
      </w:r>
      <w:r>
        <w:rPr>
          <w:rFonts w:ascii="Calibri" w:cs="Calibri" w:eastAsia="Calibri" w:hAnsi="Calibri"/>
          <w:b/>
          <w:bCs/>
          <w:i w:val="false"/>
          <w:iCs w:val="false"/>
          <w:strike w:val="false"/>
          <w:color w:val="1A1A1A"/>
          <w:sz w:val="22"/>
          <w:szCs w:val="22"/>
        </w:rPr>
        <w:t xml:space="preserve">shockproof</w:t>
      </w:r>
      <w:r>
        <w:rPr>
          <w:rFonts w:ascii="Calibri" w:cs="Calibri" w:eastAsia="Calibri" w:hAnsi="Calibri"/>
          <w:b w:val="false"/>
          <w:bCs w:val="false"/>
          <w:i w:val="false"/>
          <w:iCs w:val="false"/>
          <w:strike w:val="false"/>
          <w:color w:val="1A1A1A"/>
          <w:sz w:val="22"/>
          <w:szCs w:val="22"/>
        </w:rPr>
        <w:t xml:space="preserve"> across the full spectrum of physical threats a structure may face over its operational lifetime: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Wind loading:</w:t>
      </w:r>
      <w:r>
        <w:rPr>
          <w:rFonts w:ascii="Calibri" w:cs="Calibri" w:eastAsia="Calibri" w:hAnsi="Calibri"/>
          <w:b w:val="false"/>
          <w:bCs w:val="false"/>
          <w:i w:val="false"/>
          <w:iCs w:val="false"/>
          <w:strike w:val="false"/>
          <w:color w:val="1A1A1A"/>
          <w:sz w:val="22"/>
          <w:szCs w:val="22"/>
        </w:rPr>
        <w:t xml:space="preserve"> Structural framing and shear walls engineered to exceed code-minimum wind resistance ratings, with redundant load paths so that failure of any single element does not compromise the whole.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Storm impact:</w:t>
      </w:r>
      <w:r>
        <w:rPr>
          <w:rFonts w:ascii="Calibri" w:cs="Calibri" w:eastAsia="Calibri" w:hAnsi="Calibri"/>
          <w:b w:val="false"/>
          <w:bCs w:val="false"/>
          <w:i w:val="false"/>
          <w:iCs w:val="false"/>
          <w:strike w:val="false"/>
          <w:color w:val="1A1A1A"/>
          <w:sz w:val="22"/>
          <w:szCs w:val="22"/>
        </w:rPr>
        <w:t xml:space="preserve"> Reinforced wall assemblies and impact-resistant cladding rated for debris loading consistent with high-wind events.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Structural redundancy:</w:t>
      </w:r>
      <w:r>
        <w:rPr>
          <w:rFonts w:ascii="Calibri" w:cs="Calibri" w:eastAsia="Calibri" w:hAnsi="Calibri"/>
          <w:b w:val="false"/>
          <w:bCs w:val="false"/>
          <w:i w:val="false"/>
          <w:iCs w:val="false"/>
          <w:strike w:val="false"/>
          <w:color w:val="1A1A1A"/>
          <w:sz w:val="22"/>
          <w:szCs w:val="22"/>
        </w:rPr>
        <w:t xml:space="preserve"> Multiple independent load-bearing pathways in walls, roof connections, and foundation interfaces — a concept drawn directly from aerospace and naval engineering, where the failure of one system must not cascade into total structural compromise.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DF6E3" w:color="auto" w:val="clear"/>
            <w:tcMar>
              <w:top w:type="dxa" w:w="180"/>
              <w:left w:type="dxa" w:w="210"/>
              <w:bottom w:type="dxa" w:w="180"/>
              <w:right w:type="dxa" w:w="210"/>
            </w:tcMar>
          </w:tcPr>
          <w:p>
            <w:pPr>
              <w:spacing w:after="120" w:line="408" w:lineRule="auto"/>
            </w:pPr>
            <w:r>
              <w:rPr>
                <w:b/>
                <w:bCs/>
                <w:i w:val="false"/>
                <w:iCs w:val="false"/>
                <w:color w:val="1A1A1A"/>
              </w:rPr>
              <w:t xml:space="preserve">◆ The Insurance Argument</w:t>
            </w:r>
          </w:p>
          <w:p>
            <w:pPr>
              <w:spacing w:after="140" w:line="360" w:lineRule="auto"/>
            </w:pPr>
            <w:r>
              <w:rPr>
                <w:rFonts w:ascii="Calibri" w:cs="Calibri" w:eastAsia="Calibri" w:hAnsi="Calibri"/>
                <w:b w:val="false"/>
                <w:bCs w:val="false"/>
                <w:i w:val="false"/>
                <w:iCs w:val="false"/>
                <w:strike w:val="false"/>
                <w:color w:val="1A1A1A"/>
                <w:sz w:val="22"/>
                <w:szCs w:val="22"/>
              </w:rPr>
              <w:t xml:space="preserve">A core motivator in this design pillar is the elimination of the adversarial homeowner-insurance company relationship following natural disasters. If a home is designed from the ground up to withstand the events that generate claims — earthquakes, high winds, storm surge — then the insurance conversation changes entirely. The goal is a home that simply does not need to be claimed on.</w:t>
            </w:r>
          </w:p>
        </w:tc>
      </w:tr>
    </w:tbl>
    <w:p>
      <w:pPr>
        <w:spacing w:after="240" w:before="0"/>
      </w:pPr>
    </w:p>
    <w:p>
      <w:pPr>
        <w:pStyle w:val="Heading3"/>
        <w:spacing w:after="80" w:before="240" w:line="312" w:lineRule="auto"/>
      </w:pPr>
      <w:r>
        <w:rPr>
          <w:rFonts w:ascii="Calibri" w:cs="Calibri" w:eastAsia="Calibri" w:hAnsi="Calibri"/>
          <w:color w:val="2D6A4F"/>
          <w:sz w:val="26"/>
          <w:szCs w:val="26"/>
        </w:rPr>
        <w:t xml:space="preserve">2.3 Adaptive Sound Penetration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housing includes an </w:t>
      </w:r>
      <w:r>
        <w:rPr>
          <w:rFonts w:ascii="Calibri" w:cs="Calibri" w:eastAsia="Calibri" w:hAnsi="Calibri"/>
          <w:b/>
          <w:bCs/>
          <w:i w:val="false"/>
          <w:iCs w:val="false"/>
          <w:strike w:val="false"/>
          <w:color w:val="1A1A1A"/>
          <w:sz w:val="22"/>
          <w:szCs w:val="22"/>
        </w:rPr>
        <w:t xml:space="preserve">adaptive acoustic system</w:t>
      </w:r>
      <w:r>
        <w:rPr>
          <w:rFonts w:ascii="Calibri" w:cs="Calibri" w:eastAsia="Calibri" w:hAnsi="Calibri"/>
          <w:b w:val="false"/>
          <w:bCs w:val="false"/>
          <w:i w:val="false"/>
          <w:iCs w:val="false"/>
          <w:strike w:val="false"/>
          <w:color w:val="1A1A1A"/>
          <w:sz w:val="22"/>
          <w:szCs w:val="22"/>
        </w:rPr>
        <w:t xml:space="preserve"> — not simply sound blocking, but sound </w:t>
      </w:r>
      <w:r>
        <w:rPr>
          <w:rFonts w:ascii="Calibri" w:cs="Calibri" w:eastAsia="Calibri" w:hAnsi="Calibri"/>
          <w:b w:val="false"/>
          <w:bCs w:val="false"/>
          <w:i/>
          <w:iCs/>
          <w:strike w:val="false"/>
          <w:color w:val="1A1A1A"/>
          <w:sz w:val="22"/>
          <w:szCs w:val="22"/>
        </w:rPr>
        <w:t xml:space="preserve">modulation</w:t>
      </w:r>
      <w:r>
        <w:rPr>
          <w:rFonts w:ascii="Calibri" w:cs="Calibri" w:eastAsia="Calibri" w:hAnsi="Calibri"/>
          <w:b w:val="false"/>
          <w:bCs w:val="false"/>
          <w:i w:val="false"/>
          <w:iCs w:val="false"/>
          <w:strike w:val="false"/>
          <w:color w:val="1A1A1A"/>
          <w:sz w:val="22"/>
          <w:szCs w:val="22"/>
        </w:rPr>
        <w:t xml:space="preserve">. Residents should have meaningful control over their acoustic environment, allowing ambient outdoor sound to be welcomed, attenuated, or selectively filtered based on time of day, preference, and environmental conditions.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This concept draws on real acoustic engineering principles: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Mass-spring-mass (MSM) assemblies:</w:t>
      </w:r>
      <w:r>
        <w:rPr>
          <w:rFonts w:ascii="Calibri" w:cs="Calibri" w:eastAsia="Calibri" w:hAnsi="Calibri"/>
          <w:b w:val="false"/>
          <w:bCs w:val="false"/>
          <w:i w:val="false"/>
          <w:iCs w:val="false"/>
          <w:strike w:val="false"/>
          <w:color w:val="1A1A1A"/>
          <w:sz w:val="22"/>
          <w:szCs w:val="22"/>
        </w:rPr>
        <w:t xml:space="preserve"> Double- or triple-leaf wall systems in which two heavy surface layers are mechanically decoupled by an air gap or resilient layer, creating a resonant system that blocks sound across a broad frequency range.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Sound-dampening composite panels:</w:t>
      </w:r>
      <w:r>
        <w:rPr>
          <w:rFonts w:ascii="Calibri" w:cs="Calibri" w:eastAsia="Calibri" w:hAnsi="Calibri"/>
          <w:b w:val="false"/>
          <w:bCs w:val="false"/>
          <w:i w:val="false"/>
          <w:iCs w:val="false"/>
          <w:strike w:val="false"/>
          <w:color w:val="1A1A1A"/>
          <w:sz w:val="22"/>
          <w:szCs w:val="22"/>
        </w:rPr>
        <w:t xml:space="preserve"> Constrained-layer damping materials (e.g., viscoelastic polymers sandwiched between rigid substrates) that convert sound-wave energy into heat through internal shear stress.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Adaptive window glazing:</w:t>
      </w:r>
      <w:r>
        <w:rPr>
          <w:rFonts w:ascii="Calibri" w:cs="Calibri" w:eastAsia="Calibri" w:hAnsi="Calibri"/>
          <w:b w:val="false"/>
          <w:bCs w:val="false"/>
          <w:i w:val="false"/>
          <w:iCs w:val="false"/>
          <w:strike w:val="false"/>
          <w:color w:val="1A1A1A"/>
          <w:sz w:val="22"/>
          <w:szCs w:val="22"/>
        </w:rPr>
        <w:t xml:space="preserve"> Electrochromic or laminated glazing systems that can shift acoustic transmission properties on demand — analogous to smart glass that adjusts tint, but optimized for acoustic performance rather than light control.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Selective acoustic permeability:</w:t>
      </w:r>
      <w:r>
        <w:rPr>
          <w:rFonts w:ascii="Calibri" w:cs="Calibri" w:eastAsia="Calibri" w:hAnsi="Calibri"/>
          <w:b w:val="false"/>
          <w:bCs w:val="false"/>
          <w:i w:val="false"/>
          <w:iCs w:val="false"/>
          <w:strike w:val="false"/>
          <w:color w:val="1A1A1A"/>
          <w:sz w:val="22"/>
          <w:szCs w:val="22"/>
        </w:rPr>
        <w:t xml:space="preserve"> Rather than a binary open/closed model, the system allows tuning — similar to equalizer adjustments in audio engineering — so that, for example, natural outdoor soundscapes (birdsong, rain, wind) can be allowed in at low levels while traffic noise is attenuated.</w:t>
      </w:r>
    </w:p>
    <w:p>
      <w:pPr>
        <w:pStyle w:val="Heading3"/>
        <w:spacing w:after="80" w:before="240" w:line="312" w:lineRule="auto"/>
      </w:pPr>
      <w:r>
        <w:rPr>
          <w:rFonts w:ascii="Calibri" w:cs="Calibri" w:eastAsia="Calibri" w:hAnsi="Calibri"/>
          <w:color w:val="2D6A4F"/>
          <w:sz w:val="26"/>
          <w:szCs w:val="26"/>
        </w:rPr>
        <w:t xml:space="preserve">2.4 Weatherproofing</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Comprehensive weatherproofing is integrated into the structural design from the concept stage — not added as afterthought cladding or seasonal maintenance. Material selection and structural geometry together address the full range of climate extremes: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Threat</w:t>
            </w:r>
          </w:p>
        </w:tc>
        <w:tc>
          <w:tcPr>
            <w:tcW w:type="pct" w:w="54%"/>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Material / System Response</w:t>
            </w:r>
          </w:p>
        </w:tc>
        <w:tc>
          <w:tcPr>
            <w:tcW w:type="pct" w:w="34%"/>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Performance Target</w:t>
            </w:r>
          </w:p>
        </w:tc>
      </w:tr>
      <w:tr>
        <w:trPr>
          <w:tblHeader w:val="false"/>
        </w:trPr>
        <w:tc>
          <w:tcPr>
            <w:tcW w:type="pct" w:w="12%"/>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Extreme Heat</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Aerogel insulation panels (thermal conductivity as low as 0.015 W/m·K) in wall and roof assemblies; phase-change materials (PCMs) in wall cores to absorb and release latent heat</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Interior temperature stability ±3°F of setpoint without mechanical cooling during moderate heat events</w:t>
            </w:r>
          </w:p>
        </w:tc>
      </w:tr>
      <w:tr>
        <w:trPr>
          <w:tblHeader w:val="false"/>
        </w:trPr>
        <w:tc>
          <w:tcPr>
            <w:tcW w:type="pct" w:w="12%"/>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Extreme Cold</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Continuous thermal break at all structural connections; vapor barriers to prevent condensation-driven degradation; PCM-enhanced thermal mass</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Dramatic reduction in heating load during cold snaps</w:t>
            </w:r>
          </w:p>
        </w:tc>
      </w:tr>
      <w:tr>
        <w:trPr>
          <w:tblHeader w:val="false"/>
        </w:trPr>
        <w:tc>
          <w:tcPr>
            <w:tcW w:type="pct" w:w="12%"/>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Wind &amp; Rain</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Storm-rated windows and doors (ASTM E1996 impact resistance); sealed drainage planes; redundant water management layers</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Zero infiltration at design wind speeds; no water intrusion at roof or wall penetrations</w:t>
            </w:r>
          </w:p>
        </w:tc>
      </w:tr>
      <w:tr>
        <w:trPr>
          <w:tblHeader w:val="false"/>
        </w:trPr>
        <w:tc>
          <w:tcPr>
            <w:tcW w:type="pct" w:w="12%"/>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UV Degradation</w:t>
            </w:r>
          </w:p>
        </w:tc>
        <w:tc>
          <w:tcPr>
            <w:tcW w:type="pct" w:w="5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UV-stable exterior finishes; thermochromic coatings that shift reflectivity as surface temperature rises, reducing solar heat gain in summer</w:t>
            </w:r>
          </w:p>
        </w:tc>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50-year exterior surface durability without full replacement</w:t>
            </w:r>
          </w:p>
        </w:tc>
      </w:tr>
    </w:tbl>
    <w:p>
      <w:pPr>
        <w:spacing w:after="200" w:before="0"/>
      </w:pPr>
    </w:p>
    <w:p>
      <w:pPr>
        <w:pBdr>
          <w:bottom w:val="single" w:color="1A1A1A" w:sz="6"/>
        </w:pBdr>
        <w:spacing w:after="240" w:before="240"/>
      </w:pPr>
    </w:p>
    <w:p>
      <w:pPr>
        <w:pStyle w:val="Heading2"/>
        <w:spacing w:after="120" w:before="360" w:line="312" w:lineRule="auto"/>
      </w:pPr>
      <w:r>
        <w:rPr>
          <w:rFonts w:ascii="Calibri" w:cs="Calibri" w:eastAsia="Calibri" w:hAnsi="Calibri"/>
          <w:color w:val="1A4D2E"/>
          <w:sz w:val="32"/>
          <w:szCs w:val="32"/>
        </w:rPr>
        <w:t xml:space="preserve">Section 3: Replaceable Parts &amp; The Circular Materials Stream</w:t>
      </w:r>
    </w:p>
    <w:p>
      <w:pPr>
        <w:pStyle w:val="Heading3"/>
        <w:spacing w:after="80" w:before="240" w:line="312" w:lineRule="auto"/>
      </w:pPr>
      <w:r>
        <w:rPr>
          <w:rFonts w:ascii="Calibri" w:cs="Calibri" w:eastAsia="Calibri" w:hAnsi="Calibri"/>
          <w:color w:val="2D6A4F"/>
          <w:sz w:val="26"/>
          <w:szCs w:val="26"/>
        </w:rPr>
        <w:t xml:space="preserve">3.1 Modular, Replaceable Components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Every exterior and interior component of the housing unit is designed to be </w:t>
      </w:r>
      <w:r>
        <w:rPr>
          <w:rFonts w:ascii="Calibri" w:cs="Calibri" w:eastAsia="Calibri" w:hAnsi="Calibri"/>
          <w:b/>
          <w:bCs/>
          <w:i w:val="false"/>
          <w:iCs w:val="false"/>
          <w:strike w:val="false"/>
          <w:color w:val="1A1A1A"/>
          <w:sz w:val="22"/>
          <w:szCs w:val="22"/>
        </w:rPr>
        <w:t xml:space="preserve">individually replaceable</w:t>
      </w:r>
      <w:r>
        <w:rPr>
          <w:rFonts w:ascii="Calibri" w:cs="Calibri" w:eastAsia="Calibri" w:hAnsi="Calibri"/>
          <w:b w:val="false"/>
          <w:bCs w:val="false"/>
          <w:i w:val="false"/>
          <w:iCs w:val="false"/>
          <w:strike w:val="false"/>
          <w:color w:val="1A1A1A"/>
          <w:sz w:val="22"/>
          <w:szCs w:val="22"/>
        </w:rPr>
        <w:t xml:space="preserve"> — not replaced in bulk sections, not requiring structural disassembly, and not dependent on a contractor with proprietary tools. The design philosophy treats the home the way a mechanical engineer treats a precision machine: every part has a defined fit, a defined function, and a defined replacement procedure.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This concept was directly inspired by a real frustration in the current housing market: when a small section of vinyl siding is damaged, homeowners are typically forced to purchase siding in large bulk quantities at significant cost — because current cladding systems are not designed for component-level repair. The Integrated Resilient Housing System inverts this model entirely.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DF7F0" w:color="auto" w:val="clear"/>
            <w:tcMar>
              <w:top w:type="dxa" w:w="180"/>
              <w:left w:type="dxa" w:w="210"/>
              <w:bottom w:type="dxa" w:w="180"/>
              <w:right w:type="dxa" w:w="210"/>
            </w:tcMar>
          </w:tcPr>
          <w:p>
            <w:pPr>
              <w:spacing w:after="120" w:line="408" w:lineRule="auto"/>
            </w:pPr>
            <w:r>
              <w:rPr>
                <w:b/>
                <w:bCs/>
                <w:i w:val="false"/>
                <w:iCs w:val="false"/>
                <w:color w:val="1A1A1A"/>
              </w:rPr>
              <w:t xml:space="preserve">◆ Component Remediation — The Key Concept</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term </w:t>
            </w:r>
            <w:r>
              <w:rPr>
                <w:rFonts w:ascii="Calibri" w:cs="Calibri" w:eastAsia="Calibri" w:hAnsi="Calibri"/>
                <w:b/>
                <w:bCs/>
                <w:i w:val="false"/>
                <w:iCs w:val="false"/>
                <w:strike w:val="false"/>
                <w:color w:val="1A1A1A"/>
                <w:sz w:val="22"/>
                <w:szCs w:val="22"/>
              </w:rPr>
              <w:t xml:space="preserve">component remediation</w:t>
            </w:r>
            <w:r>
              <w:rPr>
                <w:rFonts w:ascii="Calibri" w:cs="Calibri" w:eastAsia="Calibri" w:hAnsi="Calibri"/>
                <w:b w:val="false"/>
                <w:bCs w:val="false"/>
                <w:i w:val="false"/>
                <w:iCs w:val="false"/>
                <w:strike w:val="false"/>
                <w:color w:val="1A1A1A"/>
                <w:sz w:val="22"/>
                <w:szCs w:val="22"/>
              </w:rPr>
              <w:t xml:space="preserve"> or </w:t>
            </w:r>
            <w:r>
              <w:rPr>
                <w:rFonts w:ascii="Calibri" w:cs="Calibri" w:eastAsia="Calibri" w:hAnsi="Calibri"/>
                <w:b/>
                <w:bCs/>
                <w:i w:val="false"/>
                <w:iCs w:val="false"/>
                <w:strike w:val="false"/>
                <w:color w:val="1A1A1A"/>
                <w:sz w:val="22"/>
                <w:szCs w:val="22"/>
              </w:rPr>
              <w:t xml:space="preserve">modular refurbishment</w:t>
            </w:r>
            <w:r>
              <w:rPr>
                <w:rFonts w:ascii="Calibri" w:cs="Calibri" w:eastAsia="Calibri" w:hAnsi="Calibri"/>
                <w:b w:val="false"/>
                <w:bCs w:val="false"/>
                <w:i w:val="false"/>
                <w:iCs w:val="false"/>
                <w:strike w:val="false"/>
                <w:color w:val="1A1A1A"/>
                <w:sz w:val="22"/>
                <w:szCs w:val="22"/>
              </w:rPr>
              <w:t xml:space="preserve"> describes the practice of restoring or replacing individual building components — a single panel, a length of trim, a section of baseboard — rather than replacing entire assemblies. In this framework, every part of the building exterior and interior skin is standardized, labeled, and catalogued. A homeowner (or a trained technician) can identify, order, and install a replacement component with the same ease as replacing a part on a car or appliance.</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Key features of the modular component system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Standardized geometry:</w:t>
      </w:r>
      <w:r>
        <w:rPr>
          <w:rFonts w:ascii="Calibri" w:cs="Calibri" w:eastAsia="Calibri" w:hAnsi="Calibri"/>
          <w:b w:val="false"/>
          <w:bCs w:val="false"/>
          <w:i w:val="false"/>
          <w:iCs w:val="false"/>
          <w:strike w:val="false"/>
          <w:color w:val="1A1A1A"/>
          <w:sz w:val="22"/>
          <w:szCs w:val="22"/>
        </w:rPr>
        <w:t xml:space="preserve"> All panels, cladding sections, trim elements, and structural facings use uniform dimensions and connection interfaces across the entire housing line and across the neighborhood.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Tool-accessible fastening:</w:t>
      </w:r>
      <w:r>
        <w:rPr>
          <w:rFonts w:ascii="Calibri" w:cs="Calibri" w:eastAsia="Calibri" w:hAnsi="Calibri"/>
          <w:b w:val="false"/>
          <w:bCs w:val="false"/>
          <w:i w:val="false"/>
          <w:iCs w:val="false"/>
          <w:strike w:val="false"/>
          <w:color w:val="1A1A1A"/>
          <w:sz w:val="22"/>
          <w:szCs w:val="22"/>
        </w:rPr>
        <w:t xml:space="preserve"> Components are designed to be installed and removed with standard tools — no proprietary equipment required.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Clear part identification:</w:t>
      </w:r>
      <w:r>
        <w:rPr>
          <w:rFonts w:ascii="Calibri" w:cs="Calibri" w:eastAsia="Calibri" w:hAnsi="Calibri"/>
          <w:b w:val="false"/>
          <w:bCs w:val="false"/>
          <w:i w:val="false"/>
          <w:iCs w:val="false"/>
          <w:strike w:val="false"/>
          <w:color w:val="1A1A1A"/>
          <w:sz w:val="22"/>
          <w:szCs w:val="22"/>
        </w:rPr>
        <w:t xml:space="preserve"> Each component carries a durable identifier that links to a digital parts database, enabling homeowners to source replacements efficiently.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Neighborhood-scale parts pool:</w:t>
      </w:r>
      <w:r>
        <w:rPr>
          <w:rFonts w:ascii="Calibri" w:cs="Calibri" w:eastAsia="Calibri" w:hAnsi="Calibri"/>
          <w:b w:val="false"/>
          <w:bCs w:val="false"/>
          <w:i w:val="false"/>
          <w:iCs w:val="false"/>
          <w:strike w:val="false"/>
          <w:color w:val="1A1A1A"/>
          <w:sz w:val="22"/>
          <w:szCs w:val="22"/>
        </w:rPr>
        <w:t xml:space="preserve"> Because every home in the neighborhood uses the same standardized components, a shared local supply is maintained — dramatically reducing lead times and per-unit costs.</w:t>
      </w:r>
    </w:p>
    <w:p>
      <w:pPr>
        <w:pStyle w:val="Heading3"/>
        <w:spacing w:after="80" w:before="240" w:line="312" w:lineRule="auto"/>
      </w:pPr>
      <w:r>
        <w:rPr>
          <w:rFonts w:ascii="Calibri" w:cs="Calibri" w:eastAsia="Calibri" w:hAnsi="Calibri"/>
          <w:color w:val="2D6A4F"/>
          <w:sz w:val="26"/>
          <w:szCs w:val="26"/>
        </w:rPr>
        <w:t xml:space="preserve">3.2 The Whole-Neighborhood Waste Stream</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framework envisions the neighborhood not as a collection of independent properties, but as a </w:t>
      </w:r>
      <w:r>
        <w:rPr>
          <w:rFonts w:ascii="Calibri" w:cs="Calibri" w:eastAsia="Calibri" w:hAnsi="Calibri"/>
          <w:b/>
          <w:bCs/>
          <w:i w:val="false"/>
          <w:iCs w:val="false"/>
          <w:strike w:val="false"/>
          <w:color w:val="1A1A1A"/>
          <w:sz w:val="22"/>
          <w:szCs w:val="22"/>
        </w:rPr>
        <w:t xml:space="preserve">shared material ecosystem</w:t>
      </w:r>
      <w:r>
        <w:rPr>
          <w:rFonts w:ascii="Calibri" w:cs="Calibri" w:eastAsia="Calibri" w:hAnsi="Calibri"/>
          <w:b w:val="false"/>
          <w:bCs w:val="false"/>
          <w:i w:val="false"/>
          <w:iCs w:val="false"/>
          <w:strike w:val="false"/>
          <w:color w:val="1A1A1A"/>
          <w:sz w:val="22"/>
          <w:szCs w:val="22"/>
        </w:rPr>
        <w:t xml:space="preserve">. Construction, maintenance, repair, and end-of-life material flows are tracked and managed through a </w:t>
      </w:r>
      <w:r>
        <w:rPr>
          <w:rFonts w:ascii="Calibri" w:cs="Calibri" w:eastAsia="Calibri" w:hAnsi="Calibri"/>
          <w:b/>
          <w:bCs/>
          <w:i w:val="false"/>
          <w:iCs w:val="false"/>
          <w:strike w:val="false"/>
          <w:color w:val="1A1A1A"/>
          <w:sz w:val="22"/>
          <w:szCs w:val="22"/>
        </w:rPr>
        <w:t xml:space="preserve">circular economy</w:t>
      </w:r>
      <w:r>
        <w:rPr>
          <w:rFonts w:ascii="Calibri" w:cs="Calibri" w:eastAsia="Calibri" w:hAnsi="Calibri"/>
          <w:b w:val="false"/>
          <w:bCs w:val="false"/>
          <w:i w:val="false"/>
          <w:iCs w:val="false"/>
          <w:strike w:val="false"/>
          <w:color w:val="1A1A1A"/>
          <w:sz w:val="22"/>
          <w:szCs w:val="22"/>
        </w:rPr>
        <w:t xml:space="preserve"> model — one in which every material that enters the system has a defined pathway through its entire lifecycle.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2D6A4F"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Lifecycle Stage</w:t>
            </w:r>
          </w:p>
        </w:tc>
        <w:tc>
          <w:tcPr>
            <w:tcW w:type="pct" w:w="58%"/>
            <w:shd w:fill="2D6A4F"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What Happens</w:t>
            </w:r>
          </w:p>
        </w:tc>
        <w:tc>
          <w:tcPr>
            <w:tcW w:type="pct" w:w="25%"/>
            <w:shd w:fill="2D6A4F"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Circular Principle</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1. Manufactured</w:t>
            </w:r>
          </w:p>
        </w:tc>
        <w:tc>
          <w:tcPr>
            <w:tcW w:type="pct" w:w="5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Components are produced using recycled-content feedstocks where possible; production waste is captured and returned to the stream</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Design for recyclability at point of manufacture</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2. Installed</w:t>
            </w:r>
          </w:p>
        </w:tc>
        <w:tc>
          <w:tcPr>
            <w:tcW w:type="pct" w:w="5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Precise-fit installation minimizes construction waste; no single-use packaging; all off-cuts are catalogued and retained</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Zero-waste installation protocol</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3. Maintained</w:t>
            </w:r>
          </w:p>
        </w:tc>
        <w:tc>
          <w:tcPr>
            <w:tcW w:type="pct" w:w="5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Routine inspection identifies wear before failure; maintenance records are shared with the neighborhood parts management system</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Preventive maintenance extends component life</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4. Repaired / Refurbished</w:t>
            </w:r>
          </w:p>
        </w:tc>
        <w:tc>
          <w:tcPr>
            <w:tcW w:type="pct" w:w="5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Damaged components are removed individually; refurbishment (resurfacing, recoating, re-sealing) is performed where possible before replacement</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Repair first; replace only when necessary</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5. Recycled / Composted</w:t>
            </w:r>
          </w:p>
        </w:tc>
        <w:tc>
          <w:tcPr>
            <w:tcW w:type="pct" w:w="58%"/>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End-of-life components are sorted by material type and returned to appropriate recovery streams — metal, polymer, biobased, or inert mineral</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Cradle-to-cradle: no landfill as default pathway</w:t>
            </w:r>
          </w:p>
        </w:tc>
      </w:tr>
    </w:tbl>
    <w:p>
      <w:pPr>
        <w:spacing w:after="200" w:before="0"/>
      </w:pPr>
    </w:p>
    <w:p>
      <w:pPr>
        <w:spacing w:after="240" w:line="360" w:lineRule="auto"/>
        <w:jc w:val="center"/>
      </w:pPr>
      <w:r>
        <w:rPr>
          <w:rFonts w:ascii="Calibri" w:cs="Calibri" w:eastAsia="Calibri" w:hAnsi="Calibri"/>
          <w:b w:val="false"/>
          <w:bCs w:val="false"/>
          <w:i/>
          <w:iCs/>
          <w:strike w:val="false"/>
          <w:color w:val="666666"/>
          <w:sz w:val="18"/>
          <w:szCs w:val="18"/>
        </w:rPr>
        <w:t xml:space="preserve">Figure 2. The neighborhood material stream cycle — each component's journey from manufacture through end-of-life recovery.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This approach is consistent with and reinforced by emerging research in the construction industry. Studies on </w:t>
      </w:r>
      <w:r>
        <w:rPr>
          <w:rFonts w:ascii="Calibri" w:cs="Calibri" w:eastAsia="Calibri" w:hAnsi="Calibri"/>
          <w:b/>
          <w:bCs/>
          <w:i w:val="false"/>
          <w:iCs w:val="false"/>
          <w:strike w:val="false"/>
          <w:color w:val="1A1A1A"/>
          <w:sz w:val="22"/>
          <w:szCs w:val="22"/>
        </w:rPr>
        <w:t xml:space="preserve">cradle-to-cradle design</w:t>
      </w:r>
      <w:r>
        <w:rPr>
          <w:rFonts w:ascii="Calibri" w:cs="Calibri" w:eastAsia="Calibri" w:hAnsi="Calibri"/>
          <w:b w:val="false"/>
          <w:bCs w:val="false"/>
          <w:i w:val="false"/>
          <w:iCs w:val="false"/>
          <w:strike w:val="false"/>
          <w:color w:val="1A1A1A"/>
          <w:sz w:val="22"/>
          <w:szCs w:val="22"/>
        </w:rPr>
        <w:t xml:space="preserve"> in modular construction have confirmed that circular economy integration in building systems significantly extends effective lifecycle duration and reduces resource consumption across multiple use cycles. Reusable modular timber and composite building elements, when designed with inter-locking standardized connections, have demonstrated measurable reductions in lifecycle environmental impact. The Integrated Resilient Housing System formalizes these principles at the neighborhood scale.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7" w:color="auto" w:val="clear"/>
            <w:tcMar>
              <w:top w:type="dxa" w:w="180"/>
              <w:left w:type="dxa" w:w="210"/>
              <w:bottom w:type="dxa" w:w="180"/>
              <w:right w:type="dxa" w:w="210"/>
            </w:tcMar>
          </w:tcPr>
          <w:p>
            <w:pPr>
              <w:spacing w:after="120" w:line="408" w:lineRule="auto"/>
            </w:pPr>
            <w:r>
              <w:rPr>
                <w:b/>
                <w:bCs/>
                <w:i w:val="false"/>
                <w:iCs w:val="false"/>
                <w:color w:val="1A1A1A"/>
              </w:rPr>
              <w:t xml:space="preserve">◆ Nothing Is Single-Use</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guiding rule of the material stream: every component that enters the neighborhood system has a defined next step. There is no default landfill pathway. End-of-life is not an endpoint — it is a transition to the next stage of material life. This is the circular economy applied not as a corporate sustainability aspiration, but as a neighborhood-level operational reality.</w:t>
            </w:r>
          </w:p>
        </w:tc>
      </w:tr>
    </w:tbl>
    <w:p>
      <w:pPr>
        <w:spacing w:after="240" w:before="0"/>
      </w:pPr>
    </w:p>
    <w:p>
      <w:pPr>
        <w:pBdr>
          <w:bottom w:val="single" w:color="1A1A1A" w:sz="6"/>
        </w:pBdr>
        <w:spacing w:after="240" w:before="240"/>
      </w:pPr>
    </w:p>
    <w:p>
      <w:pPr>
        <w:pStyle w:val="Heading2"/>
        <w:spacing w:after="120" w:before="360" w:line="312" w:lineRule="auto"/>
      </w:pPr>
      <w:r>
        <w:rPr>
          <w:rFonts w:ascii="Calibri" w:cs="Calibri" w:eastAsia="Calibri" w:hAnsi="Calibri"/>
          <w:color w:val="1A4D2E"/>
          <w:sz w:val="32"/>
          <w:szCs w:val="32"/>
        </w:rPr>
        <w:t xml:space="preserve">Section 4: The Energy Plan — Solar Integration &amp; Sun-Tracking Rotation</w:t>
      </w:r>
    </w:p>
    <w:p>
      <w:pPr>
        <w:spacing w:after="80" w:before="200"/>
        <w:jc w:val="center"/>
      </w:pPr>
      <w:r>
        <w:drawing>
          <wp:inline distT="0" distB="0" distL="0" distR="0">
            <wp:extent cx="46291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29150" cy="209550"/>
                    </a:xfrm>
                    <a:prstGeom prst="rect">
                      <a:avLst/>
                    </a:prstGeom>
                  </pic:spPr>
                </pic:pic>
              </a:graphicData>
            </a:graphic>
          </wp:inline>
        </w:drawing>
      </w:r>
    </w:p>
    <w:p>
      <w:pPr>
        <w:spacing w:after="200"/>
        <w:jc w:val="center"/>
      </w:pPr>
      <w:r>
        <w:rPr>
          <w:i/>
          <w:iCs/>
          <w:color w:val="6B7280"/>
          <w:sz w:val="20"/>
          <w:szCs w:val="20"/>
        </w:rPr>
        <w:t xml:space="preserve">Figure 3. Building-integrated photovoltaics (BIPV) applied to a commercial facade. The IRHS framework extends this concept to every surface of a residential structure — roof, walls, and cladding — to maximize total energy collection area.</w:t>
      </w:r>
    </w:p>
    <w:p>
      <w:pPr>
        <w:pStyle w:val="Heading3"/>
        <w:spacing w:after="80" w:before="240" w:line="312" w:lineRule="auto"/>
      </w:pPr>
      <w:r>
        <w:rPr>
          <w:rFonts w:ascii="Calibri" w:cs="Calibri" w:eastAsia="Calibri" w:hAnsi="Calibri"/>
          <w:color w:val="2D6A4F"/>
          <w:sz w:val="26"/>
          <w:szCs w:val="26"/>
        </w:rPr>
        <w:t xml:space="preserve">4.1 Solar-Integrated Structure (Not Just Panels)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conventional image of residential solar — a row of dark rectangular panels mounted at a fixed angle on a south-facing roof — represents only a fraction of a building's potential energy collection surface. In the Integrated Resilient Housing System, </w:t>
      </w:r>
      <w:r>
        <w:rPr>
          <w:rFonts w:ascii="Calibri" w:cs="Calibri" w:eastAsia="Calibri" w:hAnsi="Calibri"/>
          <w:b/>
          <w:bCs/>
          <w:i w:val="false"/>
          <w:iCs w:val="false"/>
          <w:strike w:val="false"/>
          <w:color w:val="1A1A1A"/>
          <w:sz w:val="22"/>
          <w:szCs w:val="22"/>
        </w:rPr>
        <w:t xml:space="preserve">solar energy collection is designed into the structure itself</w:t>
      </w:r>
      <w:r>
        <w:rPr>
          <w:rFonts w:ascii="Calibri" w:cs="Calibri" w:eastAsia="Calibri" w:hAnsi="Calibri"/>
          <w:b w:val="false"/>
          <w:bCs w:val="false"/>
          <w:i w:val="false"/>
          <w:iCs w:val="false"/>
          <w:strike w:val="false"/>
          <w:color w:val="1A1A1A"/>
          <w:sz w:val="22"/>
          <w:szCs w:val="22"/>
        </w:rPr>
        <w:t xml:space="preserve">. Every exposed surface participates.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key technology enabling this vision is </w:t>
      </w:r>
      <w:r>
        <w:rPr>
          <w:rFonts w:ascii="Calibri" w:cs="Calibri" w:eastAsia="Calibri" w:hAnsi="Calibri"/>
          <w:b/>
          <w:bCs/>
          <w:i w:val="false"/>
          <w:iCs w:val="false"/>
          <w:strike w:val="false"/>
          <w:color w:val="1A1A1A"/>
          <w:sz w:val="22"/>
          <w:szCs w:val="22"/>
        </w:rPr>
        <w:t xml:space="preserve">Building-Integrated Photovoltaics (BIPV)</w:t>
      </w:r>
      <w:r>
        <w:rPr>
          <w:rFonts w:ascii="Calibri" w:cs="Calibri" w:eastAsia="Calibri" w:hAnsi="Calibri"/>
          <w:b w:val="false"/>
          <w:bCs w:val="false"/>
          <w:i w:val="false"/>
          <w:iCs w:val="false"/>
          <w:strike w:val="false"/>
          <w:color w:val="1A1A1A"/>
          <w:sz w:val="22"/>
          <w:szCs w:val="22"/>
        </w:rPr>
        <w:t xml:space="preserve">: photovoltaic materials that replace or are embedded directly into conventional building envelope components — roofing, cladding, windows, and facades — rather than being mounted on top of them.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BIPV roofing:</w:t>
      </w:r>
      <w:r>
        <w:rPr>
          <w:rFonts w:ascii="Calibri" w:cs="Calibri" w:eastAsia="Calibri" w:hAnsi="Calibri"/>
          <w:b w:val="false"/>
          <w:bCs w:val="false"/>
          <w:i w:val="false"/>
          <w:iCs w:val="false"/>
          <w:strike w:val="false"/>
          <w:color w:val="1A1A1A"/>
          <w:sz w:val="22"/>
          <w:szCs w:val="22"/>
        </w:rPr>
        <w:t xml:space="preserve"> Solar cells laminated into or replacing conventional roofing materials (analogous to commercially available solar shingles), covering 100% of the roof surface area rather than the 30–40% typical of rack-mounted panel arrays.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BIPV wall cladding:</w:t>
      </w:r>
      <w:r>
        <w:rPr>
          <w:rFonts w:ascii="Calibri" w:cs="Calibri" w:eastAsia="Calibri" w:hAnsi="Calibri"/>
          <w:b w:val="false"/>
          <w:bCs w:val="false"/>
          <w:i w:val="false"/>
          <w:iCs w:val="false"/>
          <w:strike w:val="false"/>
          <w:color w:val="1A1A1A"/>
          <w:sz w:val="22"/>
          <w:szCs w:val="22"/>
        </w:rPr>
        <w:t xml:space="preserve"> Thin-film or crystalline silicon photovoltaic panels used as exterior wall cladding panels — collecting solar energy from vertical surfaces that conventional installations ignore entirely, particularly valuable in the morning and afternoon hours when sun angles are low.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Semitransparent solar glazing:</w:t>
      </w:r>
      <w:r>
        <w:rPr>
          <w:rFonts w:ascii="Calibri" w:cs="Calibri" w:eastAsia="Calibri" w:hAnsi="Calibri"/>
          <w:b w:val="false"/>
          <w:bCs w:val="false"/>
          <w:i w:val="false"/>
          <w:iCs w:val="false"/>
          <w:strike w:val="false"/>
          <w:color w:val="1A1A1A"/>
          <w:sz w:val="22"/>
          <w:szCs w:val="22"/>
        </w:rPr>
        <w:t xml:space="preserve"> Recent advances in scalable semitransparent organic solar cells (published in </w:t>
      </w:r>
      <w:r>
        <w:rPr>
          <w:rFonts w:ascii="Calibri" w:cs="Calibri" w:eastAsia="Calibri" w:hAnsi="Calibri"/>
          <w:b w:val="false"/>
          <w:bCs w:val="false"/>
          <w:i/>
          <w:iCs/>
          <w:strike w:val="false"/>
          <w:color w:val="1A1A1A"/>
          <w:sz w:val="22"/>
          <w:szCs w:val="22"/>
        </w:rPr>
        <w:t xml:space="preserve">Nature Communications</w:t>
      </w:r>
      <w:r>
        <w:rPr>
          <w:rFonts w:ascii="Calibri" w:cs="Calibri" w:eastAsia="Calibri" w:hAnsi="Calibri"/>
          <w:b w:val="false"/>
          <w:bCs w:val="false"/>
          <w:i w:val="false"/>
          <w:iCs w:val="false"/>
          <w:strike w:val="false"/>
          <w:color w:val="1A1A1A"/>
          <w:sz w:val="22"/>
          <w:szCs w:val="22"/>
        </w:rPr>
        <w:t xml:space="preserve">) enable windows and skylights that generate electricity while transmitting sufficient visible light for interior daylighting. This converts windows from energy liabilities into energy assets.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Thermochromic and solar-thermal coatings:</w:t>
      </w:r>
      <w:r>
        <w:rPr>
          <w:rFonts w:ascii="Calibri" w:cs="Calibri" w:eastAsia="Calibri" w:hAnsi="Calibri"/>
          <w:b w:val="false"/>
          <w:bCs w:val="false"/>
          <w:i w:val="false"/>
          <w:iCs w:val="false"/>
          <w:strike w:val="false"/>
          <w:color w:val="1A1A1A"/>
          <w:sz w:val="22"/>
          <w:szCs w:val="22"/>
        </w:rPr>
        <w:t xml:space="preserve"> Exterior surfaces not suited to PV integration are treated with solar-thermal coatings that absorb radiant energy for domestic hot water heating or passive thermal regulation, further reducing energy consumption.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DF7F0" w:color="auto" w:val="clear"/>
            <w:tcMar>
              <w:top w:type="dxa" w:w="180"/>
              <w:left w:type="dxa" w:w="210"/>
              <w:bottom w:type="dxa" w:w="180"/>
              <w:right w:type="dxa" w:w="210"/>
            </w:tcMar>
          </w:tcPr>
          <w:p>
            <w:pPr>
              <w:spacing w:after="120" w:line="408" w:lineRule="auto"/>
            </w:pPr>
            <w:r>
              <w:rPr>
                <w:b/>
                <w:bCs/>
                <w:i w:val="false"/>
                <w:iCs w:val="false"/>
                <w:color w:val="1A1A1A"/>
              </w:rPr>
              <w:t xml:space="preserve">◆ Total Surface Participation</w:t>
            </w:r>
          </w:p>
          <w:p>
            <w:pPr>
              <w:spacing w:after="140" w:line="360" w:lineRule="auto"/>
            </w:pPr>
            <w:r>
              <w:rPr>
                <w:rFonts w:ascii="Calibri" w:cs="Calibri" w:eastAsia="Calibri" w:hAnsi="Calibri"/>
                <w:b w:val="false"/>
                <w:bCs w:val="false"/>
                <w:i w:val="false"/>
                <w:iCs w:val="false"/>
                <w:strike w:val="false"/>
                <w:color w:val="1A1A1A"/>
                <w:sz w:val="22"/>
                <w:szCs w:val="22"/>
              </w:rPr>
              <w:t xml:space="preserve">Where a traditional rooftop solar installation might cover 300–600 square feet of collection area on a standard residential home, the IRHS framework targets the full building envelope — potentially 2,000–3,500 square feet of integrated energy-collecting surface on a single-family unit. This is not incremental improvement; it is an order-of-magnitude redesign of the energy surface.</w:t>
            </w:r>
          </w:p>
        </w:tc>
      </w:tr>
    </w:tbl>
    <w:p>
      <w:pPr>
        <w:spacing w:after="240" w:before="0"/>
      </w:pPr>
    </w:p>
    <w:p>
      <w:pPr>
        <w:pStyle w:val="Heading3"/>
        <w:spacing w:after="80" w:before="240" w:line="312" w:lineRule="auto"/>
      </w:pPr>
      <w:r>
        <w:rPr>
          <w:rFonts w:ascii="Calibri" w:cs="Calibri" w:eastAsia="Calibri" w:hAnsi="Calibri"/>
          <w:color w:val="2D6A4F"/>
          <w:sz w:val="26"/>
          <w:szCs w:val="26"/>
        </w:rPr>
        <w:t xml:space="preserve">4.2 The Sun-Tracking Rotating Structure</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Perhaps the most visionary element of the energy design is the proposition that the housing unit itself should track the sun — rotating slowly throughout the day so that its maximum collection surfaces always face the solar angle directly.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concept is intuitive: a sunflower turns to face the sun not because it wastes energy doing so, but because the gain from optimal orientation far exceeds the cost of movement. A stationary solar installation captures peak performance for only a portion of the day, as the sun's angle moves from low in the morning, through zenith at noon, to low again at sunset. A sun-tracking structure maintains near-peak collection through the full solar day.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Single-axis tracking:</w:t>
      </w:r>
      <w:r>
        <w:rPr>
          <w:rFonts w:ascii="Calibri" w:cs="Calibri" w:eastAsia="Calibri" w:hAnsi="Calibri"/>
          <w:b w:val="false"/>
          <w:bCs w:val="false"/>
          <w:i w:val="false"/>
          <w:iCs w:val="false"/>
          <w:strike w:val="false"/>
          <w:color w:val="1A1A1A"/>
          <w:sz w:val="22"/>
          <w:szCs w:val="22"/>
        </w:rPr>
        <w:t xml:space="preserve"> The structure rotates on a vertical axis (azimuth tracking), following the sun's east-to-west arc. This is the simplest rotation mechanism and can increase energy yield by 25–35% over a fixed installation.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Dual-axis tracking:</w:t>
      </w:r>
      <w:r>
        <w:rPr>
          <w:rFonts w:ascii="Calibri" w:cs="Calibri" w:eastAsia="Calibri" w:hAnsi="Calibri"/>
          <w:b w:val="false"/>
          <w:bCs w:val="false"/>
          <w:i w:val="false"/>
          <w:iCs w:val="false"/>
          <w:strike w:val="false"/>
          <w:color w:val="1A1A1A"/>
          <w:sz w:val="22"/>
          <w:szCs w:val="22"/>
        </w:rPr>
        <w:t xml:space="preserve"> Combines azimuth rotation with tilt adjustment, allowing the structure to follow both the daily arc and the seasonal variation in solar elevation angle. Dual-axis tracking can increase yield by 35–45% over fixed 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Heliostat principles:</w:t>
      </w:r>
      <w:r>
        <w:rPr>
          <w:rFonts w:ascii="Calibri" w:cs="Calibri" w:eastAsia="Calibri" w:hAnsi="Calibri"/>
          <w:b w:val="false"/>
          <w:bCs w:val="false"/>
          <w:i w:val="false"/>
          <w:iCs w:val="false"/>
          <w:strike w:val="false"/>
          <w:color w:val="1A1A1A"/>
          <w:sz w:val="22"/>
          <w:szCs w:val="22"/>
        </w:rPr>
        <w:t xml:space="preserve"> Industrial-scale concentrated solar power plants use heliostats (large mirrors on two-axis trackers) to direct sunlight onto a central collector. The IRHS adapts the tracking logic — the precision solar-angle computation and motorized positioning — and scales it down to residential application.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Low-energy rotation mechanism:</w:t>
      </w:r>
      <w:r>
        <w:rPr>
          <w:rFonts w:ascii="Calibri" w:cs="Calibri" w:eastAsia="Calibri" w:hAnsi="Calibri"/>
          <w:b w:val="false"/>
          <w:bCs w:val="false"/>
          <w:i w:val="false"/>
          <w:iCs w:val="false"/>
          <w:strike w:val="false"/>
          <w:color w:val="1A1A1A"/>
          <w:sz w:val="22"/>
          <w:szCs w:val="22"/>
        </w:rPr>
        <w:t xml:space="preserve"> The rotation drive is designed for minimal power draw. Pre-programmed solar ephemeris data (precise sun position by time, date, and geographic coordinates) drives a slow, smooth rotation that requires no real-time sensor feedback during clear conditions — the system knows exactly where the sun is at every moment of the year for its specific latitude and longitude.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1A1A1A"/>
              </w:rPr>
              <w:t xml:space="preserve">◆ The Rotating Home — A Mental Model</w:t>
            </w:r>
          </w:p>
          <w:p>
            <w:pPr>
              <w:spacing w:after="140" w:line="360" w:lineRule="auto"/>
            </w:pPr>
            <w:r>
              <w:rPr>
                <w:rFonts w:ascii="Calibri" w:cs="Calibri" w:eastAsia="Calibri" w:hAnsi="Calibri"/>
                <w:b w:val="false"/>
                <w:bCs w:val="false"/>
                <w:i w:val="false"/>
                <w:iCs w:val="false"/>
                <w:strike w:val="false"/>
                <w:color w:val="1A1A1A"/>
                <w:sz w:val="22"/>
                <w:szCs w:val="22"/>
              </w:rPr>
              <w:t xml:space="preserve">Picture a sundial — a fixed pointer that casts a shadow as the sun moves. Now invert it: instead of the pointer being fixed while the sun moves, the </w:t>
            </w:r>
            <w:r>
              <w:rPr>
                <w:rFonts w:ascii="Calibri" w:cs="Calibri" w:eastAsia="Calibri" w:hAnsi="Calibri"/>
                <w:b w:val="false"/>
                <w:bCs w:val="false"/>
                <w:i/>
                <w:iCs/>
                <w:strike w:val="false"/>
                <w:color w:val="1A1A1A"/>
                <w:sz w:val="22"/>
                <w:szCs w:val="22"/>
              </w:rPr>
              <w:t xml:space="preserve">building</w:t>
            </w:r>
            <w:r>
              <w:rPr>
                <w:rFonts w:ascii="Calibri" w:cs="Calibri" w:eastAsia="Calibri" w:hAnsi="Calibri"/>
                <w:b w:val="false"/>
                <w:bCs w:val="false"/>
                <w:i w:val="false"/>
                <w:iCs w:val="false"/>
                <w:strike w:val="false"/>
                <w:color w:val="1A1A1A"/>
                <w:sz w:val="22"/>
                <w:szCs w:val="22"/>
              </w:rPr>
              <w:t xml:space="preserve"> moves, always presenting its maximum collection face to the sun. The rotation is imperceptibly slow — perhaps a full revolution in 24 hours, less than 15 degrees per hour — driven by a quiet, low-friction bearing system beneath the foundation cradle.</w:t>
            </w:r>
          </w:p>
        </w:tc>
      </w:tr>
    </w:tbl>
    <w:p>
      <w:pPr>
        <w:spacing w:after="240" w:before="0"/>
      </w:pPr>
    </w:p>
    <w:p>
      <w:pPr>
        <w:pStyle w:val="Heading3"/>
        <w:spacing w:after="80" w:before="240" w:line="312" w:lineRule="auto"/>
      </w:pPr>
      <w:r>
        <w:rPr>
          <w:rFonts w:ascii="Calibri" w:cs="Calibri" w:eastAsia="Calibri" w:hAnsi="Calibri"/>
          <w:color w:val="2D6A4F"/>
          <w:sz w:val="26"/>
          <w:szCs w:val="26"/>
        </w:rPr>
        <w:t xml:space="preserve">4.3 Location-Specific Solar Modeling</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Each housing unit is designed and positioned using comprehensive, location-specific solar data. Generic solar installations are optimized for average conditions. The IRHS framework demands </w:t>
      </w:r>
      <w:r>
        <w:rPr>
          <w:rFonts w:ascii="Calibri" w:cs="Calibri" w:eastAsia="Calibri" w:hAnsi="Calibri"/>
          <w:b/>
          <w:bCs/>
          <w:i w:val="false"/>
          <w:iCs w:val="false"/>
          <w:strike w:val="false"/>
          <w:color w:val="1A1A1A"/>
          <w:sz w:val="22"/>
          <w:szCs w:val="22"/>
        </w:rPr>
        <w:t xml:space="preserve">precision modeling for the exact site</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Solar irradiance mapping:</w:t>
      </w:r>
      <w:r>
        <w:rPr>
          <w:rFonts w:ascii="Calibri" w:cs="Calibri" w:eastAsia="Calibri" w:hAnsi="Calibri"/>
          <w:b w:val="false"/>
          <w:bCs w:val="false"/>
          <w:i w:val="false"/>
          <w:iCs w:val="false"/>
          <w:strike w:val="false"/>
          <w:color w:val="1A1A1A"/>
          <w:sz w:val="22"/>
          <w:szCs w:val="22"/>
        </w:rPr>
        <w:t xml:space="preserve"> Historical and seasonal solar irradiance data (measured in kWh/m²/day) for the specific latitude and longitude, including month-by-month variation and cloud-cover probability distributions.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Solar angle computation:</w:t>
      </w:r>
      <w:r>
        <w:rPr>
          <w:rFonts w:ascii="Calibri" w:cs="Calibri" w:eastAsia="Calibri" w:hAnsi="Calibri"/>
          <w:b w:val="false"/>
          <w:bCs w:val="false"/>
          <w:i w:val="false"/>
          <w:iCs w:val="false"/>
          <w:strike w:val="false"/>
          <w:color w:val="1A1A1A"/>
          <w:sz w:val="22"/>
          <w:szCs w:val="22"/>
        </w:rPr>
        <w:t xml:space="preserve"> Full-year solar elevation and azimuth angle calculations for the site, used to program the rotation mechanism and optimize the structure's orientation offset within the neighborhood grid.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Shadow analysis:</w:t>
      </w:r>
      <w:r>
        <w:rPr>
          <w:rFonts w:ascii="Calibri" w:cs="Calibri" w:eastAsia="Calibri" w:hAnsi="Calibri"/>
          <w:b w:val="false"/>
          <w:bCs w:val="false"/>
          <w:i w:val="false"/>
          <w:iCs w:val="false"/>
          <w:strike w:val="false"/>
          <w:color w:val="1A1A1A"/>
          <w:sz w:val="22"/>
          <w:szCs w:val="22"/>
        </w:rPr>
        <w:t xml:space="preserve"> GIS-based three-dimensional modeling of all shading sources — neighboring two-story structures, mature trees, utility poles, fencing, and adjacent buildings — to determine shadow cast patterns at every hour of the year. Homes are positioned within the neighborhood grid to minimize mutual shading.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Microclimate factors:</w:t>
      </w:r>
      <w:r>
        <w:rPr>
          <w:rFonts w:ascii="Calibri" w:cs="Calibri" w:eastAsia="Calibri" w:hAnsi="Calibri"/>
          <w:b w:val="false"/>
          <w:bCs w:val="false"/>
          <w:i w:val="false"/>
          <w:iCs w:val="false"/>
          <w:strike w:val="false"/>
          <w:color w:val="1A1A1A"/>
          <w:sz w:val="22"/>
          <w:szCs w:val="22"/>
        </w:rPr>
        <w:t xml:space="preserve"> Wind corridors, albedo from adjacent reflective surfaces, and topographic effects on local solar availability are incorporated into the placement model.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Seasonal performance projections:</w:t>
      </w:r>
      <w:r>
        <w:rPr>
          <w:rFonts w:ascii="Calibri" w:cs="Calibri" w:eastAsia="Calibri" w:hAnsi="Calibri"/>
          <w:b w:val="false"/>
          <w:bCs w:val="false"/>
          <w:i w:val="false"/>
          <w:iCs w:val="false"/>
          <w:strike w:val="false"/>
          <w:color w:val="1A1A1A"/>
          <w:sz w:val="22"/>
          <w:szCs w:val="22"/>
        </w:rPr>
        <w:t xml:space="preserve"> Energy generation is modeled month-by-month, with storage sizing calibrated to bridge the gap between peak summer generation and reduced winter output.</w:t>
      </w:r>
    </w:p>
    <w:p>
      <w:pPr>
        <w:pStyle w:val="Heading3"/>
        <w:spacing w:after="80" w:before="240" w:line="312" w:lineRule="auto"/>
      </w:pPr>
      <w:r>
        <w:rPr>
          <w:rFonts w:ascii="Calibri" w:cs="Calibri" w:eastAsia="Calibri" w:hAnsi="Calibri"/>
          <w:color w:val="2D6A4F"/>
          <w:sz w:val="26"/>
          <w:szCs w:val="26"/>
        </w:rPr>
        <w:t xml:space="preserve">4.4 Neighborhood Energy Design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full potential of the energy system is realized only when individual home generation is connected into a </w:t>
      </w:r>
      <w:r>
        <w:rPr>
          <w:rFonts w:ascii="Calibri" w:cs="Calibri" w:eastAsia="Calibri" w:hAnsi="Calibri"/>
          <w:b/>
          <w:bCs/>
          <w:i w:val="false"/>
          <w:iCs w:val="false"/>
          <w:strike w:val="false"/>
          <w:color w:val="1A1A1A"/>
          <w:sz w:val="22"/>
          <w:szCs w:val="22"/>
        </w:rPr>
        <w:t xml:space="preserve">community-scale microgrid</w:t>
      </w:r>
      <w:r>
        <w:rPr>
          <w:rFonts w:ascii="Calibri" w:cs="Calibri" w:eastAsia="Calibri" w:hAnsi="Calibri"/>
          <w:b w:val="false"/>
          <w:bCs w:val="false"/>
          <w:i w:val="false"/>
          <w:iCs w:val="false"/>
          <w:strike w:val="false"/>
          <w:color w:val="1A1A1A"/>
          <w:sz w:val="22"/>
          <w:szCs w:val="22"/>
        </w:rPr>
        <w:t xml:space="preserve">. Rather than optimizing each home in isolation, the neighborhood is modeled and operated as a cohesive energy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Shared microgrid infrastructure:</w:t>
      </w:r>
      <w:r>
        <w:rPr>
          <w:rFonts w:ascii="Calibri" w:cs="Calibri" w:eastAsia="Calibri" w:hAnsi="Calibri"/>
          <w:b w:val="false"/>
          <w:bCs w:val="false"/>
          <w:i w:val="false"/>
          <w:iCs w:val="false"/>
          <w:strike w:val="false"/>
          <w:color w:val="1A1A1A"/>
          <w:sz w:val="22"/>
          <w:szCs w:val="22"/>
        </w:rPr>
        <w:t xml:space="preserve"> A neighborhood-scale battery storage system (supplemented by individual home batteries) aggregates excess generation from high-producing homes and distributes it to homes with lower instantaneous output.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Virtual net metering:</w:t>
      </w:r>
      <w:r>
        <w:rPr>
          <w:rFonts w:ascii="Calibri" w:cs="Calibri" w:eastAsia="Calibri" w:hAnsi="Calibri"/>
          <w:b w:val="false"/>
          <w:bCs w:val="false"/>
          <w:i w:val="false"/>
          <w:iCs w:val="false"/>
          <w:strike w:val="false"/>
          <w:color w:val="1A1A1A"/>
          <w:sz w:val="22"/>
          <w:szCs w:val="22"/>
        </w:rPr>
        <w:t xml:space="preserve"> Each home's generation and consumption is tracked, with surplus credited and deficit debited within the community pool — enabling effective peer-to-peer energy sharing without the complexities of direct electrical interconnection.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Peer-to-peer energy trading:</w:t>
      </w:r>
      <w:r>
        <w:rPr>
          <w:rFonts w:ascii="Calibri" w:cs="Calibri" w:eastAsia="Calibri" w:hAnsi="Calibri"/>
          <w:b w:val="false"/>
          <w:bCs w:val="false"/>
          <w:i w:val="false"/>
          <w:iCs w:val="false"/>
          <w:strike w:val="false"/>
          <w:color w:val="1A1A1A"/>
          <w:sz w:val="22"/>
          <w:szCs w:val="22"/>
        </w:rPr>
        <w:t xml:space="preserve"> Emerging blockchain-based and smart-contract energy trading platforms enable homes to transact energy directly within the microgrid, creating economic incentives for optimal solar performance and efficient consumption.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Grid islanding capability:</w:t>
      </w:r>
      <w:r>
        <w:rPr>
          <w:rFonts w:ascii="Calibri" w:cs="Calibri" w:eastAsia="Calibri" w:hAnsi="Calibri"/>
          <w:b w:val="false"/>
          <w:bCs w:val="false"/>
          <w:i w:val="false"/>
          <w:iCs w:val="false"/>
          <w:strike w:val="false"/>
          <w:color w:val="1A1A1A"/>
          <w:sz w:val="22"/>
          <w:szCs w:val="22"/>
        </w:rPr>
        <w:t xml:space="preserve"> The microgrid is designed to island — to disconnect from the external utility grid and operate independently — during outages, natural disasters, or periods of extreme grid stress, providing energy security precisely when the external grid is most likely to fail.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DF6E3" w:color="auto" w:val="clear"/>
            <w:tcMar>
              <w:top w:type="dxa" w:w="180"/>
              <w:left w:type="dxa" w:w="210"/>
              <w:bottom w:type="dxa" w:w="180"/>
              <w:right w:type="dxa" w:w="210"/>
            </w:tcMar>
          </w:tcPr>
          <w:p>
            <w:pPr>
              <w:spacing w:after="120" w:line="408" w:lineRule="auto"/>
            </w:pPr>
            <w:r>
              <w:rPr>
                <w:b/>
                <w:bCs/>
                <w:i w:val="false"/>
                <w:iCs w:val="false"/>
                <w:color w:val="1A1A1A"/>
              </w:rPr>
              <w:t xml:space="preserve">◆ The Summer Bill Problem — Solved</w:t>
            </w:r>
          </w:p>
          <w:p>
            <w:pPr>
              <w:spacing w:after="140" w:line="360" w:lineRule="auto"/>
            </w:pPr>
            <w:r>
              <w:rPr>
                <w:rFonts w:ascii="Calibri" w:cs="Calibri" w:eastAsia="Calibri" w:hAnsi="Calibri"/>
                <w:b w:val="false"/>
                <w:bCs w:val="false"/>
                <w:i w:val="false"/>
                <w:iCs w:val="false"/>
                <w:strike w:val="false"/>
                <w:color w:val="1A1A1A"/>
                <w:sz w:val="22"/>
                <w:szCs w:val="22"/>
              </w:rPr>
              <w:t xml:space="preserve">For homeowners in sun-intensive regions like Bakersfield, CA, summer electricity bills represent one of the most significant recurring household expenses. The combination of full-surface BIPV collection, sun-tracking optimization, and shared microgrid storage is designed to reduce — and in favorable conditions, eliminate — net electricity purchases during peak summer months. The system's greatest generation capacity aligns precisely with its greatest demand period.</w:t>
            </w:r>
          </w:p>
        </w:tc>
      </w:tr>
    </w:tbl>
    <w:p>
      <w:pPr>
        <w:spacing w:after="240" w:before="0"/>
      </w:pPr>
    </w:p>
    <w:p>
      <w:pPr>
        <w:pBdr>
          <w:bottom w:val="single" w:color="1A1A1A" w:sz="6"/>
        </w:pBdr>
        <w:spacing w:after="240" w:before="240"/>
      </w:pPr>
    </w:p>
    <w:p>
      <w:pPr>
        <w:pStyle w:val="Heading2"/>
        <w:spacing w:after="120" w:before="360" w:line="312" w:lineRule="auto"/>
      </w:pPr>
      <w:r>
        <w:rPr>
          <w:rFonts w:ascii="Calibri" w:cs="Calibri" w:eastAsia="Calibri" w:hAnsi="Calibri"/>
          <w:color w:val="1A4D2E"/>
          <w:sz w:val="32"/>
          <w:szCs w:val="32"/>
        </w:rPr>
        <w:t xml:space="preserve">Section 5: The Resilience Plan — Community-Scale Sustainability</w:t>
      </w:r>
    </w:p>
    <w:p>
      <w:pPr>
        <w:pStyle w:val="Heading3"/>
        <w:spacing w:after="80" w:before="240" w:line="312" w:lineRule="auto"/>
      </w:pPr>
      <w:r>
        <w:rPr>
          <w:rFonts w:ascii="Calibri" w:cs="Calibri" w:eastAsia="Calibri" w:hAnsi="Calibri"/>
          <w:color w:val="2D6A4F"/>
          <w:sz w:val="26"/>
          <w:szCs w:val="26"/>
        </w:rPr>
        <w:t xml:space="preserve">5.1 Holistic Risk Reduction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Resilience, in systems design, means the capacity to absorb disturbance and reorganize while undergoing change so as to retain essentially the same function and structure. The IRHS framework applies this definition not just to individual homes, but to the community as a whole — treating overlapping risks as an interconnected system rather than a list of independent hazards.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Risk Category</w:t>
            </w:r>
          </w:p>
        </w:tc>
        <w:tc>
          <w:tcPr>
            <w:tcW w:type="pct" w:w="24%"/>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Framework Mitigation Layer</w:t>
            </w:r>
          </w:p>
        </w:tc>
        <w:tc>
          <w:tcPr>
            <w:tcW w:type="pct" w:w="56%"/>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Design Element</w:t>
            </w:r>
          </w:p>
        </w:tc>
      </w:tr>
      <w:tr>
        <w:trPr>
          <w:tblHeader w:val="false"/>
        </w:trPr>
        <w:tc>
          <w:tcPr>
            <w:tcW w:type="pct" w:w="20%"/>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Seismic Events</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Primary structural isolation</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Curved cradle base isolation; absorptive buffer zone; spherical isolation pods</w:t>
            </w:r>
          </w:p>
        </w:tc>
      </w:tr>
      <w:tr>
        <w:trPr>
          <w:tblHeader w:val="false"/>
        </w:trPr>
        <w:tc>
          <w:tcPr>
            <w:tcW w:type="pct" w:w="20%"/>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Severe Weather</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Integrated envelope protection</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Aerogel insulation; PCM thermal mass; storm-rated openings; structural redundancy</w:t>
            </w:r>
          </w:p>
        </w:tc>
      </w:tr>
      <w:tr>
        <w:trPr>
          <w:tblHeader w:val="false"/>
        </w:trPr>
        <w:tc>
          <w:tcPr>
            <w:tcW w:type="pct" w:w="20%"/>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Energy Price Volatility</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Supply independence</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Full-surface BIPV; sun-tracking rotation; neighborhood microgrid; battery storage</w:t>
            </w:r>
          </w:p>
        </w:tc>
      </w:tr>
      <w:tr>
        <w:trPr>
          <w:tblHeader w:val="false"/>
        </w:trPr>
        <w:tc>
          <w:tcPr>
            <w:tcW w:type="pct" w:w="20%"/>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Grid Failure</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Island-capable microgrid</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Community battery storage; grid-islanding design; distributed generation</w:t>
            </w:r>
          </w:p>
        </w:tc>
      </w:tr>
      <w:tr>
        <w:trPr>
          <w:tblHeader w:val="false"/>
        </w:trPr>
        <w:tc>
          <w:tcPr>
            <w:tcW w:type="pct" w:w="20%"/>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Climate-Driven Heat</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Passive thermal management</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Solar-reflective coatings; thermochromic surfaces; PCM heat buffering; green roof options</w:t>
            </w:r>
          </w:p>
        </w:tc>
      </w:tr>
      <w:tr>
        <w:trPr>
          <w:tblHeader w:val="false"/>
        </w:trPr>
        <w:tc>
          <w:tcPr>
            <w:tcW w:type="pct" w:w="20%"/>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Material Scarcity</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Circular materials sovereignty</w:t>
            </w:r>
          </w:p>
        </w:tc>
        <w:tc>
          <w:tcPr>
            <w:tcW w:type="pct" w:w="56%"/>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Modular replaceable parts; neighborhood parts pool; circular stream lifecycle management</w:t>
            </w:r>
          </w:p>
        </w:tc>
      </w:tr>
    </w:tbl>
    <w:p>
      <w:pPr>
        <w:spacing w:after="200" w:before="0"/>
      </w:pPr>
    </w:p>
    <w:p>
      <w:pPr>
        <w:pStyle w:val="Heading3"/>
        <w:spacing w:after="80" w:before="240" w:line="312" w:lineRule="auto"/>
      </w:pPr>
      <w:r>
        <w:rPr>
          <w:rFonts w:ascii="Calibri" w:cs="Calibri" w:eastAsia="Calibri" w:hAnsi="Calibri"/>
          <w:color w:val="2D6A4F"/>
          <w:sz w:val="26"/>
          <w:szCs w:val="26"/>
        </w:rPr>
        <w:t xml:space="preserve">5.2 Financial Resilience for Homeowners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resilience plan has a direct financial dimension. Each structural and systems design decision in the framework translates into measurable cost savings for the homeowner over the lifecycle of the home: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Eliminate earthquake insurance dependency:</w:t>
      </w:r>
      <w:r>
        <w:rPr>
          <w:rFonts w:ascii="Calibri" w:cs="Calibri" w:eastAsia="Calibri" w:hAnsi="Calibri"/>
          <w:b w:val="false"/>
          <w:bCs w:val="false"/>
          <w:i w:val="false"/>
          <w:iCs w:val="false"/>
          <w:strike w:val="false"/>
          <w:color w:val="1A1A1A"/>
          <w:sz w:val="22"/>
          <w:szCs w:val="22"/>
        </w:rPr>
        <w:t xml:space="preserve"> A home designed to withstand seismic events without significant structural damage removes the primary driver of earthquake insurance premiums — and eliminates the adversarial post-disaster claims process entirely.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Reduce or eliminate summer energy bills:</w:t>
      </w:r>
      <w:r>
        <w:rPr>
          <w:rFonts w:ascii="Calibri" w:cs="Calibri" w:eastAsia="Calibri" w:hAnsi="Calibri"/>
          <w:b w:val="false"/>
          <w:bCs w:val="false"/>
          <w:i w:val="false"/>
          <w:iCs w:val="false"/>
          <w:strike w:val="false"/>
          <w:color w:val="1A1A1A"/>
          <w:sz w:val="22"/>
          <w:szCs w:val="22"/>
        </w:rPr>
        <w:t xml:space="preserve"> Full-surface solar collection combined with sun-tracking optimization and microgrid participation targets net-zero or net-positive energy production during peak summer months — the costliest utility period for households in sun-belt regions.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Dramatically reduce long-term maintenance costs:</w:t>
      </w:r>
      <w:r>
        <w:rPr>
          <w:rFonts w:ascii="Calibri" w:cs="Calibri" w:eastAsia="Calibri" w:hAnsi="Calibri"/>
          <w:b w:val="false"/>
          <w:bCs w:val="false"/>
          <w:i w:val="false"/>
          <w:iCs w:val="false"/>
          <w:strike w:val="false"/>
          <w:color w:val="1A1A1A"/>
          <w:sz w:val="22"/>
          <w:szCs w:val="22"/>
        </w:rPr>
        <w:t xml:space="preserve"> Modular, standardized, individually replaceable components mean that wear and damage are addressed at the component level rather than the assembly level. A damaged panel costs a fraction of a damaged section; a damaged section costs a fraction of a new facade.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Reduce storm damage financial shock:</w:t>
      </w:r>
      <w:r>
        <w:rPr>
          <w:rFonts w:ascii="Calibri" w:cs="Calibri" w:eastAsia="Calibri" w:hAnsi="Calibri"/>
          <w:b w:val="false"/>
          <w:bCs w:val="false"/>
          <w:i w:val="false"/>
          <w:iCs w:val="false"/>
          <w:strike w:val="false"/>
          <w:color w:val="1A1A1A"/>
          <w:sz w:val="22"/>
          <w:szCs w:val="22"/>
        </w:rPr>
        <w:t xml:space="preserve"> Structural resilience against weather events — built into the architecture from day one — eliminates or substantially reduces the financial disruption of storm repair cycles.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Generational durability:</w:t>
      </w:r>
      <w:r>
        <w:rPr>
          <w:rFonts w:ascii="Calibri" w:cs="Calibri" w:eastAsia="Calibri" w:hAnsi="Calibri"/>
          <w:b w:val="false"/>
          <w:bCs w:val="false"/>
          <w:i w:val="false"/>
          <w:iCs w:val="false"/>
          <w:strike w:val="false"/>
          <w:color w:val="1A1A1A"/>
          <w:sz w:val="22"/>
          <w:szCs w:val="22"/>
        </w:rPr>
        <w:t xml:space="preserve"> A home built to last multiple generations is a home that does not need to be sold and repurchased as neighborhoods age. The financial value of the property is protected by its structural integrity rather than eroded by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DF7F0" w:color="auto" w:val="clear"/>
            <w:tcMar>
              <w:top w:type="dxa" w:w="180"/>
              <w:left w:type="dxa" w:w="210"/>
              <w:bottom w:type="dxa" w:w="180"/>
              <w:right w:type="dxa" w:w="210"/>
            </w:tcMar>
          </w:tcPr>
          <w:p>
            <w:pPr>
              <w:spacing w:after="120" w:line="408" w:lineRule="auto"/>
            </w:pPr>
            <w:r>
              <w:rPr>
                <w:b/>
                <w:bCs/>
                <w:i w:val="false"/>
                <w:iCs w:val="false"/>
                <w:color w:val="1A1A1A"/>
              </w:rPr>
              <w:t xml:space="preserve">◆ The True Cost of Conventional Housing</w:t>
            </w:r>
          </w:p>
          <w:p>
            <w:pPr>
              <w:spacing w:after="140" w:line="360" w:lineRule="auto"/>
            </w:pPr>
            <w:r>
              <w:rPr>
                <w:rFonts w:ascii="Calibri" w:cs="Calibri" w:eastAsia="Calibri" w:hAnsi="Calibri"/>
                <w:b w:val="false"/>
                <w:bCs w:val="false"/>
                <w:i w:val="false"/>
                <w:iCs w:val="false"/>
                <w:strike w:val="false"/>
                <w:color w:val="1A1A1A"/>
                <w:sz w:val="22"/>
                <w:szCs w:val="22"/>
              </w:rPr>
              <w:t xml:space="preserve">Conventional residential construction optimizes for upfront cost — the sale price — rather than total lifecycle cost. The result is homes that require ongoing, expensive intervention: insurance claims, siding replacements, energy bills, storm repairs, and eventual demolition and replacement. The IRHS framework shifts the optimization target to </w:t>
            </w:r>
            <w:r>
              <w:rPr>
                <w:rFonts w:ascii="Calibri" w:cs="Calibri" w:eastAsia="Calibri" w:hAnsi="Calibri"/>
                <w:b/>
                <w:bCs/>
                <w:i w:val="false"/>
                <w:iCs w:val="false"/>
                <w:strike w:val="false"/>
                <w:color w:val="1A1A1A"/>
                <w:sz w:val="22"/>
                <w:szCs w:val="22"/>
              </w:rPr>
              <w:t xml:space="preserve">total cost of ownership over 50 to 100 years</w:t>
            </w:r>
            <w:r>
              <w:rPr>
                <w:rFonts w:ascii="Calibri" w:cs="Calibri" w:eastAsia="Calibri" w:hAnsi="Calibri"/>
                <w:b w:val="false"/>
                <w:bCs w:val="false"/>
                <w:i w:val="false"/>
                <w:iCs w:val="false"/>
                <w:strike w:val="false"/>
                <w:color w:val="1A1A1A"/>
                <w:sz w:val="22"/>
                <w:szCs w:val="22"/>
              </w:rPr>
              <w:t xml:space="preserve">, at which point the economics of resilient, solar-adapted, modular construction are decisively favorable.</w:t>
            </w:r>
          </w:p>
        </w:tc>
      </w:tr>
    </w:tbl>
    <w:p>
      <w:pPr>
        <w:spacing w:after="240" w:before="0"/>
      </w:pPr>
    </w:p>
    <w:p>
      <w:pPr>
        <w:pStyle w:val="Heading3"/>
        <w:spacing w:after="80" w:before="240" w:line="312" w:lineRule="auto"/>
      </w:pPr>
      <w:r>
        <w:rPr>
          <w:rFonts w:ascii="Calibri" w:cs="Calibri" w:eastAsia="Calibri" w:hAnsi="Calibri"/>
          <w:color w:val="2D6A4F"/>
          <w:sz w:val="26"/>
          <w:szCs w:val="26"/>
        </w:rPr>
        <w:t xml:space="preserve">5.3 Built to Last — The Core Design Philosophy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Every decision in this framework returns to a single animating principle: </w:t>
      </w:r>
      <w:r>
        <w:rPr>
          <w:rFonts w:ascii="Calibri" w:cs="Calibri" w:eastAsia="Calibri" w:hAnsi="Calibri"/>
          <w:b/>
          <w:bCs/>
          <w:i w:val="false"/>
          <w:iCs w:val="false"/>
          <w:strike w:val="false"/>
          <w:color w:val="1A1A1A"/>
          <w:sz w:val="22"/>
          <w:szCs w:val="22"/>
        </w:rPr>
        <w:t xml:space="preserve">Built to Last.</w:t>
      </w:r>
      <w:r>
        <w:rPr>
          <w:rFonts w:ascii="Calibri" w:cs="Calibri" w:eastAsia="Calibri" w:hAnsi="Calibri"/>
          <w:b w:val="false"/>
          <w:bCs w:val="false"/>
          <w:i w:val="false"/>
          <w:iCs w:val="false"/>
          <w:strike w:val="false"/>
          <w:color w:val="1A1A1A"/>
          <w:sz w:val="22"/>
          <w:szCs w:val="22"/>
        </w:rPr>
        <w:t xml:space="preserve"> This phrase is not a marketing slogan — it is a design constraint. Each component, each system, each material selection is evaluated against the question: </w:t>
      </w:r>
      <w:r>
        <w:rPr>
          <w:rFonts w:ascii="Calibri" w:cs="Calibri" w:eastAsia="Calibri" w:hAnsi="Calibri"/>
          <w:b w:val="false"/>
          <w:bCs w:val="false"/>
          <w:i/>
          <w:iCs/>
          <w:strike w:val="false"/>
          <w:color w:val="1A1A1A"/>
          <w:sz w:val="22"/>
          <w:szCs w:val="22"/>
        </w:rPr>
        <w:t xml:space="preserve">Will this still be performing its function in 50 years? In 100 years?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antidote to disposable construction is not simply using more durable materials. It is designing systems that can be adapted, upgraded, and repurposed without demolition. This is the concept of </w:t>
      </w:r>
      <w:r>
        <w:rPr>
          <w:rFonts w:ascii="Calibri" w:cs="Calibri" w:eastAsia="Calibri" w:hAnsi="Calibri"/>
          <w:b/>
          <w:bCs/>
          <w:i w:val="false"/>
          <w:iCs w:val="false"/>
          <w:strike w:val="false"/>
          <w:color w:val="1A1A1A"/>
          <w:sz w:val="22"/>
          <w:szCs w:val="22"/>
        </w:rPr>
        <w:t xml:space="preserve">adaptive reuse</w:t>
      </w:r>
      <w:r>
        <w:rPr>
          <w:rFonts w:ascii="Calibri" w:cs="Calibri" w:eastAsia="Calibri" w:hAnsi="Calibri"/>
          <w:b w:val="false"/>
          <w:bCs w:val="false"/>
          <w:i w:val="false"/>
          <w:iCs w:val="false"/>
          <w:strike w:val="false"/>
          <w:color w:val="1A1A1A"/>
          <w:sz w:val="22"/>
          <w:szCs w:val="22"/>
        </w:rPr>
        <w:t xml:space="preserve"> — the practice of designing structures with future flexibility built in, so that when the needs of the occupants change, the building changes with them rather than being replaced.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Adapt:</w:t>
      </w:r>
      <w:r>
        <w:rPr>
          <w:rFonts w:ascii="Calibri" w:cs="Calibri" w:eastAsia="Calibri" w:hAnsi="Calibri"/>
          <w:b w:val="false"/>
          <w:bCs w:val="false"/>
          <w:i w:val="false"/>
          <w:iCs w:val="false"/>
          <w:strike w:val="false"/>
          <w:color w:val="1A1A1A"/>
          <w:sz w:val="22"/>
          <w:szCs w:val="22"/>
        </w:rPr>
        <w:t xml:space="preserve"> The modular component system allows the building's interior and exterior configuration to be modified over time — rooms reconfigured, cladding updated, technology systems upgraded — without structural intervention.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Upgrade:</w:t>
      </w:r>
      <w:r>
        <w:rPr>
          <w:rFonts w:ascii="Calibri" w:cs="Calibri" w:eastAsia="Calibri" w:hAnsi="Calibri"/>
          <w:b w:val="false"/>
          <w:bCs w:val="false"/>
          <w:i w:val="false"/>
          <w:iCs w:val="false"/>
          <w:strike w:val="false"/>
          <w:color w:val="1A1A1A"/>
          <w:sz w:val="22"/>
          <w:szCs w:val="22"/>
        </w:rPr>
        <w:t xml:space="preserve"> Solar technology will improve over the lifespan of the structure. Because BIPV is integrated as a replaceable building component — not a permanent structural element — it can be upgraded panel by panel as technology advances.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Repurpose:</w:t>
      </w:r>
      <w:r>
        <w:rPr>
          <w:rFonts w:ascii="Calibri" w:cs="Calibri" w:eastAsia="Calibri" w:hAnsi="Calibri"/>
          <w:b w:val="false"/>
          <w:bCs w:val="false"/>
          <w:i w:val="false"/>
          <w:iCs w:val="false"/>
          <w:strike w:val="false"/>
          <w:color w:val="1A1A1A"/>
          <w:sz w:val="22"/>
          <w:szCs w:val="22"/>
        </w:rPr>
        <w:t xml:space="preserve"> A home designed with structural flexibility and robust systems can transition across uses — from single-family residential to multi-generational housing, from residential to live-work, from owner-occupied to cooperative — without the environmental and financial cost of demolition and new construction.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D6A4F" w:sz="24"/>
              <w:bottom w:val="nil" w:color="FFFFFF" w:sz="0"/>
              <w:right w:val="nil" w:color="FFFFFF" w:sz="0"/>
            </w:tcBorders>
            <w:shd w:fill="F2F8F4" w:color="auto" w:val="clear"/>
            <w:tcMar>
              <w:top w:type="dxa" w:w="160"/>
              <w:left w:type="dxa" w:w="280"/>
              <w:bottom w:type="dxa" w:w="160"/>
              <w:right w:type="dxa" w:w="280"/>
            </w:tcMar>
          </w:tcPr>
          <w:p>
            <w:pPr>
              <w:spacing w:after="120" w:line="408" w:lineRule="auto"/>
            </w:pPr>
            <w:r>
              <w:rPr>
                <w:i/>
                <w:iCs/>
              </w:rPr>
              <w:t xml:space="preserve">"The most sustainable building is one that never needs to be torn down."</w:t>
            </w:r>
          </w:p>
          <w:p>
            <w:pPr>
              <w:spacing w:after="120" w:line="408" w:lineRule="auto"/>
            </w:pPr>
            <w:r>
              <w:t xml:space="preserve">— Adaptive Reuse Design Principle, widely cited in sustainable architecture discourse</w:t>
            </w:r>
          </w:p>
        </w:tc>
      </w:tr>
    </w:tbl>
    <w:p>
      <w:pPr>
        <w:spacing w:after="240" w:before="0"/>
      </w:pPr>
    </w:p>
    <w:p>
      <w:pPr>
        <w:pBdr>
          <w:bottom w:val="single" w:color="1A1A1A" w:sz="6"/>
        </w:pBdr>
        <w:spacing w:after="240" w:before="240"/>
      </w:pPr>
    </w:p>
    <w:p>
      <w:pPr>
        <w:pStyle w:val="Heading2"/>
        <w:spacing w:after="120" w:before="360" w:line="312" w:lineRule="auto"/>
      </w:pPr>
      <w:r>
        <w:rPr>
          <w:rFonts w:ascii="Calibri" w:cs="Calibri" w:eastAsia="Calibri" w:hAnsi="Calibri"/>
          <w:color w:val="1A4D2E"/>
          <w:sz w:val="32"/>
          <w:szCs w:val="32"/>
        </w:rPr>
        <w:t xml:space="preserve">Section 6: Putting It All Together — The Neighborhood Model</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three pillars of the framework — structural resilience, solar energy integration, and circular materials — reach their full potential only when they are implemented at neighborhood scale. The vision is not a single innovative home surrounded by conventional housing. It is a complete neighborhood, designed from the ground up as a </w:t>
      </w:r>
      <w:r>
        <w:rPr>
          <w:rFonts w:ascii="Calibri" w:cs="Calibri" w:eastAsia="Calibri" w:hAnsi="Calibri"/>
          <w:b/>
          <w:bCs/>
          <w:i w:val="false"/>
          <w:iCs w:val="false"/>
          <w:strike w:val="false"/>
          <w:color w:val="1A1A1A"/>
          <w:sz w:val="22"/>
          <w:szCs w:val="22"/>
        </w:rPr>
        <w:t xml:space="preserve">resilient, self-sustaining ecosystem</w:t>
      </w:r>
      <w:r>
        <w:rPr>
          <w:rFonts w:ascii="Calibri" w:cs="Calibri" w:eastAsia="Calibri" w:hAnsi="Calibri"/>
          <w:b w:val="false"/>
          <w:bCs w:val="false"/>
          <w:i w:val="false"/>
          <w:iCs w:val="false"/>
          <w:strike w:val="false"/>
          <w:color w:val="1A1A1A"/>
          <w:sz w:val="22"/>
          <w:szCs w:val="22"/>
        </w:rPr>
        <w:t xml:space="preserve">.</w:t>
      </w:r>
    </w:p>
    <w:p>
      <w:pPr>
        <w:pStyle w:val="Heading3"/>
        <w:spacing w:after="80" w:before="240" w:line="312" w:lineRule="auto"/>
      </w:pPr>
      <w:r>
        <w:rPr>
          <w:rFonts w:ascii="Calibri" w:cs="Calibri" w:eastAsia="Calibri" w:hAnsi="Calibri"/>
          <w:color w:val="2D6A4F"/>
          <w:sz w:val="26"/>
          <w:szCs w:val="26"/>
        </w:rPr>
        <w:t xml:space="preserve">6.1 Planning and Positioning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Solar-optimized home placement:</w:t>
      </w:r>
      <w:r>
        <w:rPr>
          <w:rFonts w:ascii="Calibri" w:cs="Calibri" w:eastAsia="Calibri" w:hAnsi="Calibri"/>
          <w:b w:val="false"/>
          <w:bCs w:val="false"/>
          <w:i w:val="false"/>
          <w:iCs w:val="false"/>
          <w:strike w:val="false"/>
          <w:color w:val="1A1A1A"/>
          <w:sz w:val="22"/>
          <w:szCs w:val="22"/>
        </w:rPr>
        <w:t xml:space="preserve"> Each home's position and orientation within the neighborhood grid is determined by the solar irradiance model — maximizing sun exposure for every unit while minimizing mutual shading.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Seismic-aware siting:</w:t>
      </w:r>
      <w:r>
        <w:rPr>
          <w:rFonts w:ascii="Calibri" w:cs="Calibri" w:eastAsia="Calibri" w:hAnsi="Calibri"/>
          <w:b w:val="false"/>
          <w:bCs w:val="false"/>
          <w:i w:val="false"/>
          <w:iCs w:val="false"/>
          <w:strike w:val="false"/>
          <w:color w:val="1A1A1A"/>
          <w:sz w:val="22"/>
          <w:szCs w:val="22"/>
        </w:rPr>
        <w:t xml:space="preserve"> Soil composition and geotechnical analysis inform the design of each home's base isolation cradle — accounting for site-specific amplification factors that affect how seismic energy propagates through different ground conditions.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Shared infrastructure corridors:</w:t>
      </w:r>
      <w:r>
        <w:rPr>
          <w:rFonts w:ascii="Calibri" w:cs="Calibri" w:eastAsia="Calibri" w:hAnsi="Calibri"/>
          <w:b w:val="false"/>
          <w:bCs w:val="false"/>
          <w:i w:val="false"/>
          <w:iCs w:val="false"/>
          <w:strike w:val="false"/>
          <w:color w:val="1A1A1A"/>
          <w:sz w:val="22"/>
          <w:szCs w:val="22"/>
        </w:rPr>
        <w:t xml:space="preserve"> Utility, energy, and materials logistics infrastructure is designed into the neighborhood layout rather than retrofitted — shared microgrid conduit, materials stream collection points, and parts storage facilities are integrated into the site plan.</w:t>
      </w:r>
    </w:p>
    <w:p>
      <w:pPr>
        <w:pStyle w:val="Heading3"/>
        <w:spacing w:after="80" w:before="240" w:line="312" w:lineRule="auto"/>
      </w:pPr>
      <w:r>
        <w:rPr>
          <w:rFonts w:ascii="Calibri" w:cs="Calibri" w:eastAsia="Calibri" w:hAnsi="Calibri"/>
          <w:color w:val="2D6A4F"/>
          <w:sz w:val="26"/>
          <w:szCs w:val="26"/>
        </w:rPr>
        <w:t xml:space="preserve">6.2 Walking Through the Neighborhood</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Imagine arriving at an IRHS neighborhood on a clear July morning in Bakersfield. The homes face slightly east of south, their integrated solar cladding gleaming in the early light. As you walk, you notice that the buildings are not oriented identically — each sits at a slightly different angle, precisely tuned to its position in the grid. By noon, the slow-rotation mechanisms will have adjusted each home's primary solar face by roughly 45 degrees, tracking the sun's arc without any visible drama — just a near-imperceptible, silent pivot.</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streets are quiet. There are no utility poles — power runs underground to the shared microgrid hub at the neighborhood's edge. The construction materials are familiar but feel different: the cladding panels are flush, uniform, and clearly modular — you can see the joint lines that separate each individually replaceable section. At the neighborhood materials depot, a small building stores a rotating inventory of standardized replacement components, available to any resident.</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There is no rumble from an air conditioning compressor — the aerogel-insulated walls and thermochromic coatings keep interior temperatures stable, and what cooling load remains is met by the solar system whose peak generation aligns precisely with peak cooling demand.</w:t>
      </w:r>
    </w:p>
    <w:p>
      <w:pPr>
        <w:pStyle w:val="Heading3"/>
        <w:spacing w:after="80" w:before="240" w:line="312" w:lineRule="auto"/>
      </w:pPr>
      <w:r>
        <w:rPr>
          <w:rFonts w:ascii="Calibri" w:cs="Calibri" w:eastAsia="Calibri" w:hAnsi="Calibri"/>
          <w:color w:val="2D6A4F"/>
          <w:sz w:val="26"/>
          <w:szCs w:val="26"/>
        </w:rPr>
        <w:t xml:space="preserve">6.3 Real-World Precedents</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While the IRHS framework extends beyond existing precedents in important ways, it builds on a growing body of real-world demonstrations: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Precedent Type</w:t>
            </w:r>
          </w:p>
        </w:tc>
        <w:tc>
          <w:tcPr>
            <w:tcW w:type="pct" w:w="43%"/>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Example Concepts / Projects</w:t>
            </w:r>
          </w:p>
        </w:tc>
        <w:tc>
          <w:tcPr>
            <w:tcW w:type="pct" w:w="41%"/>
            <w:shd w:fill="D8EAD3"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0"/>
                <w:szCs w:val="20"/>
              </w:rPr>
              <w:t xml:space="preserve">IRHS Connection</w:t>
            </w:r>
          </w:p>
        </w:tc>
      </w:tr>
      <w:tr>
        <w:trPr>
          <w:tblHeader w:val="false"/>
        </w:trPr>
        <w:tc>
          <w:tcPr>
            <w:tcW w:type="pct" w:w="16%"/>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Net-Zero Energy Communities</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Zero-energy ready neighborhoods in which aggregate solar generation matches aggregate annual consumption across the community</w:t>
            </w:r>
          </w:p>
        </w:tc>
        <w:tc>
          <w:tcPr>
            <w:tcW w:type="pct" w:w="4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IRHS microgrid and full-surface BIPV targets net-positive (generation exceeding consumption) rather than merely net-zero</w:t>
            </w:r>
          </w:p>
        </w:tc>
      </w:tr>
      <w:tr>
        <w:trPr>
          <w:tblHeader w:val="false"/>
        </w:trPr>
        <w:tc>
          <w:tcPr>
            <w:tcW w:type="pct" w:w="16%"/>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Eco-Villages</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Intentional communities designed around ecological principles, shared resources, and reduced environmental footprint</w:t>
            </w:r>
          </w:p>
        </w:tc>
        <w:tc>
          <w:tcPr>
            <w:tcW w:type="pct" w:w="4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IRHS adopts the shared-resource and community-systems philosophy and formalizes it into engineered infrastructure</w:t>
            </w:r>
          </w:p>
        </w:tc>
      </w:tr>
      <w:tr>
        <w:trPr>
          <w:tblHeader w:val="false"/>
        </w:trPr>
        <w:tc>
          <w:tcPr>
            <w:tcW w:type="pct" w:w="16%"/>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Modular Construction Developments</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Factory-built modular housing components assembled on-site, reducing construction waste and enabling precision manufacturing</w:t>
            </w:r>
          </w:p>
        </w:tc>
        <w:tc>
          <w:tcPr>
            <w:tcW w:type="pct" w:w="4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IRHS extends modularity beyond the construction phase into the full operational and end-of-life lifecycle</w:t>
            </w:r>
          </w:p>
        </w:tc>
      </w:tr>
      <w:tr>
        <w:trPr>
          <w:tblHeader w:val="false"/>
        </w:trPr>
        <w:tc>
          <w:tcPr>
            <w:tcW w:type="pct" w:w="16%"/>
            <w:tcMar>
              <w:top w:type="dxa" w:w="105"/>
              <w:left w:type="dxa" w:w="135"/>
              <w:bottom w:type="dxa" w:w="105"/>
              <w:right w:type="dxa" w:w="135"/>
            </w:tcMar>
          </w:tcPr>
          <w:p>
            <w:r>
              <w:rPr>
                <w:rFonts w:ascii="Calibri" w:cs="Calibri" w:eastAsia="Calibri" w:hAnsi="Calibri"/>
                <w:b/>
                <w:bCs/>
                <w:i w:val="false"/>
                <w:iCs w:val="false"/>
                <w:strike w:val="false"/>
                <w:color w:val="1A1A1A"/>
                <w:sz w:val="22"/>
                <w:szCs w:val="22"/>
              </w:rPr>
              <w:t xml:space="preserve">Seismically Isolated Public Buildings</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City halls, hospitals, and government buildings in Japan, New Zealand, and California built on base isolation systems to remain operational after major earthquakes</w:t>
            </w:r>
          </w:p>
        </w:tc>
        <w:tc>
          <w:tcPr>
            <w:tcW w:type="pct" w:w="41%"/>
            <w:tcMar>
              <w:top w:type="dxa" w:w="105"/>
              <w:left w:type="dxa" w:w="135"/>
              <w:bottom w:type="dxa" w:w="105"/>
              <w:right w:type="dxa" w:w="135"/>
            </w:tcMar>
          </w:tcPr>
          <w:p>
            <w:r>
              <w:rPr>
                <w:rFonts w:ascii="Calibri" w:cs="Calibri" w:eastAsia="Calibri" w:hAnsi="Calibri"/>
                <w:b w:val="false"/>
                <w:bCs w:val="false"/>
                <w:i w:val="false"/>
                <w:iCs w:val="false"/>
                <w:strike w:val="false"/>
                <w:color w:val="1A1A1A"/>
                <w:sz w:val="20"/>
                <w:szCs w:val="20"/>
              </w:rPr>
              <w:t xml:space="preserve">IRHS brings this proven technology — currently deployed almost exclusively in commercial and institutional construction — into the residential sector</w:t>
            </w:r>
          </w:p>
        </w:tc>
      </w:tr>
    </w:tbl>
    <w:p>
      <w:pPr>
        <w:spacing w:after="200" w:before="0"/>
      </w:pPr>
    </w:p>
    <w:p>
      <w:pPr>
        <w:pBdr>
          <w:bottom w:val="single" w:color="1A1A1A" w:sz="6"/>
        </w:pBdr>
        <w:spacing w:after="240" w:before="240"/>
      </w:pPr>
    </w:p>
    <w:p>
      <w:pPr>
        <w:pStyle w:val="Heading2"/>
        <w:spacing w:after="120" w:before="360" w:line="312" w:lineRule="auto"/>
      </w:pPr>
      <w:r>
        <w:rPr>
          <w:rFonts w:ascii="Calibri" w:cs="Calibri" w:eastAsia="Calibri" w:hAnsi="Calibri"/>
          <w:color w:val="1A4D2E"/>
          <w:sz w:val="32"/>
          <w:szCs w:val="32"/>
        </w:rPr>
        <w:t xml:space="preserve">Section 7: Conclusion</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 Integrated Resilient Housing System is, at its heart, a response to a question that any thoughtful Environmental Science student is eventually forced to ask: </w:t>
      </w:r>
      <w:r>
        <w:rPr>
          <w:rFonts w:ascii="Calibri" w:cs="Calibri" w:eastAsia="Calibri" w:hAnsi="Calibri"/>
          <w:b w:val="false"/>
          <w:bCs w:val="false"/>
          <w:i/>
          <w:iCs/>
          <w:strike w:val="false"/>
          <w:color w:val="1A1A1A"/>
          <w:sz w:val="22"/>
          <w:szCs w:val="22"/>
        </w:rPr>
        <w:t xml:space="preserve">If we know that conventional construction is environmentally costly, structurally fragile, financially burdensome, and increasingly inadequate in the face of climate change — why do we keep building that way?</w:t>
      </w: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This framework does not pretend to have all the engineering answers. It is a concept — a vision articulated at the intersection of environmental science, systems thinking, and practical frustration with the status quo. But it is a concept grounded in real science, real engineering precedents, and a genuine commitment to the principle that housing should serve its occupants and communities rather than burdening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4F" w:sz="6"/>
              <w:left w:val="single" w:color="2D6A4F" w:sz="6"/>
              <w:bottom w:val="single" w:color="2D6A4F" w:sz="6"/>
              <w:right w:val="single" w:color="2D6A4F" w:sz="6"/>
            </w:tcBorders>
            <w:shd w:fill="F2F8F4" w:color="auto" w:val="clear"/>
            <w:tcMar>
              <w:top w:type="dxa" w:w="210"/>
              <w:left w:type="dxa" w:w="270"/>
              <w:bottom w:type="dxa" w:w="210"/>
              <w:right w:type="dxa" w:w="270"/>
            </w:tcMar>
          </w:tcPr>
          <w:p>
            <w:pPr>
              <w:spacing w:after="100" w:line="360" w:lineRule="auto"/>
            </w:pPr>
            <w:r>
              <w:rPr>
                <w:rFonts w:ascii="Calibri" w:cs="Calibri" w:eastAsia="Calibri" w:hAnsi="Calibri"/>
                <w:b/>
                <w:bCs/>
                <w:i w:val="false"/>
                <w:iCs w:val="false"/>
                <w:strike w:val="false"/>
                <w:color w:val="1A1A1A"/>
                <w:sz w:val="22"/>
                <w:szCs w:val="22"/>
              </w:rPr>
              <w:t xml:space="preserve">Pillar I — Seismic Isolation &amp; Shock-Resistant Structure:</w:t>
            </w:r>
            <w:r>
              <w:rPr>
                <w:rFonts w:ascii="Calibri" w:cs="Calibri" w:eastAsia="Calibri" w:hAnsi="Calibri"/>
                <w:b w:val="false"/>
                <w:bCs w:val="false"/>
                <w:i w:val="false"/>
                <w:iCs w:val="false"/>
                <w:strike w:val="false"/>
                <w:color w:val="1A1A1A"/>
                <w:sz w:val="22"/>
                <w:szCs w:val="22"/>
              </w:rPr>
              <w:t xml:space="preserve"> A curved cradle base isolation system with absorptive buffer zones and structural redundancy that allows the home to absorb and dissipate disaster-level forces — seismic, wind, and impact — without structural failure. Built so homeowners never need to fight an insurance company after a disaster, because the home simply does not fall down.</w:t>
            </w:r>
          </w:p>
          <w:p>
            <w:pPr>
              <w:spacing w:after="100" w:line="360" w:lineRule="auto"/>
            </w:pPr>
            <w:r>
              <w:rPr>
                <w:rFonts w:ascii="Calibri" w:cs="Calibri" w:eastAsia="Calibri" w:hAnsi="Calibri"/>
                <w:b/>
                <w:bCs/>
                <w:i w:val="false"/>
                <w:iCs w:val="false"/>
                <w:strike w:val="false"/>
                <w:color w:val="1A1A1A"/>
                <w:sz w:val="22"/>
                <w:szCs w:val="22"/>
              </w:rPr>
              <w:t xml:space="preserve">Pillar II — Solar-Adaptive Integrated Energy System:</w:t>
            </w:r>
            <w:r>
              <w:rPr>
                <w:rFonts w:ascii="Calibri" w:cs="Calibri" w:eastAsia="Calibri" w:hAnsi="Calibri"/>
                <w:b w:val="false"/>
                <w:bCs w:val="false"/>
                <w:i w:val="false"/>
                <w:iCs w:val="false"/>
                <w:strike w:val="false"/>
                <w:color w:val="1A1A1A"/>
                <w:sz w:val="22"/>
                <w:szCs w:val="22"/>
              </w:rPr>
              <w:t xml:space="preserve"> Every surface of the building envelope participates in solar energy collection through BIPV integration, while a slow-rotation sun-tracking mechanism ensures near-peak collection through the full solar day. Neighborhood-scale microgrid infrastructure aggregates generation and enables peer-to-peer energy sharing — eliminating or dramatically reducing utility costs, particularly during peak summer months.</w:t>
            </w:r>
          </w:p>
          <w:p>
            <w:pPr>
              <w:spacing w:after="100" w:line="360" w:lineRule="auto"/>
            </w:pPr>
            <w:r>
              <w:rPr>
                <w:rFonts w:ascii="Calibri" w:cs="Calibri" w:eastAsia="Calibri" w:hAnsi="Calibri"/>
                <w:b/>
                <w:bCs/>
                <w:i w:val="false"/>
                <w:iCs w:val="false"/>
                <w:strike w:val="false"/>
                <w:color w:val="1A1A1A"/>
                <w:sz w:val="22"/>
                <w:szCs w:val="22"/>
              </w:rPr>
              <w:t xml:space="preserve">Pillar III — Community Resilience &amp; Circular Materials Plan:</w:t>
            </w:r>
            <w:r>
              <w:rPr>
                <w:rFonts w:ascii="Calibri" w:cs="Calibri" w:eastAsia="Calibri" w:hAnsi="Calibri"/>
                <w:b w:val="false"/>
                <w:bCs w:val="false"/>
                <w:i w:val="false"/>
                <w:iCs w:val="false"/>
                <w:strike w:val="false"/>
                <w:color w:val="1A1A1A"/>
                <w:sz w:val="22"/>
                <w:szCs w:val="22"/>
              </w:rPr>
              <w:t xml:space="preserve"> Every component of the home is individually replaceable at low cost, with a standardized parts ecosystem shared across the neighborhood. A circular material stream gives every component a defined lifecycle from manufacture through end-of-life recovery. Nothing is single-use. Nothing is wasted.</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1A1A1A"/>
          <w:sz w:val="22"/>
          <w:szCs w:val="22"/>
        </w:rPr>
        <w:t xml:space="preserve">These concepts originated in environmental science coursework at UAGC — in lectures about humanity's unsustainable relationship with the natural world, in soil erosion experiments that asked what happens to the earth under stress, in backyard observations that connected academic theory to physical reality. The soil erosion model is, in the end, an apt metaphor: forces that are not absorbed will erode. Houses that are not designed to last will not last. Communities that are not designed to be resilient will not be resilient.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DF7F0" w:color="auto" w:val="clear"/>
            <w:tcMar>
              <w:top w:type="dxa" w:w="180"/>
              <w:left w:type="dxa" w:w="210"/>
              <w:bottom w:type="dxa" w:w="180"/>
              <w:right w:type="dxa" w:w="210"/>
            </w:tcMar>
          </w:tcPr>
          <w:p>
            <w:pPr>
              <w:spacing w:after="120" w:line="408" w:lineRule="auto"/>
            </w:pPr>
            <w:r>
              <w:rPr>
                <w:b/>
                <w:bCs/>
                <w:i w:val="false"/>
                <w:iCs w:val="false"/>
                <w:color w:val="1A1A1A"/>
              </w:rPr>
              <w:t xml:space="preserve">◆ Call to Action</w:t>
            </w:r>
          </w:p>
          <w:p>
            <w:pPr>
              <w:spacing w:after="140" w:line="360" w:lineRule="auto"/>
            </w:pPr>
            <w:r>
              <w:rPr>
                <w:rFonts w:ascii="Calibri" w:cs="Calibri" w:eastAsia="Calibri" w:hAnsi="Calibri"/>
                <w:b w:val="false"/>
                <w:bCs w:val="false"/>
                <w:i w:val="false"/>
                <w:iCs w:val="false"/>
                <w:strike w:val="false"/>
                <w:color w:val="1A1A1A"/>
                <w:sz w:val="22"/>
                <w:szCs w:val="22"/>
              </w:rPr>
              <w:t xml:space="preserve">The concepts in this framework deserve further development, rigorous engineering study, financial modeling, and community investment. The technologies required — base isolation, BIPV, solar tracking, circular materials management, community microgrids — all exist today. What remains is the decision to combine them into a coherent residential design system, and the will to build neighborhoods that are genuinely </w:t>
            </w:r>
            <w:r>
              <w:rPr>
                <w:rFonts w:ascii="Calibri" w:cs="Calibri" w:eastAsia="Calibri" w:hAnsi="Calibri"/>
                <w:b/>
                <w:bCs/>
                <w:i w:val="false"/>
                <w:iCs w:val="false"/>
                <w:strike w:val="false"/>
                <w:color w:val="1A1A1A"/>
                <w:sz w:val="22"/>
                <w:szCs w:val="22"/>
              </w:rPr>
              <w:t xml:space="preserve">built to last</w:t>
            </w:r>
            <w:r>
              <w:rPr>
                <w:rFonts w:ascii="Calibri" w:cs="Calibri" w:eastAsia="Calibri" w:hAnsi="Calibri"/>
                <w:b w:val="false"/>
                <w:bCs w:val="false"/>
                <w:i w:val="false"/>
                <w:iCs w:val="false"/>
                <w:strike w:val="false"/>
                <w:color w:val="1A1A1A"/>
                <w:sz w:val="22"/>
                <w:szCs w:val="22"/>
              </w:rPr>
              <w:t xml:space="preserve">. Nathan's invitation is open to engineers, architects, developers, urban planners, and community leaders: take this vision further.</w:t>
            </w:r>
          </w:p>
        </w:tc>
      </w:tr>
    </w:tbl>
    <w:p>
      <w:pPr>
        <w:spacing w:after="240" w:before="0"/>
      </w:pPr>
    </w:p>
    <w:p>
      <w:pPr>
        <w:pBdr>
          <w:bottom w:val="single" w:color="1A1A1A" w:sz="6"/>
        </w:pBdr>
        <w:spacing w:after="240" w:before="240"/>
      </w:pPr>
    </w:p>
    <w:p>
      <w:pPr>
        <w:pStyle w:val="Heading2"/>
        <w:spacing w:after="120" w:before="360" w:line="312" w:lineRule="auto"/>
      </w:pPr>
      <w:r>
        <w:rPr>
          <w:rFonts w:ascii="Calibri" w:cs="Calibri" w:eastAsia="Calibri" w:hAnsi="Calibri"/>
          <w:color w:val="1A4D2E"/>
          <w:sz w:val="32"/>
          <w:szCs w:val="32"/>
        </w:rPr>
        <w:t xml:space="preserve">Appendix: Key Terms &amp; Definitions</w:t>
      </w:r>
    </w:p>
    <w:p>
      <w:pPr>
        <w:spacing w:after="240" w:before="60" w:line="360" w:lineRule="auto"/>
      </w:pPr>
      <w:r>
        <w:rPr>
          <w:rFonts w:ascii="Calibri" w:cs="Calibri" w:eastAsia="Calibri" w:hAnsi="Calibri"/>
          <w:b w:val="false"/>
          <w:bCs w:val="false"/>
          <w:i/>
          <w:iCs/>
          <w:strike w:val="false"/>
          <w:color w:val="1A1A1A"/>
          <w:sz w:val="22"/>
          <w:szCs w:val="22"/>
        </w:rPr>
        <w:t xml:space="preserve">Definitions provided for a general audience. Technical terms are explained using accessible language without sacrificing accuracy.</w:t>
      </w:r>
    </w:p>
    <w:p>
      <w:pPr>
        <w:spacing w:after="240" w:line="360" w:lineRule="auto"/>
      </w:pPr>
      <w:r>
        <w:rPr>
          <w:rFonts w:ascii="Calibri" w:cs="Calibri" w:eastAsia="Calibri" w:hAnsi="Calibri"/>
          <w:b/>
          <w:bCs/>
          <w:i w:val="false"/>
          <w:iCs w:val="false"/>
          <w:strike w:val="false"/>
          <w:color w:val="1A4D2E"/>
          <w:sz w:val="22"/>
          <w:szCs w:val="22"/>
        </w:rPr>
        <w:t xml:space="preserve">Base Isolation / Seismic Isolation</w:t>
      </w:r>
    </w:p>
    <w:p>
      <w:pPr>
        <w:spacing w:after="240" w:line="360" w:lineRule="auto"/>
      </w:pPr>
      <w:r>
        <w:rPr>
          <w:rFonts w:ascii="Calibri" w:cs="Calibri" w:eastAsia="Calibri" w:hAnsi="Calibri"/>
          <w:b w:val="false"/>
          <w:bCs w:val="false"/>
          <w:i w:val="false"/>
          <w:iCs w:val="false"/>
          <w:strike w:val="false"/>
          <w:color w:val="1A1A1A"/>
          <w:sz w:val="21"/>
          <w:szCs w:val="21"/>
        </w:rPr>
        <w:t xml:space="preserve">A structural engineering technique in which a building is mechanically decoupled from the ground using flexible bearings, sliding surfaces, or other isolating devices placed between the foundation and the superstructure. During an earthquake, the ground moves while the building above remains comparatively still, dramatically reducing the forces transmitted to the structure and its occupants.</w:t>
      </w:r>
    </w:p>
    <w:p>
      <w:pPr>
        <w:spacing w:after="240" w:line="360" w:lineRule="auto"/>
      </w:pPr>
      <w:r>
        <w:rPr>
          <w:rFonts w:ascii="Calibri" w:cs="Calibri" w:eastAsia="Calibri" w:hAnsi="Calibri"/>
          <w:b/>
          <w:bCs/>
          <w:i w:val="false"/>
          <w:iCs w:val="false"/>
          <w:strike w:val="false"/>
          <w:color w:val="1A4D2E"/>
          <w:sz w:val="22"/>
          <w:szCs w:val="22"/>
        </w:rPr>
        <w:t xml:space="preserve">BIPV — Building-Integrated Photovoltaics</w:t>
      </w:r>
    </w:p>
    <w:p>
      <w:pPr>
        <w:spacing w:after="240" w:line="360" w:lineRule="auto"/>
      </w:pPr>
      <w:r>
        <w:rPr>
          <w:rFonts w:ascii="Calibri" w:cs="Calibri" w:eastAsia="Calibri" w:hAnsi="Calibri"/>
          <w:b w:val="false"/>
          <w:bCs w:val="false"/>
          <w:i w:val="false"/>
          <w:iCs w:val="false"/>
          <w:strike w:val="false"/>
          <w:color w:val="1A1A1A"/>
          <w:sz w:val="21"/>
          <w:szCs w:val="21"/>
        </w:rPr>
        <w:t xml:space="preserve">Solar energy collection technology in which photovoltaic (electricity-generating) materials are incorporated directly into standard building envelope components — roofing, wall cladding, windows, and facades — replacing conventional materials rather than being mounted on top of them. BIPV allows the entire building surface to function as a solar energy collector.</w:t>
      </w:r>
    </w:p>
    <w:p>
      <w:pPr>
        <w:spacing w:after="240" w:line="360" w:lineRule="auto"/>
      </w:pPr>
      <w:r>
        <w:rPr>
          <w:rFonts w:ascii="Calibri" w:cs="Calibri" w:eastAsia="Calibri" w:hAnsi="Calibri"/>
          <w:b/>
          <w:bCs/>
          <w:i w:val="false"/>
          <w:iCs w:val="false"/>
          <w:strike w:val="false"/>
          <w:color w:val="1A4D2E"/>
          <w:sz w:val="22"/>
          <w:szCs w:val="22"/>
        </w:rPr>
        <w:t xml:space="preserve">Circular Economy / Cradle-to-Cradle</w:t>
      </w:r>
    </w:p>
    <w:p>
      <w:pPr>
        <w:spacing w:after="240" w:line="360" w:lineRule="auto"/>
      </w:pPr>
      <w:r>
        <w:rPr>
          <w:rFonts w:ascii="Calibri" w:cs="Calibri" w:eastAsia="Calibri" w:hAnsi="Calibri"/>
          <w:b w:val="false"/>
          <w:bCs w:val="false"/>
          <w:i w:val="false"/>
          <w:iCs w:val="false"/>
          <w:strike w:val="false"/>
          <w:color w:val="1A1A1A"/>
          <w:sz w:val="21"/>
          <w:szCs w:val="21"/>
        </w:rPr>
        <w:t xml:space="preserve">An economic and design model in which products and materials are kept in use for as long as possible, with end-of-life materials recovered and re-entered into production rather than discarded as waste. "Cradle-to-cradle" (as opposed to the conventional "cradle-to-grave" model) means that every material's lifecycle ends with its rebirth as feedstock for the next cycle.</w:t>
      </w:r>
    </w:p>
    <w:p>
      <w:pPr>
        <w:spacing w:after="240" w:line="360" w:lineRule="auto"/>
      </w:pPr>
      <w:r>
        <w:rPr>
          <w:rFonts w:ascii="Calibri" w:cs="Calibri" w:eastAsia="Calibri" w:hAnsi="Calibri"/>
          <w:b/>
          <w:bCs/>
          <w:i w:val="false"/>
          <w:iCs w:val="false"/>
          <w:strike w:val="false"/>
          <w:color w:val="1A4D2E"/>
          <w:sz w:val="22"/>
          <w:szCs w:val="22"/>
        </w:rPr>
        <w:t xml:space="preserve">Waste Stream / Material Stream Cycle</w:t>
      </w:r>
    </w:p>
    <w:p>
      <w:pPr>
        <w:spacing w:after="240" w:line="360" w:lineRule="auto"/>
      </w:pPr>
      <w:r>
        <w:rPr>
          <w:rFonts w:ascii="Calibri" w:cs="Calibri" w:eastAsia="Calibri" w:hAnsi="Calibri"/>
          <w:b w:val="false"/>
          <w:bCs w:val="false"/>
          <w:i w:val="false"/>
          <w:iCs w:val="false"/>
          <w:strike w:val="false"/>
          <w:color w:val="1A1A1A"/>
          <w:sz w:val="21"/>
          <w:szCs w:val="21"/>
        </w:rPr>
        <w:t xml:space="preserve">The defined pathway that a material or product follows from its origin through use, maintenance, repair, and eventual end-of-life processing. In the IRHS framework, each building component has a documented stream cycle that specifies its next destination at every stage — ensuring nothing defaults to landfill disposal.</w:t>
      </w:r>
    </w:p>
    <w:p>
      <w:pPr>
        <w:spacing w:after="240" w:line="360" w:lineRule="auto"/>
      </w:pPr>
      <w:r>
        <w:rPr>
          <w:rFonts w:ascii="Calibri" w:cs="Calibri" w:eastAsia="Calibri" w:hAnsi="Calibri"/>
          <w:b/>
          <w:bCs/>
          <w:i w:val="false"/>
          <w:iCs w:val="false"/>
          <w:strike w:val="false"/>
          <w:color w:val="1A4D2E"/>
          <w:sz w:val="22"/>
          <w:szCs w:val="22"/>
        </w:rPr>
        <w:t xml:space="preserve">Microgrid</w:t>
      </w:r>
    </w:p>
    <w:p>
      <w:pPr>
        <w:spacing w:after="240" w:line="360" w:lineRule="auto"/>
      </w:pPr>
      <w:r>
        <w:rPr>
          <w:rFonts w:ascii="Calibri" w:cs="Calibri" w:eastAsia="Calibri" w:hAnsi="Calibri"/>
          <w:b w:val="false"/>
          <w:bCs w:val="false"/>
          <w:i w:val="false"/>
          <w:iCs w:val="false"/>
          <w:strike w:val="false"/>
          <w:color w:val="1A1A1A"/>
          <w:sz w:val="21"/>
          <w:szCs w:val="21"/>
        </w:rPr>
        <w:t xml:space="preserve">A localized electrical grid that can operate independently (in "island" mode) or in connection with the larger utility grid. A community microgrid typically includes distributed energy generation (such as solar panels), battery storage, and smart management systems that balance generation and consumption across multiple connected buildings.</w:t>
      </w:r>
    </w:p>
    <w:p>
      <w:pPr>
        <w:spacing w:after="240" w:line="360" w:lineRule="auto"/>
      </w:pPr>
      <w:r>
        <w:rPr>
          <w:rFonts w:ascii="Calibri" w:cs="Calibri" w:eastAsia="Calibri" w:hAnsi="Calibri"/>
          <w:b/>
          <w:bCs/>
          <w:i w:val="false"/>
          <w:iCs w:val="false"/>
          <w:strike w:val="false"/>
          <w:color w:val="1A4D2E"/>
          <w:sz w:val="22"/>
          <w:szCs w:val="22"/>
        </w:rPr>
        <w:t xml:space="preserve">Solar Irradiance</w:t>
      </w:r>
    </w:p>
    <w:p>
      <w:pPr>
        <w:spacing w:after="240" w:line="360" w:lineRule="auto"/>
      </w:pPr>
      <w:r>
        <w:rPr>
          <w:rFonts w:ascii="Calibri" w:cs="Calibri" w:eastAsia="Calibri" w:hAnsi="Calibri"/>
          <w:b w:val="false"/>
          <w:bCs w:val="false"/>
          <w:i w:val="false"/>
          <w:iCs w:val="false"/>
          <w:strike w:val="false"/>
          <w:color w:val="1A1A1A"/>
          <w:sz w:val="21"/>
          <w:szCs w:val="21"/>
        </w:rPr>
        <w:t xml:space="preserve">The power of solar radiation received per unit area at a given location, typically measured in watts per square meter (W/m²) or kilowatt-hours per square meter per day (kWh/m²/day). Solar irradiance varies by latitude, season, time of day, and atmospheric conditions, and is the primary input for calculating how much energy a solar installation will produce.</w:t>
      </w:r>
    </w:p>
    <w:p>
      <w:pPr>
        <w:spacing w:after="240" w:line="360" w:lineRule="auto"/>
      </w:pPr>
      <w:r>
        <w:rPr>
          <w:rFonts w:ascii="Calibri" w:cs="Calibri" w:eastAsia="Calibri" w:hAnsi="Calibri"/>
          <w:b/>
          <w:bCs/>
          <w:i w:val="false"/>
          <w:iCs w:val="false"/>
          <w:strike w:val="false"/>
          <w:color w:val="1A4D2E"/>
          <w:sz w:val="22"/>
          <w:szCs w:val="22"/>
        </w:rPr>
        <w:t xml:space="preserve">Adaptive Sound Penetration</w:t>
      </w:r>
    </w:p>
    <w:p>
      <w:pPr>
        <w:spacing w:after="240" w:line="360" w:lineRule="auto"/>
      </w:pPr>
      <w:r>
        <w:rPr>
          <w:rFonts w:ascii="Calibri" w:cs="Calibri" w:eastAsia="Calibri" w:hAnsi="Calibri"/>
          <w:b w:val="false"/>
          <w:bCs w:val="false"/>
          <w:i w:val="false"/>
          <w:iCs w:val="false"/>
          <w:strike w:val="false"/>
          <w:color w:val="1A1A1A"/>
          <w:sz w:val="21"/>
          <w:szCs w:val="21"/>
        </w:rPr>
        <w:t xml:space="preserve">A building acoustic design approach in which the degree to which exterior sound enters the interior can be modulated rather than simply blocked or allowed. Rather than a binary "open window / closed window" choice, adaptive sound penetration systems allow residents to tune acoustic transmission — allowing desirable sounds (natural ambience, conversation) while attenuating unwanted noise (traffic, machinery).</w:t>
      </w:r>
    </w:p>
    <w:p>
      <w:pPr>
        <w:spacing w:after="240" w:line="360" w:lineRule="auto"/>
      </w:pPr>
      <w:r>
        <w:rPr>
          <w:rFonts w:ascii="Calibri" w:cs="Calibri" w:eastAsia="Calibri" w:hAnsi="Calibri"/>
          <w:b/>
          <w:bCs/>
          <w:i w:val="false"/>
          <w:iCs w:val="false"/>
          <w:strike w:val="false"/>
          <w:color w:val="1A4D2E"/>
          <w:sz w:val="22"/>
          <w:szCs w:val="22"/>
        </w:rPr>
        <w:t xml:space="preserve">Component Remediation / Modular Refurbishment</w:t>
      </w:r>
    </w:p>
    <w:p>
      <w:pPr>
        <w:spacing w:after="240" w:line="360" w:lineRule="auto"/>
      </w:pPr>
      <w:r>
        <w:rPr>
          <w:rFonts w:ascii="Calibri" w:cs="Calibri" w:eastAsia="Calibri" w:hAnsi="Calibri"/>
          <w:b w:val="false"/>
          <w:bCs w:val="false"/>
          <w:i w:val="false"/>
          <w:iCs w:val="false"/>
          <w:strike w:val="false"/>
          <w:color w:val="1A1A1A"/>
          <w:sz w:val="21"/>
          <w:szCs w:val="21"/>
        </w:rPr>
        <w:t xml:space="preserve">The practice of restoring, repairing, or replacing individual building components rather than entire assemblies or sections. In a modular housing system, a single damaged panel, trim piece, or cladding section can be removed and replaced in isolation — just as a single part on a machine can be swapped without disassembling the entire device. This approach dramatically reduces repair costs and material waste.</w:t>
      </w:r>
    </w:p>
    <w:p>
      <w:pPr>
        <w:spacing w:after="240" w:line="360" w:lineRule="auto"/>
      </w:pPr>
      <w:r>
        <w:rPr>
          <w:rFonts w:ascii="Calibri" w:cs="Calibri" w:eastAsia="Calibri" w:hAnsi="Calibri"/>
          <w:b/>
          <w:bCs/>
          <w:i w:val="false"/>
          <w:iCs w:val="false"/>
          <w:strike w:val="false"/>
          <w:color w:val="1A4D2E"/>
          <w:sz w:val="22"/>
          <w:szCs w:val="22"/>
        </w:rPr>
        <w:t xml:space="preserve">Net-Zero Energy</w:t>
      </w:r>
    </w:p>
    <w:p>
      <w:pPr>
        <w:spacing w:after="240" w:line="360" w:lineRule="auto"/>
      </w:pPr>
      <w:r>
        <w:rPr>
          <w:rFonts w:ascii="Calibri" w:cs="Calibri" w:eastAsia="Calibri" w:hAnsi="Calibri"/>
          <w:b w:val="false"/>
          <w:bCs w:val="false"/>
          <w:i w:val="false"/>
          <w:iCs w:val="false"/>
          <w:strike w:val="false"/>
          <w:color w:val="1A1A1A"/>
          <w:sz w:val="21"/>
          <w:szCs w:val="21"/>
        </w:rPr>
        <w:t xml:space="preserve">A building or community standard in which the total amount of energy consumed over a defined period (typically one year) is equal to or less than the total amount of renewable energy generated on-site or within the community. A net-zero energy home produces as much electricity as it uses annually. The IRHS framework targets net-positive performance — generating more energy than is consumed.</w:t>
      </w:r>
    </w:p>
    <w:p>
      <w:pPr>
        <w:spacing w:after="240" w:line="360" w:lineRule="auto"/>
      </w:pPr>
      <w:r>
        <w:rPr>
          <w:rFonts w:ascii="Calibri" w:cs="Calibri" w:eastAsia="Calibri" w:hAnsi="Calibri"/>
          <w:b/>
          <w:bCs/>
          <w:i w:val="false"/>
          <w:iCs w:val="false"/>
          <w:strike w:val="false"/>
          <w:color w:val="1A4D2E"/>
          <w:sz w:val="22"/>
          <w:szCs w:val="22"/>
        </w:rPr>
        <w:t xml:space="preserve">Adaptive Reuse</w:t>
      </w:r>
    </w:p>
    <w:p>
      <w:pPr>
        <w:spacing w:after="240" w:line="360" w:lineRule="auto"/>
      </w:pPr>
      <w:r>
        <w:rPr>
          <w:rFonts w:ascii="Calibri" w:cs="Calibri" w:eastAsia="Calibri" w:hAnsi="Calibri"/>
          <w:b w:val="false"/>
          <w:bCs w:val="false"/>
          <w:i w:val="false"/>
          <w:iCs w:val="false"/>
          <w:strike w:val="false"/>
          <w:color w:val="1A1A1A"/>
          <w:sz w:val="21"/>
          <w:szCs w:val="21"/>
        </w:rPr>
        <w:t xml:space="preserve">The practice of repurposing a building or structure for uses other than those for which it was originally designed, rather than demolishing it and building anew. In sustainable design, adaptive reuse is considered the most resource-efficient approach to changing building needs — preserving the embodied energy and materials in existing structures while updating their function to serve new purposes.</w:t>
      </w:r>
    </w:p>
    <w:p>
      <w:pPr>
        <w:pBdr>
          <w:bottom w:val="single" w:color="B7D9B3" w:sz="6"/>
        </w:pBdr>
        <w:spacing w:after="240" w:before="240"/>
      </w:pPr>
    </w:p>
    <w:p>
      <w:pPr>
        <w:spacing w:after="240" w:line="360" w:lineRule="auto"/>
      </w:pPr>
      <w:r>
        <w:rPr>
          <w:rFonts w:ascii="Calibri" w:cs="Calibri" w:eastAsia="Calibri" w:hAnsi="Calibri"/>
          <w:b/>
          <w:bCs/>
          <w:i w:val="false"/>
          <w:iCs w:val="false"/>
          <w:strike w:val="false"/>
          <w:color w:val="1A1A1A"/>
          <w:sz w:val="22"/>
          <w:szCs w:val="22"/>
        </w:rPr>
        <w:t xml:space="preserve">Integrated Resilient Housing System — Concept Framework</w:t>
      </w:r>
      <w:r>
        <w:rPr>
          <w:rFonts w:ascii="Calibri" w:cs="Calibri" w:eastAsia="Calibri" w:hAnsi="Calibri"/>
          <w:b w:val="false"/>
          <w:bCs w:val="false"/>
          <w:i w:val="false"/>
          <w:iCs w:val="false"/>
          <w:strike w:val="false"/>
          <w:color w:val="777777"/>
          <w:sz w:val="17"/>
          <w:szCs w:val="17"/>
        </w:rPr>
        <w:t xml:space="preserve">  |  Nathan  |  UAGC Environmental Science  |  Original Concept Paper  |  August 30, 2026  |  Page 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c4df3fd0cfc63d42efbe936d2c7c817f69f694.png"/><Relationship Id="rId8" Type="http://schemas.openxmlformats.org/officeDocument/2006/relationships/image" Target="media/62ab0e146463fe5e4510660723982eaf5c6cb05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oFRfjkUkYV1JrehZCn8DB</dc:title>
  <dc:creator>Un-named</dc:creator>
  <dc:description>Generated document</dc:description>
  <cp:lastModifiedBy>Un-named</cp:lastModifiedBy>
  <cp:revision>1</cp:revision>
  <dcterms:created xsi:type="dcterms:W3CDTF">2026-08-30T19:59:50.120Z</dcterms:created>
  <dcterms:modified xsi:type="dcterms:W3CDTF">2026-08-30T19:59:50.121Z</dcterms:modified>
</cp:coreProperties>
</file>

<file path=docProps/custom.xml><?xml version="1.0" encoding="utf-8"?>
<Properties xmlns="http://schemas.openxmlformats.org/officeDocument/2006/custom-properties" xmlns:vt="http://schemas.openxmlformats.org/officeDocument/2006/docPropsVTypes"/>
</file>