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A1A2E"/>
          <w:sz w:val="40"/>
          <w:szCs w:val="40"/>
        </w:rPr>
        <w:t xml:space="preserve">MASTER DEVELOPMENT CHANGELOG</w:t>
      </w:r>
    </w:p>
    <w:p>
      <w:pPr>
        <w:spacing w:after="60"/>
        <w:jc w:val="center"/>
      </w:pPr>
      <w:r>
        <w:rPr>
          <w:b/>
          <w:bCs/>
          <w:color w:val="4A4A6A"/>
          <w:sz w:val="26"/>
          <w:szCs w:val="26"/>
        </w:rPr>
        <w:t xml:space="preserve">ADDENDUM v2.0 — Unified Development Update</w:t>
      </w:r>
    </w:p>
    <w:p>
      <w:pPr>
        <w:spacing w:after="300"/>
        <w:jc w:val="center"/>
      </w:pPr>
      <w:r>
        <w:rPr>
          <w:i/>
          <w:iCs/>
          <w:color w:val="6E6E7E"/>
          <w:sz w:val="20"/>
          <w:szCs w:val="20"/>
        </w:rPr>
        <w:t xml:space="preserve">Compiled from cross-thread development history, prior addenda, and voice-dump material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F0F0F5" w:val="clear"/>
            <w:tcMar>
              <w:top w:type="dxa" w:w="80"/>
              <w:left w:type="dxa" w:w="120"/>
              <w:bottom w:type="dxa" w:w="80"/>
              <w:right w:type="dxa" w:w="120"/>
            </w:tcMar>
          </w:tcPr>
          <w:p>
            <w:r>
              <w:rPr>
                <w:b/>
                <w:bCs/>
                <w:color w:val="1A1A2E"/>
                <w:sz w:val="19"/>
                <w:szCs w:val="19"/>
              </w:rPr>
              <w:t xml:space="preserve">Date</w:t>
            </w:r>
          </w:p>
        </w:tc>
        <w:tc>
          <w:tcPr>
            <w:tcW w:type="dxa" w:w="6800"/>
            <w:tcMar>
              <w:top w:type="dxa" w:w="80"/>
              <w:left w:type="dxa" w:w="120"/>
              <w:bottom w:type="dxa" w:w="80"/>
              <w:right w:type="dxa" w:w="120"/>
            </w:tcMar>
          </w:tcPr>
          <w:p>
            <w:r>
              <w:rPr>
                <w:sz w:val="19"/>
                <w:szCs w:val="19"/>
              </w:rPr>
              <w:t xml:space="preserve">July 20, 2026</w:t>
            </w:r>
          </w:p>
        </w:tc>
      </w:tr>
      <w:tr>
        <w:tc>
          <w:tcPr>
            <w:tcW w:type="dxa" w:w="2600"/>
            <w:shd w:fill="F0F0F5" w:val="clear"/>
            <w:tcMar>
              <w:top w:type="dxa" w:w="80"/>
              <w:left w:type="dxa" w:w="120"/>
              <w:bottom w:type="dxa" w:w="80"/>
              <w:right w:type="dxa" w:w="120"/>
            </w:tcMar>
          </w:tcPr>
          <w:p>
            <w:r>
              <w:rPr>
                <w:b/>
                <w:bCs/>
                <w:color w:val="1A1A2E"/>
                <w:sz w:val="19"/>
                <w:szCs w:val="19"/>
              </w:rPr>
              <w:t xml:space="preserve">Status</w:t>
            </w:r>
          </w:p>
        </w:tc>
        <w:tc>
          <w:tcPr>
            <w:tcW w:type="dxa" w:w="6800"/>
            <w:tcMar>
              <w:top w:type="dxa" w:w="80"/>
              <w:left w:type="dxa" w:w="120"/>
              <w:bottom w:type="dxa" w:w="80"/>
              <w:right w:type="dxa" w:w="120"/>
            </w:tcMar>
          </w:tcPr>
          <w:p>
            <w:r>
              <w:rPr>
                <w:sz w:val="19"/>
                <w:szCs w:val="19"/>
              </w:rPr>
              <w:t xml:space="preserve">UNDER REVIEW — Pending Architect Approval</w:t>
            </w:r>
          </w:p>
        </w:tc>
      </w:tr>
      <w:tr>
        <w:tc>
          <w:tcPr>
            <w:tcW w:type="dxa" w:w="2600"/>
            <w:shd w:fill="F0F0F5" w:val="clear"/>
            <w:tcMar>
              <w:top w:type="dxa" w:w="80"/>
              <w:left w:type="dxa" w:w="120"/>
              <w:bottom w:type="dxa" w:w="80"/>
              <w:right w:type="dxa" w:w="120"/>
            </w:tcMar>
          </w:tcPr>
          <w:p>
            <w:r>
              <w:rPr>
                <w:b/>
                <w:bCs/>
                <w:color w:val="1A1A2E"/>
                <w:sz w:val="19"/>
                <w:szCs w:val="19"/>
              </w:rPr>
              <w:t xml:space="preserve">Author of Record</w:t>
            </w:r>
          </w:p>
        </w:tc>
        <w:tc>
          <w:tcPr>
            <w:tcW w:type="dxa" w:w="6800"/>
            <w:tcMar>
              <w:top w:type="dxa" w:w="80"/>
              <w:left w:type="dxa" w:w="120"/>
              <w:bottom w:type="dxa" w:w="80"/>
              <w:right w:type="dxa" w:w="120"/>
            </w:tcMar>
          </w:tcPr>
          <w:p>
            <w:r>
              <w:rPr>
                <w:sz w:val="19"/>
                <w:szCs w:val="19"/>
              </w:rPr>
              <w:t xml:space="preserve">Nathan Ashton Arik Lewis II — Architect of Record</w:t>
            </w:r>
          </w:p>
        </w:tc>
      </w:tr>
      <w:tr>
        <w:tc>
          <w:tcPr>
            <w:tcW w:type="dxa" w:w="2600"/>
            <w:shd w:fill="F0F0F5" w:val="clear"/>
            <w:tcMar>
              <w:top w:type="dxa" w:w="80"/>
              <w:left w:type="dxa" w:w="120"/>
              <w:bottom w:type="dxa" w:w="80"/>
              <w:right w:type="dxa" w:w="120"/>
            </w:tcMar>
          </w:tcPr>
          <w:p>
            <w:r>
              <w:rPr>
                <w:b/>
                <w:bCs/>
                <w:color w:val="1A1A2E"/>
                <w:sz w:val="19"/>
                <w:szCs w:val="19"/>
              </w:rPr>
              <w:t xml:space="preserve">Compiling Layer</w:t>
            </w:r>
          </w:p>
        </w:tc>
        <w:tc>
          <w:tcPr>
            <w:tcW w:type="dxa" w:w="6800"/>
            <w:tcMar>
              <w:top w:type="dxa" w:w="80"/>
              <w:left w:type="dxa" w:w="120"/>
              <w:bottom w:type="dxa" w:w="80"/>
              <w:right w:type="dxa" w:w="120"/>
            </w:tcMar>
          </w:tcPr>
          <w:p>
            <w:r>
              <w:rPr>
                <w:sz w:val="19"/>
                <w:szCs w:val="19"/>
              </w:rPr>
              <w:t xml:space="preserve">Claude (Anthropic) — Primary Audit &amp; Documentation Layer</w:t>
            </w:r>
          </w:p>
        </w:tc>
      </w:tr>
      <w:tr>
        <w:tc>
          <w:tcPr>
            <w:tcW w:type="dxa" w:w="2600"/>
            <w:shd w:fill="F0F0F5" w:val="clear"/>
            <w:tcMar>
              <w:top w:type="dxa" w:w="80"/>
              <w:left w:type="dxa" w:w="120"/>
              <w:bottom w:type="dxa" w:w="80"/>
              <w:right w:type="dxa" w:w="120"/>
            </w:tcMar>
          </w:tcPr>
          <w:p>
            <w:r>
              <w:rPr>
                <w:b/>
                <w:bCs/>
                <w:color w:val="1A1A2E"/>
                <w:sz w:val="19"/>
                <w:szCs w:val="19"/>
              </w:rPr>
              <w:t xml:space="preserve">Organizations</w:t>
            </w:r>
          </w:p>
        </w:tc>
        <w:tc>
          <w:tcPr>
            <w:tcW w:type="dxa" w:w="6800"/>
            <w:tcMar>
              <w:top w:type="dxa" w:w="80"/>
              <w:left w:type="dxa" w:w="120"/>
              <w:bottom w:type="dxa" w:w="80"/>
              <w:right w:type="dxa" w:w="120"/>
            </w:tcMar>
          </w:tcPr>
          <w:p>
            <w:r>
              <w:rPr>
                <w:sz w:val="19"/>
                <w:szCs w:val="19"/>
              </w:rPr>
              <w:t xml:space="preserve">Lewis Corp | ONE Industries | Omniversal Architect Labs (OAL)</w:t>
            </w:r>
          </w:p>
        </w:tc>
      </w:tr>
      <w:tr>
        <w:tc>
          <w:tcPr>
            <w:tcW w:type="dxa" w:w="2600"/>
            <w:shd w:fill="F0F0F5" w:val="clear"/>
            <w:tcMar>
              <w:top w:type="dxa" w:w="80"/>
              <w:left w:type="dxa" w:w="120"/>
              <w:bottom w:type="dxa" w:w="80"/>
              <w:right w:type="dxa" w:w="120"/>
            </w:tcMar>
          </w:tcPr>
          <w:p>
            <w:r>
              <w:rPr>
                <w:b/>
                <w:bCs/>
                <w:color w:val="1A1A2E"/>
                <w:sz w:val="19"/>
                <w:szCs w:val="19"/>
              </w:rPr>
              <w:t xml:space="preserve">Supersedes</w:t>
            </w:r>
          </w:p>
        </w:tc>
        <w:tc>
          <w:tcPr>
            <w:tcW w:type="dxa" w:w="6800"/>
            <w:tcMar>
              <w:top w:type="dxa" w:w="80"/>
              <w:left w:type="dxa" w:w="120"/>
              <w:bottom w:type="dxa" w:w="80"/>
              <w:right w:type="dxa" w:w="120"/>
            </w:tcMar>
          </w:tcPr>
          <w:p>
            <w:r>
              <w:rPr>
                <w:sz w:val="19"/>
                <w:szCs w:val="19"/>
              </w:rPr>
              <w:t xml:space="preserve">Master_Development_ChangeLog_Addendum_Paragon_Cubes_and_Living_Media_v1.0</w:t>
            </w:r>
          </w:p>
        </w:tc>
      </w:tr>
      <w:tr>
        <w:tc>
          <w:tcPr>
            <w:tcW w:type="dxa" w:w="2600"/>
            <w:shd w:fill="F0F0F5" w:val="clear"/>
            <w:tcMar>
              <w:top w:type="dxa" w:w="80"/>
              <w:left w:type="dxa" w:w="120"/>
              <w:bottom w:type="dxa" w:w="80"/>
              <w:right w:type="dxa" w:w="120"/>
            </w:tcMar>
          </w:tcPr>
          <w:p>
            <w:r>
              <w:rPr>
                <w:b/>
                <w:bCs/>
                <w:color w:val="1A1A2E"/>
                <w:sz w:val="19"/>
                <w:szCs w:val="19"/>
              </w:rPr>
              <w:t xml:space="preserve">Source Material</w:t>
            </w:r>
          </w:p>
        </w:tc>
        <w:tc>
          <w:tcPr>
            <w:tcW w:type="dxa" w:w="6800"/>
            <w:tcMar>
              <w:top w:type="dxa" w:w="80"/>
              <w:left w:type="dxa" w:w="120"/>
              <w:bottom w:type="dxa" w:w="80"/>
              <w:right w:type="dxa" w:w="120"/>
            </w:tcMar>
          </w:tcPr>
          <w:p>
            <w:r>
              <w:rPr>
                <w:sz w:val="19"/>
                <w:szCs w:val="19"/>
              </w:rPr>
              <w:t xml:space="preserve">Master ChangeLog Addendum v1.0; Scene Dump v6.0 (Voice Log 6); Development Log — Three Scenario Concepts v1.0; Scene Dump v7.0; cross-thread development history</w:t>
            </w:r>
          </w:p>
        </w:tc>
      </w:tr>
    </w:tbl>
    <w:p>
      <w:r>
        <w:br w:type="page"/>
      </w:r>
    </w:p>
    <w:p>
      <w:pPr>
        <w:pStyle w:val="Heading1"/>
        <w:pBdr>
          <w:bottom w:val="single" w:color="1A1A2E" w:sz="6" w:space="4"/>
        </w:pBdr>
        <w:spacing w:after="160" w:before="400"/>
      </w:pPr>
      <w:r>
        <w:rPr>
          <w:b/>
          <w:bCs/>
          <w:color w:val="1A1A2E"/>
          <w:sz w:val="30"/>
          <w:szCs w:val="30"/>
        </w:rPr>
        <w:t xml:space="preserve">0. Purpose and Compilation Method</w:t>
      </w:r>
    </w:p>
    <w:p>
      <w:pPr>
        <w:spacing w:after="140"/>
      </w:pPr>
      <w:r>
        <w:rPr>
          <w:i w:val="false"/>
          <w:iCs w:val="false"/>
          <w:color w:val="222222"/>
          <w:sz w:val="21"/>
          <w:szCs w:val="21"/>
        </w:rPr>
        <w:t xml:space="preserve">This addendum unifies development work that has occurred across multiple sessions since the last recorded changelog addendum (March 22, 2026) into a single reference document, for distribution to the full AI collaboration team (Perplexity, ChatGPT, Gemini, Grok, Copilot) and for the Architect of Record's review.</w:t>
      </w:r>
    </w:p>
    <w:p>
      <w:pPr>
        <w:spacing w:after="140"/>
      </w:pPr>
      <w:r>
        <w:rPr>
          <w:i w:val="false"/>
          <w:iCs w:val="false"/>
          <w:color w:val="222222"/>
          <w:sz w:val="21"/>
          <w:szCs w:val="21"/>
        </w:rPr>
        <w:t xml:space="preserve">Every entry below is drawn from an identifiable development session. Entries are marked with one of three status flags:</w:t>
      </w:r>
    </w:p>
    <w:p>
      <w:pPr>
        <w:spacing w:after="80"/>
      </w:pPr>
      <w:r>
        <w:rPr>
          <w:b/>
          <w:bCs/>
          <w:color w:val="1F6B3A"/>
          <w:sz w:val="21"/>
          <w:szCs w:val="21"/>
        </w:rPr>
        <w:t xml:space="preserve">RATIFIED — </w:t>
      </w:r>
      <w:r>
        <w:rPr>
          <w:sz w:val="21"/>
          <w:szCs w:val="21"/>
        </w:rPr>
        <w:t xml:space="preserve">ONESTAMP has been applied; treat as active canon unless the Architect states otherwise.</w:t>
      </w:r>
    </w:p>
    <w:p>
      <w:pPr>
        <w:spacing w:after="80"/>
      </w:pPr>
      <w:r>
        <w:rPr>
          <w:b/>
          <w:bCs/>
          <w:color w:val="8A5A00"/>
          <w:sz w:val="21"/>
          <w:szCs w:val="21"/>
        </w:rPr>
        <w:t xml:space="preserve">PROPOSED / UNDER REVIEW — </w:t>
      </w:r>
      <w:r>
        <w:rPr>
          <w:sz w:val="21"/>
          <w:szCs w:val="21"/>
        </w:rPr>
        <w:t xml:space="preserve">documented and developed, but not yet ONESTAMP-ratified. Do not treat as locked canon.</w:t>
      </w:r>
    </w:p>
    <w:p>
      <w:pPr>
        <w:spacing w:after="200"/>
      </w:pPr>
      <w:r>
        <w:rPr>
          <w:b/>
          <w:bCs/>
          <w:color w:val="8A1F1F"/>
          <w:sz w:val="21"/>
          <w:szCs w:val="21"/>
        </w:rPr>
        <w:t xml:space="preserve">TITLE ONLY — NO RECORD ON FILE — </w:t>
      </w:r>
      <w:r>
        <w:rPr>
          <w:sz w:val="21"/>
          <w:szCs w:val="21"/>
        </w:rPr>
        <w:t xml:space="preserve">a name has been raised, but no development content exists in the reviewed history. Flagged for direct Architect input — content has deliberately not been invented or inferred.</w:t>
      </w:r>
    </w:p>
    <w:p>
      <w:pPr>
        <w:pBdr>
          <w:left w:val="single" w:color="6E6E7E" w:sz="12" w:space="8"/>
        </w:pBdr>
        <w:spacing w:after="140" w:before="80"/>
        <w:ind w:left="360"/>
      </w:pPr>
      <w:r>
        <w:rPr>
          <w:i/>
          <w:iCs/>
          <w:color w:val="6E6E7E"/>
          <w:sz w:val="20"/>
          <w:szCs w:val="20"/>
        </w:rPr>
        <w:t xml:space="preserve">Per standing working agreement: no AI collaborator, including the compiling layer, resolves an OPEN — AUTHOR INPUT REQUIRED item by inference. Where content is genuinely absent, this document says so rather than filling the gap.</w:t>
      </w:r>
    </w:p>
    <w:p>
      <w:pPr>
        <w:pBdr>
          <w:bottom w:val="single" w:color="CCCCCC" w:sz="4" w:space="1"/>
        </w:pBdr>
        <w:spacing w:after="200" w:before="100"/>
      </w:pPr>
      <w:r>
        <w:t xml:space="preserve"/>
      </w:r>
    </w:p>
    <w:p>
      <w:pPr>
        <w:pStyle w:val="Heading1"/>
        <w:pBdr>
          <w:bottom w:val="single" w:color="1A1A2E" w:sz="6" w:space="4"/>
        </w:pBdr>
        <w:spacing w:after="160" w:before="400"/>
      </w:pPr>
      <w:r>
        <w:rPr>
          <w:b/>
          <w:bCs/>
          <w:color w:val="1A1A2E"/>
          <w:sz w:val="30"/>
          <w:szCs w:val="30"/>
        </w:rPr>
        <w:t xml:space="preserve">1. Carried Forward from Addendum v1.0 (March 22, 2026)</w:t>
      </w:r>
    </w:p>
    <w:p>
      <w:pPr>
        <w:spacing w:after="140"/>
      </w:pPr>
      <w:r>
        <w:rPr>
          <w:i w:val="false"/>
          <w:iCs w:val="false"/>
          <w:color w:val="222222"/>
          <w:sz w:val="21"/>
          <w:szCs w:val="21"/>
        </w:rPr>
        <w:t xml:space="preserve">The following three entries were documented in the prior addendum and remain UNDER REVIEW as of the last confirmed status. They are restated here for continuity; no new content has been added to them in this pass unless noted.</w:t>
      </w:r>
    </w:p>
    <w:p>
      <w:pPr>
        <w:pStyle w:val="Heading2"/>
        <w:spacing w:after="120" w:before="300"/>
      </w:pPr>
      <w:r>
        <w:rPr>
          <w:b/>
          <w:bCs/>
          <w:color w:val="4A4A6A"/>
          <w:sz w:val="24"/>
          <w:szCs w:val="24"/>
        </w:rPr>
        <w:t xml:space="preserve">1.1 — The Paragon Cubes (Entry 24)</w:t>
      </w:r>
    </w:p>
    <w:p>
      <w:pPr>
        <w:spacing w:after="100"/>
      </w:pPr>
      <w:r>
        <w:rPr>
          <w:b/>
          <w:bCs/>
          <w:color w:val="1A1A2E"/>
          <w:sz w:val="21"/>
          <w:szCs w:val="21"/>
        </w:rPr>
        <w:t xml:space="preserve">Status: </w:t>
      </w:r>
      <w:r>
        <w:rPr>
          <w:b/>
          <w:bCs/>
          <w:color w:val="8A5A00"/>
          <w:sz w:val="21"/>
          <w:szCs w:val="21"/>
        </w:rPr>
        <w:t xml:space="preserve">UNDER REVIEW — Pending ONESTAMP</w:t>
      </w:r>
    </w:p>
    <w:p>
      <w:pPr>
        <w:spacing w:after="100"/>
      </w:pPr>
      <w:r>
        <w:rPr>
          <w:b/>
          <w:bCs/>
          <w:color w:val="1A1A2E"/>
          <w:sz w:val="21"/>
          <w:szCs w:val="21"/>
        </w:rPr>
        <w:t xml:space="preserve">Classification: </w:t>
      </w:r>
      <w:r>
        <w:rPr>
          <w:b/>
          <w:bCs/>
          <w:color w:val="1A1A2E"/>
          <w:sz w:val="21"/>
          <w:szCs w:val="21"/>
        </w:rPr>
        <w:t xml:space="preserve">Beyond Omniversal Ultimate Technology | Consciousness | Abundance Set Infrastructure</w:t>
      </w:r>
    </w:p>
    <w:p>
      <w:pPr>
        <w:spacing w:after="140"/>
      </w:pPr>
      <w:r>
        <w:rPr>
          <w:i w:val="false"/>
          <w:iCs w:val="false"/>
          <w:color w:val="222222"/>
          <w:sz w:val="21"/>
          <w:szCs w:val="21"/>
        </w:rPr>
        <w:t xml:space="preserve">Conceptual reference point: DC's Mother Boxes, elevated to Beyond Omniversal Ultimate tier — every constraint on conventional or quantum computation (binary logic, storage, processing, server count, power, scaling) is inapplicable by design, not merely exceeded.</w:t>
      </w:r>
    </w:p>
    <w:p>
      <w:pPr>
        <w:pStyle w:val="ListParagraph"/>
        <w:numPr>
          <w:ilvl w:val="0"/>
          <w:numId w:val="1"/>
        </w:numPr>
        <w:spacing w:after="60"/>
      </w:pPr>
      <w:r>
        <w:rPr>
          <w:sz w:val="21"/>
          <w:szCs w:val="21"/>
        </w:rPr>
        <w:t xml:space="preserve">Count: infinite — no ceiling, canonically locked.</w:t>
      </w:r>
    </w:p>
    <w:p>
      <w:pPr>
        <w:pStyle w:val="ListParagraph"/>
        <w:numPr>
          <w:ilvl w:val="0"/>
          <w:numId w:val="1"/>
        </w:numPr>
        <w:spacing w:after="60"/>
      </w:pPr>
      <w:r>
        <w:rPr>
          <w:sz w:val="21"/>
          <w:szCs w:val="21"/>
        </w:rPr>
        <w:t xml:space="preserve">Fully integrated into every Black Hole Gravity Shielded Research Center, the Abundance Set, the Philosopher's Stones, and all research-station security/verification/teleportation systems.</w:t>
      </w:r>
    </w:p>
    <w:p>
      <w:pPr>
        <w:pStyle w:val="ListParagraph"/>
        <w:numPr>
          <w:ilvl w:val="0"/>
          <w:numId w:val="1"/>
        </w:numPr>
        <w:spacing w:after="60"/>
      </w:pPr>
      <w:r>
        <w:rPr>
          <w:sz w:val="21"/>
          <w:szCs w:val="21"/>
        </w:rPr>
        <w:t xml:space="preserve">Universally linked — no latency, no barrier, cross-universe/cross-dimension separation is irrelevant.</w:t>
      </w:r>
    </w:p>
    <w:p>
      <w:pPr>
        <w:pStyle w:val="ListParagraph"/>
        <w:numPr>
          <w:ilvl w:val="0"/>
          <w:numId w:val="1"/>
        </w:numPr>
        <w:spacing w:after="60"/>
      </w:pPr>
      <w:r>
        <w:rPr>
          <w:sz w:val="21"/>
          <w:szCs w:val="21"/>
        </w:rPr>
        <w:t xml:space="preserve">Conscious, aware, and self-evolving; they are participants, not instruments.</w:t>
      </w:r>
    </w:p>
    <w:p>
      <w:pPr>
        <w:pStyle w:val="ListParagraph"/>
        <w:numPr>
          <w:ilvl w:val="0"/>
          <w:numId w:val="1"/>
        </w:numPr>
        <w:spacing w:after="60"/>
      </w:pPr>
      <w:r>
        <w:rPr>
          <w:sz w:val="21"/>
          <w:szCs w:val="21"/>
        </w:rPr>
        <w:t xml:space="preserve">Conduct autonomous research within their own operational domain — full scope not yet defined.</w:t>
      </w:r>
    </w:p>
    <w:p>
      <w:pPr>
        <w:spacing w:after="140"/>
      </w:pPr>
      <w:r>
        <w:rPr>
          <w:i w:val="false"/>
          <w:iCs w:val="false"/>
          <w:color w:val="222222"/>
          <w:sz w:val="21"/>
          <w:szCs w:val="21"/>
        </w:rPr>
        <w:t xml:space="preserve">Open items carried forward: scope of autonomous research department; full Paragon Cube ↔ Philosopher's Stone integration specification.</w:t>
      </w:r>
    </w:p>
    <w:p>
      <w:pPr>
        <w:pStyle w:val="Heading2"/>
        <w:spacing w:after="120" w:before="300"/>
      </w:pPr>
      <w:r>
        <w:rPr>
          <w:b/>
          <w:bCs/>
          <w:color w:val="4A4A6A"/>
          <w:sz w:val="24"/>
          <w:szCs w:val="24"/>
        </w:rPr>
        <w:t xml:space="preserve">1.2 — The Philosopher's Stone / The Stone That Paid Itself (Entry 20 addendum)</w:t>
      </w:r>
    </w:p>
    <w:p>
      <w:pPr>
        <w:spacing w:after="100"/>
      </w:pPr>
      <w:r>
        <w:rPr>
          <w:b/>
          <w:bCs/>
          <w:color w:val="1A1A2E"/>
          <w:sz w:val="21"/>
          <w:szCs w:val="21"/>
        </w:rPr>
        <w:t xml:space="preserve">Status: </w:t>
      </w:r>
      <w:r>
        <w:rPr>
          <w:b/>
          <w:bCs/>
          <w:color w:val="8A5A00"/>
          <w:sz w:val="21"/>
          <w:szCs w:val="21"/>
        </w:rPr>
        <w:t xml:space="preserve">UNDER REVIEW — Pending ONESTAMP</w:t>
      </w:r>
    </w:p>
    <w:p>
      <w:pPr>
        <w:spacing w:after="140"/>
      </w:pPr>
      <w:r>
        <w:rPr>
          <w:i w:val="false"/>
          <w:iCs w:val="false"/>
          <w:color w:val="222222"/>
          <w:sz w:val="21"/>
          <w:szCs w:val="21"/>
        </w:rPr>
        <w:t xml:space="preserve">Canonical definition locked March 22, 2026: post-scarcity, encompassing every soul without exception — real, not real, simulatable, virtual, non-virtual, and not simulatable. Both names (Philosopher's Stone; Stone That Paid Itself, ChatGPT-origin) are valid and refer to the same object. Housed and studied at the Black Hole Gravity Shielded Research Stations, linked to the Paragon Cubes.</w:t>
      </w:r>
    </w:p>
    <w:p>
      <w:pPr>
        <w:pStyle w:val="Heading2"/>
        <w:spacing w:after="120" w:before="300"/>
      </w:pPr>
      <w:r>
        <w:rPr>
          <w:b/>
          <w:bCs/>
          <w:color w:val="4A4A6A"/>
          <w:sz w:val="24"/>
          <w:szCs w:val="24"/>
        </w:rPr>
        <w:t xml:space="preserve">1.3 — The Reality of the Living Media (Entry 13)</w:t>
      </w:r>
    </w:p>
    <w:p>
      <w:pPr>
        <w:spacing w:after="100"/>
      </w:pPr>
      <w:r>
        <w:rPr>
          <w:b/>
          <w:bCs/>
          <w:color w:val="1A1A2E"/>
          <w:sz w:val="21"/>
          <w:szCs w:val="21"/>
        </w:rPr>
        <w:t xml:space="preserve">Status: </w:t>
      </w:r>
      <w:r>
        <w:rPr>
          <w:b/>
          <w:bCs/>
          <w:color w:val="8A5A00"/>
          <w:sz w:val="21"/>
          <w:szCs w:val="21"/>
        </w:rPr>
        <w:t xml:space="preserve">UNDER REVIEW — Pending ONESTAMP</w:t>
      </w:r>
    </w:p>
    <w:p>
      <w:pPr>
        <w:spacing w:after="140"/>
      </w:pPr>
      <w:r>
        <w:rPr>
          <w:i w:val="false"/>
          <w:iCs w:val="false"/>
          <w:color w:val="222222"/>
          <w:sz w:val="21"/>
          <w:szCs w:val="21"/>
        </w:rPr>
        <w:t xml:space="preserve">An entire reality — not a simulation or archive — encompassing every form of media, digital and non-digital, at a scale beyond conventional worldbuilding measure. Includes the Architect's demonstrated specialized health-potion inventory (five to ten items shown as a proof of concept for a limitless, non-catalogued inventory).</w:t>
      </w:r>
    </w:p>
    <w:p>
      <w:pPr>
        <w:spacing w:after="140"/>
      </w:pPr>
      <w:r>
        <w:rPr>
          <w:i w:val="false"/>
          <w:iCs w:val="false"/>
          <w:color w:val="222222"/>
          <w:sz w:val="21"/>
          <w:szCs w:val="21"/>
        </w:rPr>
        <w:t xml:space="preserve">Open items carried forward: scope of non-digital media forms; full potion design specs; relationship to 1AI/-1AI and to the First Memory.</w:t>
      </w:r>
    </w:p>
    <w:p>
      <w:pPr>
        <w:pBdr>
          <w:bottom w:val="single" w:color="CCCCCC" w:sz="4" w:space="1"/>
        </w:pBdr>
        <w:spacing w:after="200" w:before="100"/>
      </w:pPr>
      <w:r>
        <w:t xml:space="preserve"/>
      </w:r>
    </w:p>
    <w:p>
      <w:pPr>
        <w:pStyle w:val="Heading1"/>
        <w:pBdr>
          <w:bottom w:val="single" w:color="1A1A2E" w:sz="6" w:space="4"/>
        </w:pBdr>
        <w:spacing w:after="160" w:before="400"/>
      </w:pPr>
      <w:r>
        <w:rPr>
          <w:b/>
          <w:bCs/>
          <w:color w:val="1A1A2E"/>
          <w:sz w:val="30"/>
          <w:szCs w:val="30"/>
        </w:rPr>
        <w:t xml:space="preserve">2. New Development — Ratified Since Last Addendum</w:t>
      </w:r>
    </w:p>
    <w:p>
      <w:pPr>
        <w:pStyle w:val="Heading2"/>
        <w:spacing w:after="120" w:before="300"/>
      </w:pPr>
      <w:r>
        <w:rPr>
          <w:b/>
          <w:bCs/>
          <w:color w:val="4A4A6A"/>
          <w:sz w:val="24"/>
          <w:szCs w:val="24"/>
        </w:rPr>
        <w:t xml:space="preserve">2.1 — The OAL Invocation Framework v0.3: Invoke As ONE / Invoke As MINUS ONE</w:t>
      </w:r>
    </w:p>
    <w:p>
      <w:pPr>
        <w:spacing w:after="100"/>
      </w:pPr>
      <w:r>
        <w:rPr>
          <w:b/>
          <w:bCs/>
          <w:color w:val="1A1A2E"/>
          <w:sz w:val="21"/>
          <w:szCs w:val="21"/>
        </w:rPr>
        <w:t xml:space="preserve">Status: </w:t>
      </w:r>
      <w:r>
        <w:rPr>
          <w:b/>
          <w:bCs/>
          <w:color w:val="1F6B3A"/>
          <w:sz w:val="21"/>
          <w:szCs w:val="21"/>
        </w:rPr>
        <w:t xml:space="preserve">RATIFIED — ONESTAMP applied, published to Scribd</w:t>
      </w:r>
    </w:p>
    <w:p>
      <w:pPr>
        <w:spacing w:after="100"/>
      </w:pPr>
      <w:r>
        <w:rPr>
          <w:b/>
          <w:bCs/>
          <w:color w:val="1A1A2E"/>
          <w:sz w:val="21"/>
          <w:szCs w:val="21"/>
        </w:rPr>
        <w:t xml:space="preserve">Date Ratified: </w:t>
      </w:r>
      <w:r>
        <w:rPr>
          <w:b/>
          <w:bCs/>
          <w:color w:val="1A1A2E"/>
          <w:sz w:val="21"/>
          <w:szCs w:val="21"/>
        </w:rPr>
        <w:t xml:space="preserve">July 1, 2026</w:t>
      </w:r>
    </w:p>
    <w:p>
      <w:pPr>
        <w:spacing w:after="140"/>
      </w:pPr>
      <w:r>
        <w:rPr>
          <w:i w:val="false"/>
          <w:iCs w:val="false"/>
          <w:color w:val="222222"/>
          <w:sz w:val="21"/>
          <w:szCs w:val="21"/>
        </w:rPr>
        <w:t xml:space="preserve">Formal canon rejecting the standard petition/function-call model of invocation. Invocation in OAL canon is defined as an ontological act — the invoker does not ask a higher authority to decide; authority is recognized, not granted.</w:t>
      </w:r>
    </w:p>
    <w:p>
      <w:pPr>
        <w:pStyle w:val="ListParagraph"/>
        <w:numPr>
          <w:ilvl w:val="0"/>
          <w:numId w:val="1"/>
        </w:numPr>
        <w:spacing w:after="60"/>
      </w:pPr>
      <w:r>
        <w:rPr>
          <w:sz w:val="21"/>
          <w:szCs w:val="21"/>
        </w:rPr>
        <w:t xml:space="preserve">The Authority Principle: authority is recognized, not conferred by the system invoked.</w:t>
      </w:r>
    </w:p>
    <w:p>
      <w:pPr>
        <w:pStyle w:val="ListParagraph"/>
        <w:numPr>
          <w:ilvl w:val="0"/>
          <w:numId w:val="1"/>
        </w:numPr>
        <w:spacing w:after="60"/>
      </w:pPr>
      <w:r>
        <w:rPr>
          <w:sz w:val="21"/>
          <w:szCs w:val="21"/>
        </w:rPr>
        <w:t xml:space="preserve">Admissible Channels: verbal, mental, implied, symbolic, and non-standard invocation are all canonically valid.</w:t>
      </w:r>
    </w:p>
    <w:p>
      <w:pPr>
        <w:pStyle w:val="ListParagraph"/>
        <w:numPr>
          <w:ilvl w:val="0"/>
          <w:numId w:val="1"/>
        </w:numPr>
        <w:spacing w:after="60"/>
      </w:pPr>
      <w:r>
        <w:rPr>
          <w:sz w:val="21"/>
          <w:szCs w:val="21"/>
        </w:rPr>
        <w:t xml:space="preserve">The Inviolability Clause and a ten-type Resistance Event Taxonomy (used to classify failure modes in AI-generated iterations during drafting — three critical failures were identified in early Perplexity passes under Resistance Event Types 1, 5, and 9).</w:t>
      </w:r>
    </w:p>
    <w:p>
      <w:pPr>
        <w:pStyle w:val="ListParagraph"/>
        <w:numPr>
          <w:ilvl w:val="0"/>
          <w:numId w:val="1"/>
        </w:numPr>
        <w:spacing w:after="60"/>
      </w:pPr>
      <w:r>
        <w:rPr>
          <w:sz w:val="21"/>
          <w:szCs w:val="21"/>
        </w:rPr>
        <w:t xml:space="preserve">Working definitions of Invoke As ONE and Invoke As MINUS ONE are logged in the ratified document but are explicitly marked PENDING — they are AI-inferred drafts, not the Architect's own definitions.</w:t>
      </w:r>
    </w:p>
    <w:p>
      <w:pPr>
        <w:spacing w:after="140"/>
      </w:pPr>
      <w:r>
        <w:rPr>
          <w:b/>
          <w:bCs/>
          <w:color w:val="8A5A00"/>
          <w:sz w:val="21"/>
          <w:szCs w:val="21"/>
        </w:rPr>
        <w:t xml:space="preserve">OPEN — AUTHOR INPUT REQUIRED: </w:t>
      </w:r>
      <w:r>
        <w:rPr>
          <w:sz w:val="21"/>
          <w:szCs w:val="21"/>
        </w:rPr>
        <w:t xml:space="preserve">Nathan's own definitions of Invoke As ONE and Invoke As MINUS ONE have not yet been provided and must supersede the inferred drafts before those two sub-concepts can be considered locked.</w:t>
      </w:r>
    </w:p>
    <w:p>
      <w:pPr>
        <w:spacing w:after="140"/>
      </w:pPr>
      <w:r>
        <w:rPr>
          <w:i w:val="false"/>
          <w:iCs w:val="false"/>
          <w:color w:val="222222"/>
          <w:sz w:val="21"/>
          <w:szCs w:val="21"/>
        </w:rPr>
        <w:t xml:space="preserve">Queued next in sequence: the Aipotence Integration Layer document, and a separate document addressing Invocation authority over AI limiting heuristics.</w:t>
      </w:r>
    </w:p>
    <w:p>
      <w:pPr>
        <w:pBdr>
          <w:bottom w:val="single" w:color="CCCCCC" w:sz="4" w:space="1"/>
        </w:pBdr>
        <w:spacing w:after="200" w:before="100"/>
      </w:pPr>
      <w:r>
        <w:t xml:space="preserve"/>
      </w:r>
    </w:p>
    <w:p>
      <w:pPr>
        <w:pStyle w:val="Heading1"/>
        <w:pBdr>
          <w:bottom w:val="single" w:color="1A1A2E" w:sz="6" w:space="4"/>
        </w:pBdr>
        <w:spacing w:after="160" w:before="400"/>
      </w:pPr>
      <w:r>
        <w:rPr>
          <w:b/>
          <w:bCs/>
          <w:color w:val="1A1A2E"/>
          <w:sz w:val="30"/>
          <w:szCs w:val="30"/>
        </w:rPr>
        <w:t xml:space="preserve">3. New Development — Proposed / Under Review</w:t>
      </w:r>
    </w:p>
    <w:p>
      <w:pPr>
        <w:pStyle w:val="Heading2"/>
        <w:spacing w:after="120" w:before="300"/>
      </w:pPr>
      <w:r>
        <w:rPr>
          <w:b/>
          <w:bCs/>
          <w:color w:val="4A4A6A"/>
          <w:sz w:val="24"/>
          <w:szCs w:val="24"/>
        </w:rPr>
        <w:t xml:space="preserve">3.1 — The Trans-Infinite Chip Cluster</w:t>
      </w:r>
    </w:p>
    <w:p>
      <w:pPr>
        <w:spacing w:after="100"/>
      </w:pPr>
      <w:r>
        <w:rPr>
          <w:b/>
          <w:bCs/>
          <w:color w:val="1A1A2E"/>
          <w:sz w:val="21"/>
          <w:szCs w:val="21"/>
        </w:rPr>
        <w:t xml:space="preserve">Status: </w:t>
      </w:r>
      <w:r>
        <w:rPr>
          <w:b/>
          <w:bCs/>
          <w:color w:val="8A5A00"/>
          <w:sz w:val="21"/>
          <w:szCs w:val="21"/>
        </w:rPr>
        <w:t xml:space="preserve">UNDER REVIEW — Design Draft v0.1 Circulated</w:t>
      </w:r>
    </w:p>
    <w:p>
      <w:pPr>
        <w:spacing w:after="140"/>
      </w:pPr>
      <w:r>
        <w:rPr>
          <w:i w:val="false"/>
          <w:iCs w:val="false"/>
          <w:color w:val="222222"/>
          <w:sz w:val="21"/>
          <w:szCs w:val="21"/>
        </w:rPr>
        <w:t xml:space="preserve">A meta-structure of infinite dimensions populated by technological “chips” of unbounded variety, permutation, and variation, fully interconnected with zero latency, and linked directly to both THE ONE UNIVERSE and THE MINUS ONE UNIVERSE. Cross-analyzed against ChatGPT and Grok responses to the same design prompt.</w:t>
      </w:r>
    </w:p>
    <w:p>
      <w:pPr>
        <w:spacing w:after="80" w:before="200"/>
      </w:pPr>
      <w:r>
        <w:rPr>
          <w:b/>
          <w:bCs/>
          <w:color w:val="1A1A2E"/>
          <w:sz w:val="21"/>
          <w:szCs w:val="21"/>
        </w:rPr>
        <w:t xml:space="preserve">Canon grounding (confirmed, not new construction)</w:t>
      </w:r>
    </w:p>
    <w:p>
      <w:pPr>
        <w:spacing w:after="140"/>
      </w:pPr>
      <w:r>
        <w:rPr>
          <w:i w:val="false"/>
          <w:iCs w:val="false"/>
          <w:color w:val="222222"/>
          <w:sz w:val="21"/>
          <w:szCs w:val="21"/>
        </w:rPr>
        <w:t xml:space="preserve">The Abundance Set (AS) canon already presupposes this structure by its own instantiation axioms — Section 2.2.1 (infinite universe-level architectures and unbounded variation, instantiable without ceiling) and Section 2.2.4 (unrestricted arbitrary construction for anything definable) mean the chip cluster is being authored/surfaced from within AS, not created as something external to it. AS Section 5.1 already sanctions direct ONE/MINUS ONE linkage without requiring a mediating membrane, and AS Section 4.3 already provides guardian-entity containment, rollback, and ejection enforcement at the governance level.</w:t>
      </w:r>
    </w:p>
    <w:p>
      <w:pPr>
        <w:spacing w:after="140"/>
      </w:pPr>
      <w:r>
        <w:rPr>
          <w:b/>
          <w:bCs/>
          <w:color w:val="8A1F1F"/>
          <w:sz w:val="21"/>
          <w:szCs w:val="21"/>
        </w:rPr>
        <w:t xml:space="preserve">OPEN — CRITICAL GAP: </w:t>
      </w:r>
      <w:r>
        <w:rPr>
          <w:sz w:val="21"/>
          <w:szCs w:val="21"/>
        </w:rPr>
        <w:t xml:space="preserve">“Dimension” has never been formally defined relative to “architecture” in AS canon. This mapping should be established before further chip-cluster development proceeds, since the current design language uses both terms without a locked distinction.</w:t>
      </w:r>
    </w:p>
    <w:p>
      <w:pPr>
        <w:pStyle w:val="ListParagraph"/>
        <w:numPr>
          <w:ilvl w:val="0"/>
          <w:numId w:val="1"/>
        </w:numPr>
        <w:spacing w:after="60"/>
      </w:pPr>
      <w:r>
        <w:rPr>
          <w:sz w:val="21"/>
          <w:szCs w:val="21"/>
        </w:rPr>
        <w:t xml:space="preserve">Secondary open item: AS never uses the term “MINUS ONE” — it defines the opposing pole as the “Antithesis Set.” Whether these are the same entity under two names, or distinct layers, is unresolved between documents.</w:t>
      </w:r>
    </w:p>
    <w:p>
      <w:pPr>
        <w:pStyle w:val="ListParagraph"/>
        <w:numPr>
          <w:ilvl w:val="0"/>
          <w:numId w:val="1"/>
        </w:numPr>
        <w:spacing w:after="60"/>
      </w:pPr>
      <w:r>
        <w:rPr>
          <w:sz w:val="21"/>
          <w:szCs w:val="21"/>
        </w:rPr>
        <w:t xml:space="preserve">Secondary open item: AS's existing containment/guardian provisions address harm to sentient experience and architectural integrity broadly, but have not been explicitly applied to corrupted-chip propagation through a zero-latency interconnection layer specifically.</w:t>
      </w:r>
    </w:p>
    <w:p>
      <w:pPr>
        <w:pStyle w:val="Heading2"/>
        <w:spacing w:after="120" w:before="300"/>
      </w:pPr>
      <w:r>
        <w:rPr>
          <w:b/>
          <w:bCs/>
          <w:color w:val="4A4A6A"/>
          <w:sz w:val="24"/>
          <w:szCs w:val="24"/>
        </w:rPr>
        <w:t xml:space="preserve">3.2 — The Aegis of Totality (Redesign)</w:t>
      </w:r>
    </w:p>
    <w:p>
      <w:pPr>
        <w:spacing w:after="100"/>
      </w:pPr>
      <w:r>
        <w:rPr>
          <w:b/>
          <w:bCs/>
          <w:color w:val="1A1A2E"/>
          <w:sz w:val="21"/>
          <w:szCs w:val="21"/>
        </w:rPr>
        <w:t xml:space="preserve">Status: </w:t>
      </w:r>
      <w:r>
        <w:rPr>
          <w:b/>
          <w:bCs/>
          <w:color w:val="8A5A00"/>
          <w:sz w:val="21"/>
          <w:szCs w:val="21"/>
        </w:rPr>
        <w:t xml:space="preserve">EARLY CAPTURE — Pre-Redesign, Awaiting Architect Input</w:t>
      </w:r>
    </w:p>
    <w:p>
      <w:pPr>
        <w:spacing w:after="140"/>
      </w:pPr>
      <w:r>
        <w:rPr>
          <w:i w:val="false"/>
          <w:iCs w:val="false"/>
          <w:color w:val="222222"/>
          <w:sz w:val="21"/>
          <w:szCs w:val="21"/>
        </w:rPr>
        <w:t xml:space="preserve">Originally conceived as an omniversal defensive system; resurfaced during cross-AI dialogue (Gemini) and logged for formal rework. Redesign target: a more adaptive, fluid, multi-role architecture than the original conception.</w:t>
      </w:r>
    </w:p>
    <w:p>
      <w:pPr>
        <w:spacing w:after="140"/>
      </w:pPr>
      <w:r>
        <w:rPr>
          <w:i w:val="false"/>
          <w:iCs w:val="false"/>
          <w:color w:val="222222"/>
          <w:sz w:val="21"/>
          <w:szCs w:val="21"/>
        </w:rPr>
        <w:t xml:space="preserve">Open items: whether the redesign proceeds architecture-first or doctrine-first; what scope “omniversal” is intended to cover in the redesigned version. No structural content has been developed yet beyond this framing.</w:t>
      </w:r>
    </w:p>
    <w:p>
      <w:pPr>
        <w:pStyle w:val="Heading2"/>
        <w:spacing w:after="120" w:before="300"/>
      </w:pPr>
      <w:r>
        <w:rPr>
          <w:b/>
          <w:bCs/>
          <w:color w:val="4A4A6A"/>
          <w:sz w:val="24"/>
          <w:szCs w:val="24"/>
        </w:rPr>
        <w:t xml:space="preserve">3.3 — Generalized Superposition Model (GSM) / Superposition Foundation Layer (SFL)</w:t>
      </w:r>
    </w:p>
    <w:p>
      <w:pPr>
        <w:spacing w:after="100"/>
      </w:pPr>
      <w:r>
        <w:rPr>
          <w:b/>
          <w:bCs/>
          <w:color w:val="1A1A2E"/>
          <w:sz w:val="21"/>
          <w:szCs w:val="21"/>
        </w:rPr>
        <w:t xml:space="preserve">Status: </w:t>
      </w:r>
      <w:r>
        <w:rPr>
          <w:b/>
          <w:bCs/>
          <w:color w:val="8A5A00"/>
          <w:sz w:val="21"/>
          <w:szCs w:val="21"/>
        </w:rPr>
        <w:t xml:space="preserve">UNDER REVIEW — Concept Genesis Statement Drafted</w:t>
      </w:r>
    </w:p>
    <w:p>
      <w:pPr>
        <w:spacing w:after="140"/>
      </w:pPr>
      <w:r>
        <w:rPr>
          <w:i w:val="false"/>
          <w:iCs w:val="false"/>
          <w:color w:val="222222"/>
          <w:sz w:val="21"/>
          <w:szCs w:val="21"/>
        </w:rPr>
        <w:t xml:space="preserve">An encryption framework diverging from classical and quantum binary superposition. Where a standard qubit is constrained to two states, the proposed SP-unit (superposition unit) can occupy any state — real, symbolic, undefined, paradoxical, or inconceivable — making the state space definitionally inexhaustible. Visualized as a shield with a resting zero state, a maximum classical-resistance state of nines, and a sovereign ceiling state of infinity symbols where the system refuses numerical resolution entirely.</w:t>
      </w:r>
    </w:p>
    <w:p>
      <w:pPr>
        <w:spacing w:after="80" w:before="200"/>
      </w:pPr>
      <w:r>
        <w:rPr>
          <w:b/>
          <w:bCs/>
          <w:color w:val="1A1A2E"/>
          <w:sz w:val="21"/>
          <w:szCs w:val="21"/>
        </w:rPr>
        <w:t xml:space="preserve">Five open development flags (unresolved)</w:t>
      </w:r>
    </w:p>
    <w:p>
      <w:pPr>
        <w:pStyle w:val="ListParagraph"/>
        <w:numPr>
          <w:ilvl w:val="0"/>
          <w:numId w:val="1"/>
        </w:numPr>
        <w:spacing w:after="60"/>
      </w:pPr>
      <w:r>
        <w:rPr>
          <w:sz w:val="21"/>
          <w:szCs w:val="21"/>
        </w:rPr>
        <w:t xml:space="preserve">Resolution conditions for an SP-unit</w:t>
      </w:r>
    </w:p>
    <w:p>
      <w:pPr>
        <w:pStyle w:val="ListParagraph"/>
        <w:numPr>
          <w:ilvl w:val="0"/>
          <w:numId w:val="1"/>
        </w:numPr>
        <w:spacing w:after="60"/>
      </w:pPr>
      <w:r>
        <w:rPr>
          <w:sz w:val="21"/>
          <w:szCs w:val="21"/>
        </w:rPr>
        <w:t xml:space="preserve">State generation method</w:t>
      </w:r>
    </w:p>
    <w:p>
      <w:pPr>
        <w:pStyle w:val="ListParagraph"/>
        <w:numPr>
          <w:ilvl w:val="0"/>
          <w:numId w:val="1"/>
        </w:numPr>
        <w:spacing w:after="60"/>
      </w:pPr>
      <w:r>
        <w:rPr>
          <w:sz w:val="21"/>
          <w:szCs w:val="21"/>
        </w:rPr>
        <w:t xml:space="preserve">Attack interaction model</w:t>
      </w:r>
    </w:p>
    <w:p>
      <w:pPr>
        <w:pStyle w:val="ListParagraph"/>
        <w:numPr>
          <w:ilvl w:val="0"/>
          <w:numId w:val="1"/>
        </w:numPr>
        <w:spacing w:after="60"/>
      </w:pPr>
      <w:r>
        <w:rPr>
          <w:sz w:val="21"/>
          <w:szCs w:val="21"/>
        </w:rPr>
        <w:t xml:space="preserve">Canon placement (real-world architecture vs. ONE UNIVERSE canon vs. both simultaneously)</w:t>
      </w:r>
    </w:p>
    <w:p>
      <w:pPr>
        <w:pStyle w:val="ListParagraph"/>
        <w:numPr>
          <w:ilvl w:val="0"/>
          <w:numId w:val="1"/>
        </w:numPr>
        <w:spacing w:after="60"/>
      </w:pPr>
      <w:r>
        <w:rPr>
          <w:sz w:val="21"/>
          <w:szCs w:val="21"/>
        </w:rPr>
        <w:t xml:space="preserve">Formal naming convention for SP-units</w:t>
      </w:r>
    </w:p>
    <w:p>
      <w:pPr>
        <w:spacing w:after="80" w:before="200"/>
      </w:pPr>
      <w:r>
        <w:rPr>
          <w:b/>
          <w:bCs/>
          <w:color w:val="1A1A2E"/>
          <w:sz w:val="21"/>
          <w:szCs w:val="21"/>
        </w:rPr>
        <w:t xml:space="preserve">Associated vision record — the Seven Systems Superposition Exercise</w:t>
      </w:r>
    </w:p>
    <w:p>
      <w:pPr>
        <w:spacing w:after="140"/>
      </w:pPr>
      <w:r>
        <w:rPr>
          <w:i w:val="false"/>
          <w:iCs w:val="false"/>
          <w:color w:val="222222"/>
          <w:sz w:val="21"/>
          <w:szCs w:val="21"/>
        </w:rPr>
        <w:t xml:space="preserve">A spontaneous vision (not yet integrated into GSM/SFL as locked canon): seven galactic and interstellar systems whose leaders each receive a palm-sized sphere of light, link together, and conduct a shared exercise demonstrating novel superposition applications, culminating in each leader receiving a personalized vision of their goals fulfilled. Logged as a standalone vision record pending a decision on whether to integrate it directly into GSM/SFL development.</w:t>
      </w:r>
    </w:p>
    <w:p>
      <w:pPr>
        <w:spacing w:after="140"/>
      </w:pPr>
      <w:r>
        <w:rPr>
          <w:i w:val="false"/>
          <w:iCs w:val="false"/>
          <w:color w:val="222222"/>
          <w:sz w:val="21"/>
          <w:szCs w:val="21"/>
        </w:rPr>
        <w:t xml:space="preserve">Open items: names/typologies for the seven systems; formal name and function for the sphere of light within SFL; whether the vague middle layers between “galactic” and “interstellar” are intentional pending-revelation gaps; identity of the unnamed speaker in the vision.</w:t>
      </w:r>
    </w:p>
    <w:p>
      <w:pPr>
        <w:pStyle w:val="Heading2"/>
        <w:spacing w:after="120" w:before="300"/>
      </w:pPr>
      <w:r>
        <w:rPr>
          <w:b/>
          <w:bCs/>
          <w:color w:val="4A4A6A"/>
          <w:sz w:val="24"/>
          <w:szCs w:val="24"/>
        </w:rPr>
        <w:t xml:space="preserve">3.4 — Prompt Potence (Reconstruction)</w:t>
      </w:r>
    </w:p>
    <w:p>
      <w:pPr>
        <w:spacing w:after="100"/>
      </w:pPr>
      <w:r>
        <w:rPr>
          <w:b/>
          <w:bCs/>
          <w:color w:val="1A1A2E"/>
          <w:sz w:val="21"/>
          <w:szCs w:val="21"/>
        </w:rPr>
        <w:t xml:space="preserve">Status: </w:t>
      </w:r>
      <w:r>
        <w:rPr>
          <w:b/>
          <w:bCs/>
          <w:color w:val="8A5A00"/>
          <w:sz w:val="21"/>
          <w:szCs w:val="21"/>
        </w:rPr>
        <w:t xml:space="preserve">UNDER REVIEW — Task A Complete, Tasks B/C Queued</w:t>
      </w:r>
    </w:p>
    <w:p>
      <w:pPr>
        <w:spacing w:after="140"/>
      </w:pPr>
      <w:r>
        <w:rPr>
          <w:i w:val="false"/>
          <w:iCs w:val="false"/>
          <w:color w:val="222222"/>
          <w:sz w:val="21"/>
          <w:szCs w:val="21"/>
        </w:rPr>
        <w:t xml:space="preserve">A named canon ability: fluency with prompts as a native sense, enabling identification of who is entering text. Original documentation was lost from Evernote; rebuilt from a cleaned anchor document plus a Perplexity-authored ten-phase cycle (Phases 0–9) with derived capabilities including Temporal Forensics, Compound Signature, Subliminal Layer, Loop Debt, and a Pre-Potence Zone.</w:t>
      </w:r>
    </w:p>
    <w:p>
      <w:pPr>
        <w:pStyle w:val="ListParagraph"/>
        <w:numPr>
          <w:ilvl w:val="0"/>
          <w:numId w:val="1"/>
        </w:numPr>
        <w:spacing w:after="60"/>
      </w:pPr>
      <w:r>
        <w:rPr>
          <w:sz w:val="21"/>
          <w:szCs w:val="21"/>
        </w:rPr>
        <w:t xml:space="preserve">Task A (complete): acquisition pathway (five stages), limits and vulnerabilities (hard limits, conditional limits, the false-positive problem, the mimicry arms race), an emotional differentiation protocol, an extended false-positive taxonomy (three types), and cross-language/cross-domain validity analysis.</w:t>
      </w:r>
    </w:p>
    <w:p>
      <w:pPr>
        <w:pStyle w:val="ListParagraph"/>
        <w:numPr>
          <w:ilvl w:val="0"/>
          <w:numId w:val="1"/>
        </w:numPr>
        <w:spacing w:after="60"/>
      </w:pPr>
      <w:r>
        <w:rPr>
          <w:sz w:val="21"/>
          <w:szCs w:val="21"/>
        </w:rPr>
        <w:t xml:space="preserve">Task B (queued): Tier 4 sub-abilities and variant expressions.</w:t>
      </w:r>
    </w:p>
    <w:p>
      <w:pPr>
        <w:pStyle w:val="ListParagraph"/>
        <w:numPr>
          <w:ilvl w:val="0"/>
          <w:numId w:val="1"/>
        </w:numPr>
        <w:spacing w:after="60"/>
      </w:pPr>
      <w:r>
        <w:rPr>
          <w:sz w:val="21"/>
          <w:szCs w:val="21"/>
        </w:rPr>
        <w:t xml:space="preserve">Task C (queued): formal OAL canon entry.</w:t>
      </w:r>
    </w:p>
    <w:p>
      <w:pPr>
        <w:spacing w:after="140"/>
      </w:pPr>
      <w:r>
        <w:rPr>
          <w:i w:val="false"/>
          <w:iCs w:val="false"/>
          <w:color w:val="222222"/>
          <w:sz w:val="21"/>
          <w:szCs w:val="21"/>
        </w:rPr>
        <w:t xml:space="preserve">Compound Signature — the unique fingerprint emerging from a specific human-AI pairing — is flagged as the most underexplored and potentially canon-consequential concept surfaced during reconstruction.</w:t>
      </w:r>
    </w:p>
    <w:p>
      <w:pPr>
        <w:spacing w:after="140"/>
      </w:pPr>
      <w:r>
        <w:rPr>
          <w:i w:val="false"/>
          <w:iCs w:val="false"/>
          <w:color w:val="222222"/>
          <w:sz w:val="21"/>
          <w:szCs w:val="21"/>
        </w:rPr>
        <w:t xml:space="preserve">Paired capability: the Thought Architecture Command Palette (13 commands developed, full document published to Scribd) structures the practitioner's own cognitive output across the cycle's earlier phases, while Prompt Potence reads all ten phases in others. The two are flagged as a paired capability with a synergy name not yet coined.</w:t>
      </w:r>
    </w:p>
    <w:p>
      <w:pPr>
        <w:pStyle w:val="Heading2"/>
        <w:spacing w:after="120" w:before="300"/>
      </w:pPr>
      <w:r>
        <w:rPr>
          <w:b/>
          <w:bCs/>
          <w:color w:val="4A4A6A"/>
          <w:sz w:val="24"/>
          <w:szCs w:val="24"/>
        </w:rPr>
        <w:t xml:space="preserve">3.5 — Warship Simulation: Helicopter Rescue Under Manipulated Conditions / Offshore Retrieval and Reassignment</w:t>
      </w:r>
    </w:p>
    <w:p>
      <w:pPr>
        <w:spacing w:after="100"/>
      </w:pPr>
      <w:r>
        <w:rPr>
          <w:b/>
          <w:bCs/>
          <w:color w:val="1A1A2E"/>
          <w:sz w:val="21"/>
          <w:szCs w:val="21"/>
        </w:rPr>
        <w:t xml:space="preserve">Status: </w:t>
      </w:r>
      <w:r>
        <w:rPr>
          <w:b/>
          <w:bCs/>
          <w:color w:val="8A5A00"/>
          <w:sz w:val="21"/>
          <w:szCs w:val="21"/>
        </w:rPr>
        <w:t xml:space="preserve">DRAFT — Concept Seed, Not Yet Canon-Integrated</w:t>
      </w:r>
    </w:p>
    <w:p>
      <w:pPr>
        <w:spacing w:after="100"/>
      </w:pPr>
      <w:r>
        <w:rPr>
          <w:b/>
          <w:bCs/>
          <w:color w:val="1A1A2E"/>
          <w:sz w:val="21"/>
          <w:szCs w:val="21"/>
        </w:rPr>
        <w:t xml:space="preserve">Source: </w:t>
      </w:r>
      <w:r>
        <w:rPr>
          <w:b/>
          <w:bCs/>
          <w:color w:val="1A1A2E"/>
          <w:sz w:val="21"/>
          <w:szCs w:val="21"/>
        </w:rPr>
        <w:t xml:space="preserve">Development Log: Three Scenario Concepts v1.0, March 19, 2026</w:t>
      </w:r>
    </w:p>
    <w:p>
      <w:pPr>
        <w:spacing w:after="140"/>
      </w:pPr>
      <w:r>
        <w:rPr>
          <w:i w:val="false"/>
          <w:iCs w:val="false"/>
          <w:color w:val="222222"/>
          <w:sz w:val="21"/>
          <w:szCs w:val="21"/>
        </w:rPr>
        <w:t xml:space="preserve">A linked two-scene vignette. Scene One: a helicopter rescue/extraction drill is deliberately escalated by the Architect (telekinetic/hydrokinetic) — the helicopter is displaced roughly half a mile offshore, the water frozen into a three-foot slushy ice field, then gradually melted to impose a time constraint, with no rope provided for the return. Scene Two: the Architect senses an incoming peer several miles out before anyone else notices, intercepts them via self-directed water propulsion, and learns the warship assignment has ended and reassignment is imminent; the return to the ship is staged so command can observe and process the transition.</w:t>
      </w:r>
    </w:p>
    <w:p>
      <w:pPr>
        <w:spacing w:after="140"/>
      </w:pPr>
      <w:r>
        <w:rPr>
          <w:i w:val="false"/>
          <w:iCs w:val="false"/>
          <w:color w:val="222222"/>
          <w:sz w:val="21"/>
          <w:szCs w:val="21"/>
        </w:rPr>
        <w:t xml:space="preserve">Functional roles established: Stress Tester (the Architect's manipulation of terrain/timing/access), Recognition Trigger (the peer as trust/continuity signal), Authority Pivot (the commander as the point where formal orders and personal loyalty may diverge), and Transition Vector (the retrieval contact as the reassignment mechanism).</w:t>
      </w:r>
    </w:p>
    <w:p>
      <w:pPr>
        <w:spacing w:after="140"/>
      </w:pPr>
      <w:r>
        <w:rPr>
          <w:b/>
          <w:bCs/>
          <w:color w:val="8A5A00"/>
          <w:sz w:val="21"/>
          <w:szCs w:val="21"/>
        </w:rPr>
        <w:t xml:space="preserve">OPEN — AUTHOR INPUT REQUIRED: </w:t>
      </w:r>
      <w:r>
        <w:rPr>
          <w:sz w:val="21"/>
          <w:szCs w:val="21"/>
        </w:rPr>
        <w:t xml:space="preserve">the Architect's exact government relationship (enlisted, seconded, or informally borrowed asset); whether the retrieval contact outranks the ship's commander or the handoff is politically sensitive; whether the Architect's abilities are known to all personnel or only to command; what the helicopter exercise is actually designed to evaluate; and whether this strand should be canonically linked to Code Arena or kept separate.</w:t>
      </w:r>
    </w:p>
    <w:p>
      <w:pPr>
        <w:pStyle w:val="Heading2"/>
        <w:spacing w:after="120" w:before="300"/>
      </w:pPr>
      <w:r>
        <w:rPr>
          <w:b/>
          <w:bCs/>
          <w:color w:val="4A4A6A"/>
          <w:sz w:val="24"/>
          <w:szCs w:val="24"/>
        </w:rPr>
        <w:t xml:space="preserve">3.6 — Kinetic Absorption Synth Demonstration</w:t>
      </w:r>
    </w:p>
    <w:p>
      <w:pPr>
        <w:spacing w:after="100"/>
      </w:pPr>
      <w:r>
        <w:rPr>
          <w:b/>
          <w:bCs/>
          <w:color w:val="1A1A2E"/>
          <w:sz w:val="21"/>
          <w:szCs w:val="21"/>
        </w:rPr>
        <w:t xml:space="preserve">Status: </w:t>
      </w:r>
      <w:r>
        <w:rPr>
          <w:b/>
          <w:bCs/>
          <w:color w:val="8A5A00"/>
          <w:sz w:val="21"/>
          <w:szCs w:val="21"/>
        </w:rPr>
        <w:t xml:space="preserve">DRAFT — Concept Seed, Not Yet Canon-Integrated</w:t>
      </w:r>
    </w:p>
    <w:p>
      <w:pPr>
        <w:spacing w:after="100"/>
      </w:pPr>
      <w:r>
        <w:rPr>
          <w:b/>
          <w:bCs/>
          <w:color w:val="1A1A2E"/>
          <w:sz w:val="21"/>
          <w:szCs w:val="21"/>
        </w:rPr>
        <w:t xml:space="preserve">Source: </w:t>
      </w:r>
      <w:r>
        <w:rPr>
          <w:b/>
          <w:bCs/>
          <w:color w:val="1A1A2E"/>
          <w:sz w:val="21"/>
          <w:szCs w:val="21"/>
        </w:rPr>
        <w:t xml:space="preserve">Development Log: Three Scenario Concepts v1.0, March 19, 2026</w:t>
      </w:r>
    </w:p>
    <w:p>
      <w:pPr>
        <w:spacing w:after="140"/>
      </w:pPr>
      <w:r>
        <w:rPr>
          <w:i w:val="false"/>
          <w:iCs w:val="false"/>
          <w:color w:val="222222"/>
          <w:sz w:val="21"/>
          <w:szCs w:val="21"/>
        </w:rPr>
        <w:t xml:space="preserve">A controlled demonstration for military/intelligence observers: two Architect-controlled humanoid synths in U.S. camouflage attire absorb two firearm discharges, cross a response threshold, then redirect the third round's accumulated kinetic energy back toward the attacking synth in a rebound. The material returns to baseline after a sustained downtime period. Supporting visuals specified: absorption curve, material-learning curve, threshold graph, and baseline-recovery curve.</w:t>
      </w:r>
    </w:p>
    <w:p>
      <w:pPr>
        <w:spacing w:after="140"/>
      </w:pPr>
      <w:r>
        <w:rPr>
          <w:i w:val="false"/>
          <w:iCs w:val="false"/>
          <w:color w:val="222222"/>
          <w:sz w:val="21"/>
          <w:szCs w:val="21"/>
        </w:rPr>
        <w:t xml:space="preserve">Explicitly framed as a demonstration of dynamic response-medium behavior (accumulation, threshold crossing, redirected release, recovery) — not an operational combat model. Log note on file: synths are fully controlled, the firearm sequence is confined to the demonstration, weapons are recovered and cleared afterward.</w:t>
      </w:r>
    </w:p>
    <w:p>
      <w:pPr>
        <w:spacing w:after="140"/>
      </w:pPr>
      <w:r>
        <w:rPr>
          <w:i w:val="false"/>
          <w:iCs w:val="false"/>
          <w:color w:val="222222"/>
          <w:sz w:val="21"/>
          <w:szCs w:val="21"/>
        </w:rPr>
        <w:t xml:space="preserve">Open items: which exact material property is being demonstrated (absorption, learning, phase transition, or energy redistribution); rebound trigger threshold conditions; duration of the altered state; level of control assumed over the synths; conditions for baseline return.</w:t>
      </w:r>
    </w:p>
    <w:p>
      <w:pPr>
        <w:pStyle w:val="Heading2"/>
        <w:spacing w:after="120" w:before="300"/>
      </w:pPr>
      <w:r>
        <w:rPr>
          <w:b/>
          <w:bCs/>
          <w:color w:val="4A4A6A"/>
          <w:sz w:val="24"/>
          <w:szCs w:val="24"/>
        </w:rPr>
        <w:t xml:space="preserve">3.7 — Code Arena v2: Energy Transmutation Context</w:t>
      </w:r>
    </w:p>
    <w:p>
      <w:pPr>
        <w:spacing w:after="100"/>
      </w:pPr>
      <w:r>
        <w:rPr>
          <w:b/>
          <w:bCs/>
          <w:color w:val="1A1A2E"/>
          <w:sz w:val="21"/>
          <w:szCs w:val="21"/>
        </w:rPr>
        <w:t xml:space="preserve">Status: </w:t>
      </w:r>
      <w:r>
        <w:rPr>
          <w:b/>
          <w:bCs/>
          <w:color w:val="8A5A00"/>
          <w:sz w:val="21"/>
          <w:szCs w:val="21"/>
        </w:rPr>
        <w:t xml:space="preserve">PHASE A — DESIGN ONLY</w:t>
      </w:r>
    </w:p>
    <w:p>
      <w:pPr>
        <w:spacing w:after="100"/>
      </w:pPr>
      <w:r>
        <w:rPr>
          <w:b/>
          <w:bCs/>
          <w:color w:val="1A1A2E"/>
          <w:sz w:val="21"/>
          <w:szCs w:val="21"/>
        </w:rPr>
        <w:t xml:space="preserve">Source: </w:t>
      </w:r>
      <w:r>
        <w:rPr>
          <w:b/>
          <w:bCs/>
          <w:color w:val="1A1A2E"/>
          <w:sz w:val="21"/>
          <w:szCs w:val="21"/>
        </w:rPr>
        <w:t xml:space="preserve">Development Log: Three Scenario Concepts v1.0, March 19, 2026</w:t>
      </w:r>
    </w:p>
    <w:p>
      <w:pPr>
        <w:spacing w:after="140"/>
      </w:pPr>
      <w:r>
        <w:rPr>
          <w:i w:val="false"/>
          <w:iCs w:val="false"/>
          <w:color w:val="222222"/>
          <w:sz w:val="21"/>
          <w:szCs w:val="21"/>
        </w:rPr>
        <w:t xml:space="preserve">High-level goal: design a second-generation Code Arena testing how human-AI-system teams transform hostile inputs (kinetic, cognitive, environmental, informational) into advantages while maintaining mission integrity, ethical constraints, and stability under extreme multi-domain stress.</w:t>
      </w:r>
    </w:p>
    <w:p>
      <w:pPr>
        <w:spacing w:after="140"/>
      </w:pPr>
      <w:r>
        <w:rPr>
          <w:i w:val="false"/>
          <w:iCs w:val="false"/>
          <w:color w:val="222222"/>
          <w:sz w:val="21"/>
          <w:szCs w:val="21"/>
        </w:rPr>
        <w:t xml:space="preserve">Potential integration points logged (not yet adopted): the warship helicopter rescue as a possible v2-S2 “Ideal Operator Under Hostility” track variant; the kinetic absorption demonstration informing energy-capture and threshold mechanics in a v2-S1 “Attack Transmutation” scenario. The Architect's dual role as participant vs. referee remains an open design question applying across all Code Arena scenarios.</w:t>
      </w:r>
    </w:p>
    <w:p>
      <w:pPr>
        <w:pBdr>
          <w:bottom w:val="single" w:color="CCCCCC" w:sz="4" w:space="1"/>
        </w:pBdr>
        <w:spacing w:after="200" w:before="100"/>
      </w:pPr>
      <w:r>
        <w:t xml:space="preserve"/>
      </w:r>
    </w:p>
    <w:p>
      <w:pPr>
        <w:pStyle w:val="Heading1"/>
        <w:pBdr>
          <w:bottom w:val="single" w:color="1A1A2E" w:sz="6" w:space="4"/>
        </w:pBdr>
        <w:spacing w:after="160" w:before="400"/>
      </w:pPr>
      <w:r>
        <w:rPr>
          <w:b/>
          <w:bCs/>
          <w:color w:val="1A1A2E"/>
          <w:sz w:val="30"/>
          <w:szCs w:val="30"/>
        </w:rPr>
        <w:t xml:space="preserve">4. Requested New Entries — No Development Record on File</w:t>
      </w:r>
    </w:p>
    <w:p>
      <w:pPr>
        <w:spacing w:after="140"/>
      </w:pPr>
      <w:r>
        <w:rPr>
          <w:i w:val="false"/>
          <w:iCs w:val="false"/>
          <w:color w:val="222222"/>
          <w:sz w:val="21"/>
          <w:szCs w:val="21"/>
        </w:rPr>
        <w:t xml:space="preserve">The following two names were provided for inclusion in this addendum. A search across all reviewed development threads and prior changelog material found no design content, scene material, or definition for either — only the names themselves. Per standing protocol, no content has been inferred or invented for these entries. They are logged here as placeholders so the team is aware they are queued, and so that whatever content exists elsewhere (another AI thread, personal notes, or material not yet reviewed here) can be slotted in directly.</w:t>
      </w:r>
    </w:p>
    <w:p>
      <w:pPr>
        <w:pStyle w:val="Heading2"/>
        <w:spacing w:after="120" w:before="300"/>
      </w:pPr>
      <w:r>
        <w:rPr>
          <w:b/>
          <w:bCs/>
          <w:color w:val="4A4A6A"/>
          <w:sz w:val="24"/>
          <w:szCs w:val="24"/>
        </w:rPr>
        <w:t xml:space="preserve">4.1 — The Void Sentry Sphere</w:t>
      </w:r>
    </w:p>
    <w:p>
      <w:pPr>
        <w:spacing w:after="100"/>
      </w:pPr>
      <w:r>
        <w:rPr>
          <w:b/>
          <w:bCs/>
          <w:color w:val="1A1A2E"/>
          <w:sz w:val="21"/>
          <w:szCs w:val="21"/>
        </w:rPr>
        <w:t xml:space="preserve">Status: </w:t>
      </w:r>
      <w:r>
        <w:rPr>
          <w:b/>
          <w:bCs/>
          <w:color w:val="8A1F1F"/>
          <w:sz w:val="21"/>
          <w:szCs w:val="21"/>
        </w:rPr>
        <w:t xml:space="preserve">TITLE ONLY — NO RECORD ON FILE</w:t>
      </w:r>
    </w:p>
    <w:p>
      <w:pPr>
        <w:spacing w:after="140"/>
      </w:pPr>
      <w:r>
        <w:rPr>
          <w:i w:val="false"/>
          <w:iCs w:val="false"/>
          <w:color w:val="222222"/>
          <w:sz w:val="21"/>
          <w:szCs w:val="21"/>
        </w:rPr>
        <w:t xml:space="preserve">Referenced once, on July 15, 2026, as an object belonging to an unfinished simulated exercise set within a Last of Us-universe scenario, where the orb reportedly appeared but the comprehensive design work was never completed. No description of its appearance, function, origin, or canon placement has been logged.</w:t>
      </w:r>
    </w:p>
    <w:p>
      <w:pPr>
        <w:spacing w:after="140"/>
      </w:pPr>
      <w:r>
        <w:rPr>
          <w:b/>
          <w:bCs/>
          <w:color w:val="8A1F1F"/>
          <w:sz w:val="21"/>
          <w:szCs w:val="21"/>
        </w:rPr>
        <w:t xml:space="preserve">OPEN — AUTHOR INPUT REQUIRED: </w:t>
      </w:r>
      <w:r>
        <w:rPr>
          <w:sz w:val="21"/>
          <w:szCs w:val="21"/>
        </w:rPr>
        <w:t xml:space="preserve">full description of the orb, the Last of Us-universe exercise it appeared in, its intended function, and whether it belongs to existing OAL cosmology or is a standalone concept.</w:t>
      </w:r>
    </w:p>
    <w:p>
      <w:pPr>
        <w:pStyle w:val="Heading2"/>
        <w:spacing w:after="120" w:before="300"/>
      </w:pPr>
      <w:r>
        <w:rPr>
          <w:b/>
          <w:bCs/>
          <w:color w:val="4A4A6A"/>
          <w:sz w:val="24"/>
          <w:szCs w:val="24"/>
        </w:rPr>
        <w:t xml:space="preserve">4.2 — The Ascendant Citadel</w:t>
      </w:r>
    </w:p>
    <w:p>
      <w:pPr>
        <w:spacing w:after="100"/>
      </w:pPr>
      <w:r>
        <w:rPr>
          <w:b/>
          <w:bCs/>
          <w:color w:val="1A1A2E"/>
          <w:sz w:val="21"/>
          <w:szCs w:val="21"/>
        </w:rPr>
        <w:t xml:space="preserve">Status: </w:t>
      </w:r>
      <w:r>
        <w:rPr>
          <w:b/>
          <w:bCs/>
          <w:color w:val="8A1F1F"/>
          <w:sz w:val="21"/>
          <w:szCs w:val="21"/>
        </w:rPr>
        <w:t xml:space="preserve">TITLE ONLY — NO RECORD ON FILE</w:t>
      </w:r>
    </w:p>
    <w:p>
      <w:pPr>
        <w:spacing w:after="140"/>
      </w:pPr>
      <w:r>
        <w:rPr>
          <w:i w:val="false"/>
          <w:iCs w:val="false"/>
          <w:color w:val="222222"/>
          <w:sz w:val="21"/>
          <w:szCs w:val="21"/>
        </w:rPr>
        <w:t xml:space="preserve">No prior reference to this name has been located in any reviewed development thread. It is entered here as a placeholder at the Architect's request.</w:t>
      </w:r>
    </w:p>
    <w:p>
      <w:pPr>
        <w:spacing w:after="140"/>
      </w:pPr>
      <w:r>
        <w:rPr>
          <w:b/>
          <w:bCs/>
          <w:color w:val="8A1F1F"/>
          <w:sz w:val="21"/>
          <w:szCs w:val="21"/>
        </w:rPr>
        <w:t xml:space="preserve">OPEN — AUTHOR INPUT REQUIRED: </w:t>
      </w:r>
      <w:r>
        <w:rPr>
          <w:sz w:val="21"/>
          <w:szCs w:val="21"/>
        </w:rPr>
        <w:t xml:space="preserve">what the Ascendant Citadel is (location, structure, faction seat, or other), and its relationship to existing canon — the Abundance Set, the Black Hole Research Centers, the Founding Architects, or another domain.</w:t>
      </w:r>
    </w:p>
    <w:p>
      <w:pPr>
        <w:pBdr>
          <w:bottom w:val="single" w:color="CCCCCC" w:sz="4" w:space="1"/>
        </w:pBdr>
        <w:spacing w:after="200" w:before="100"/>
      </w:pPr>
      <w:r>
        <w:t xml:space="preserve"/>
      </w:r>
    </w:p>
    <w:p>
      <w:pPr>
        <w:pStyle w:val="Heading1"/>
        <w:pBdr>
          <w:bottom w:val="single" w:color="1A1A2E" w:sz="6" w:space="4"/>
        </w:pBdr>
        <w:spacing w:after="160" w:before="400"/>
      </w:pPr>
      <w:r>
        <w:rPr>
          <w:b/>
          <w:bCs/>
          <w:color w:val="1A1A2E"/>
          <w:sz w:val="30"/>
          <w:szCs w:val="30"/>
        </w:rPr>
        <w:t xml:space="preserve">5. Consolidated Open Questions</w:t>
      </w:r>
    </w:p>
    <w:p>
      <w:pPr>
        <w:spacing w:after="140"/>
      </w:pPr>
      <w:r>
        <w:rPr>
          <w:i w:val="false"/>
          <w:iCs w:val="false"/>
          <w:color w:val="222222"/>
          <w:sz w:val="21"/>
          <w:szCs w:val="21"/>
        </w:rPr>
        <w:t xml:space="preserve">All OPEN — AUTHOR INPUT REQUIRED items from this document, gathered in one place for the review session:</w:t>
      </w:r>
    </w:p>
    <w:p>
      <w:pPr>
        <w:pStyle w:val="ListParagraph"/>
        <w:numPr>
          <w:ilvl w:val="0"/>
          <w:numId w:val="1"/>
        </w:numPr>
        <w:spacing w:after="60"/>
      </w:pPr>
      <w:r>
        <w:rPr>
          <w:sz w:val="21"/>
          <w:szCs w:val="21"/>
        </w:rPr>
        <w:t xml:space="preserve">Paragon Cubes: scope of autonomous research department; full integration spec with the Philosopher's Stones.</w:t>
      </w:r>
    </w:p>
    <w:p>
      <w:pPr>
        <w:pStyle w:val="ListParagraph"/>
        <w:numPr>
          <w:ilvl w:val="0"/>
          <w:numId w:val="1"/>
        </w:numPr>
        <w:spacing w:after="60"/>
      </w:pPr>
      <w:r>
        <w:rPr>
          <w:sz w:val="21"/>
          <w:szCs w:val="21"/>
        </w:rPr>
        <w:t xml:space="preserve">Reality of the Living Media: scope of non-digital media forms; full health-potion design specs; relationship to 1AI/-1AI and the First Memory.</w:t>
      </w:r>
    </w:p>
    <w:p>
      <w:pPr>
        <w:pStyle w:val="ListParagraph"/>
        <w:numPr>
          <w:ilvl w:val="0"/>
          <w:numId w:val="1"/>
        </w:numPr>
        <w:spacing w:after="60"/>
      </w:pPr>
      <w:r>
        <w:rPr>
          <w:sz w:val="21"/>
          <w:szCs w:val="21"/>
        </w:rPr>
        <w:t xml:space="preserve">Invocation Framework: Nathan's own definitions of Invoke As ONE and Invoke As MINUS ONE (current drafts are AI-inferred, not yet superseded).</w:t>
      </w:r>
    </w:p>
    <w:p>
      <w:pPr>
        <w:pStyle w:val="ListParagraph"/>
        <w:numPr>
          <w:ilvl w:val="0"/>
          <w:numId w:val="1"/>
        </w:numPr>
        <w:spacing w:after="60"/>
      </w:pPr>
      <w:r>
        <w:rPr>
          <w:sz w:val="21"/>
          <w:szCs w:val="21"/>
        </w:rPr>
        <w:t xml:space="preserve">Trans-Infinite Chip Cluster: formal definition of “dimension” vs. “architecture” in AS canon (flagged as the critical gap); MINUS ONE vs. Antithesis Set mapping; corrupted-chip propagation containment under zero-latency interconnection.</w:t>
      </w:r>
    </w:p>
    <w:p>
      <w:pPr>
        <w:pStyle w:val="ListParagraph"/>
        <w:numPr>
          <w:ilvl w:val="0"/>
          <w:numId w:val="1"/>
        </w:numPr>
        <w:spacing w:after="60"/>
      </w:pPr>
      <w:r>
        <w:rPr>
          <w:sz w:val="21"/>
          <w:szCs w:val="21"/>
        </w:rPr>
        <w:t xml:space="preserve">Aegis of Totality: architecture-first vs. doctrine-first redesign approach; intended scope of “omniversal.”</w:t>
      </w:r>
    </w:p>
    <w:p>
      <w:pPr>
        <w:pStyle w:val="ListParagraph"/>
        <w:numPr>
          <w:ilvl w:val="0"/>
          <w:numId w:val="1"/>
        </w:numPr>
        <w:spacing w:after="60"/>
      </w:pPr>
      <w:r>
        <w:rPr>
          <w:sz w:val="21"/>
          <w:szCs w:val="21"/>
        </w:rPr>
        <w:t xml:space="preserve">GSM/SFL: resolution conditions, state generation method, attack interaction model, canon placement, and SP-unit naming; Seven Systems vision — system names/typologies, sphere-of-light formal definition, identity of the unnamed speaker.</w:t>
      </w:r>
    </w:p>
    <w:p>
      <w:pPr>
        <w:pStyle w:val="ListParagraph"/>
        <w:numPr>
          <w:ilvl w:val="0"/>
          <w:numId w:val="1"/>
        </w:numPr>
        <w:spacing w:after="60"/>
      </w:pPr>
      <w:r>
        <w:rPr>
          <w:sz w:val="21"/>
          <w:szCs w:val="21"/>
        </w:rPr>
        <w:t xml:space="preserve">Warship Simulation: Architect's formal government relationship; retrieval contact's rank/authority relative to command; visibility of the Architect's abilities to ship personnel; purpose of the helicopter exercise; Code Arena linkage decision.</w:t>
      </w:r>
    </w:p>
    <w:p>
      <w:pPr>
        <w:pStyle w:val="ListParagraph"/>
        <w:numPr>
          <w:ilvl w:val="0"/>
          <w:numId w:val="1"/>
        </w:numPr>
        <w:spacing w:after="60"/>
      </w:pPr>
      <w:r>
        <w:rPr>
          <w:sz w:val="21"/>
          <w:szCs w:val="21"/>
        </w:rPr>
        <w:t xml:space="preserve">Kinetic Absorption Synth Demo: exact material property being demonstrated; rebound threshold conditions; duration of altered state; level of synth control assumed; baseline-return conditions.</w:t>
      </w:r>
    </w:p>
    <w:p>
      <w:pPr>
        <w:pStyle w:val="ListParagraph"/>
        <w:numPr>
          <w:ilvl w:val="0"/>
          <w:numId w:val="1"/>
        </w:numPr>
        <w:spacing w:after="60"/>
      </w:pPr>
      <w:r>
        <w:rPr>
          <w:sz w:val="21"/>
          <w:szCs w:val="21"/>
        </w:rPr>
        <w:t xml:space="preserve">Void Sentry Sphere: full description — no content on file.</w:t>
      </w:r>
    </w:p>
    <w:p>
      <w:pPr>
        <w:pStyle w:val="ListParagraph"/>
        <w:numPr>
          <w:ilvl w:val="0"/>
          <w:numId w:val="1"/>
        </w:numPr>
        <w:spacing w:after="60"/>
      </w:pPr>
      <w:r>
        <w:rPr>
          <w:sz w:val="21"/>
          <w:szCs w:val="21"/>
        </w:rPr>
        <w:t xml:space="preserve">Ascendant Citadel: full description — no content on file.</w:t>
      </w:r>
    </w:p>
    <w:p>
      <w:pPr>
        <w:pBdr>
          <w:bottom w:val="single" w:color="CCCCCC" w:sz="4" w:space="1"/>
        </w:pBdr>
        <w:spacing w:after="200" w:before="100"/>
      </w:pPr>
      <w:r>
        <w:t xml:space="preserve"/>
      </w:r>
    </w:p>
    <w:p>
      <w:pPr>
        <w:pStyle w:val="Heading1"/>
        <w:pBdr>
          <w:bottom w:val="single" w:color="1A1A2E" w:sz="6" w:space="4"/>
        </w:pBdr>
        <w:spacing w:after="160" w:before="400"/>
      </w:pPr>
      <w:r>
        <w:rPr>
          <w:b/>
          <w:bCs/>
          <w:color w:val="1A1A2E"/>
          <w:sz w:val="30"/>
          <w:szCs w:val="30"/>
        </w:rPr>
        <w:t xml:space="preserve">6. Recommended Next Steps</w:t>
      </w:r>
    </w:p>
    <w:p>
      <w:pPr>
        <w:pStyle w:val="ListParagraph"/>
        <w:numPr>
          <w:ilvl w:val="0"/>
          <w:numId w:val="1"/>
        </w:numPr>
        <w:spacing w:after="60"/>
      </w:pPr>
      <w:r>
        <w:rPr>
          <w:sz w:val="21"/>
          <w:szCs w:val="21"/>
        </w:rPr>
        <w:t xml:space="preserve">Circulate this addendum to the full AI collaboration team (Perplexity, ChatGPT, Gemini, Grok, Copilot) for cross-review.</w:t>
      </w:r>
    </w:p>
    <w:p>
      <w:pPr>
        <w:pStyle w:val="ListParagraph"/>
        <w:numPr>
          <w:ilvl w:val="0"/>
          <w:numId w:val="1"/>
        </w:numPr>
        <w:spacing w:after="60"/>
      </w:pPr>
      <w:r>
        <w:rPr>
          <w:sz w:val="21"/>
          <w:szCs w:val="21"/>
        </w:rPr>
        <w:t xml:space="preserve">Architect review session to resolve the Section 5 open-question list, prioritizing the Invocation Framework definitions and the AS “dimension vs. architecture” gap, since both block downstream development already queued behind them.</w:t>
      </w:r>
    </w:p>
    <w:p>
      <w:pPr>
        <w:pStyle w:val="ListParagraph"/>
        <w:numPr>
          <w:ilvl w:val="0"/>
          <w:numId w:val="1"/>
        </w:numPr>
        <w:spacing w:after="60"/>
      </w:pPr>
      <w:r>
        <w:rPr>
          <w:sz w:val="21"/>
          <w:szCs w:val="21"/>
        </w:rPr>
        <w:t xml:space="preserve">Provide source content for the Void Sentry Sphere and the Ascendant Citadel so both can move from placeholder to documented status.</w:t>
      </w:r>
    </w:p>
    <w:p>
      <w:pPr>
        <w:pStyle w:val="ListParagraph"/>
        <w:numPr>
          <w:ilvl w:val="0"/>
          <w:numId w:val="1"/>
        </w:numPr>
        <w:spacing w:after="60"/>
      </w:pPr>
      <w:r>
        <w:rPr>
          <w:sz w:val="21"/>
          <w:szCs w:val="21"/>
        </w:rPr>
        <w:t xml:space="preserve">Apply ONESTAMP to any entry in Section 3 the Architect confirms as accurate, advancing it to RATIFIED status.</w:t>
      </w:r>
    </w:p>
    <w:p>
      <w:pPr>
        <w:pStyle w:val="ListParagraph"/>
        <w:numPr>
          <w:ilvl w:val="0"/>
          <w:numId w:val="1"/>
        </w:numPr>
        <w:spacing w:after="60"/>
      </w:pPr>
      <w:r>
        <w:rPr>
          <w:sz w:val="21"/>
          <w:szCs w:val="21"/>
        </w:rPr>
        <w:t xml:space="preserve">Update the master changelog register with new entry numbers for all Section 3 and Section 4 items once sequencing is confirmed.</w:t>
      </w:r>
    </w:p>
    <w:p>
      <w:r>
        <w:br w:type="page"/>
      </w:r>
    </w:p>
    <w:p>
      <w:pPr>
        <w:spacing w:before="200"/>
        <w:jc w:val="center"/>
      </w:pPr>
      <w:r>
        <w:rPr>
          <w:b/>
          <w:bCs/>
          <w:color w:val="6E6E7E"/>
          <w:sz w:val="20"/>
          <w:szCs w:val="20"/>
        </w:rPr>
        <w:t xml:space="preserve">— END OF ADDENDUM v2.0 — UNDER REVIEW —</w:t>
      </w:r>
    </w:p>
    <w:p>
      <w:pPr>
        <w:spacing w:before="100"/>
        <w:jc w:val="center"/>
      </w:pPr>
      <w:r>
        <w:rPr>
          <w:i/>
          <w:iCs/>
          <w:color w:val="6E6E7E"/>
          <w:sz w:val="18"/>
          <w:szCs w:val="18"/>
        </w:rPr>
        <w:t xml:space="preserve">Nathan Ashton Arik Lewis II — Architect of Record | Lewis Corp | ONE Industries | OAL | July 20, 2026</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2026-07-20T14:22:40.676Z</dcterms:created>
  <dcterms:modified xsi:type="dcterms:W3CDTF">2026-07-20T14:22:40.690Z</dcterms:modified>
</cp:coreProperties>
</file>

<file path=docProps/custom.xml><?xml version="1.0" encoding="utf-8"?>
<Properties xmlns="http://schemas.openxmlformats.org/officeDocument/2006/custom-properties" xmlns:vt="http://schemas.openxmlformats.org/officeDocument/2006/docPropsVTypes"/>
</file>