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700"/>
        <w:jc w:val="center"/>
      </w:pPr>
      <w:r>
        <w:rPr>
          <w:b/>
          <w:bCs/>
          <w:color w:val="1A1A2E"/>
          <w:sz w:val="40"/>
          <w:szCs w:val="40"/>
        </w:rPr>
        <w:t xml:space="preserve">MASTER DEVELOPMENT CHANGELOG</w:t>
      </w:r>
    </w:p>
    <w:p>
      <w:pPr>
        <w:spacing w:after="60"/>
        <w:jc w:val="center"/>
      </w:pPr>
      <w:r>
        <w:rPr>
          <w:b/>
          <w:bCs/>
          <w:color w:val="4A4A6A"/>
          <w:sz w:val="26"/>
          <w:szCs w:val="26"/>
        </w:rPr>
        <w:t xml:space="preserve">COMPILED v2.0 — Full Project Registry</w:t>
      </w:r>
    </w:p>
    <w:p>
      <w:pPr>
        <w:spacing w:after="280"/>
        <w:jc w:val="center"/>
      </w:pPr>
      <w:r>
        <w:rPr>
          <w:i/>
          <w:iCs/>
          <w:color w:val="6E6E7E"/>
          <w:sz w:val="20"/>
          <w:szCs w:val="20"/>
        </w:rPr>
        <w:t xml:space="preserve">THE ONE UNIVERSE / Omniversal Architect Labs (OAL) — Complete Development 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0F0F5" w:val="clear"/>
            <w:tcMar>
              <w:top w:type="dxa" w:w="80"/>
              <w:left w:type="dxa" w:w="120"/>
              <w:bottom w:type="dxa" w:w="80"/>
              <w:right w:type="dxa" w:w="120"/>
            </w:tcMar>
          </w:tcPr>
          <w:p>
            <w:r>
              <w:rPr>
                <w:b/>
                <w:bCs/>
                <w:color w:val="1A1A2E"/>
                <w:sz w:val="18"/>
                <w:szCs w:val="18"/>
              </w:rPr>
              <w:t xml:space="preserve">Date</w:t>
            </w:r>
          </w:p>
        </w:tc>
        <w:tc>
          <w:tcPr>
            <w:tcW w:type="dxa" w:w="6800"/>
            <w:tcMar>
              <w:top w:type="dxa" w:w="80"/>
              <w:left w:type="dxa" w:w="120"/>
              <w:bottom w:type="dxa" w:w="80"/>
              <w:right w:type="dxa" w:w="120"/>
            </w:tcMar>
          </w:tcPr>
          <w:p>
            <w:r>
              <w:rPr>
                <w:sz w:val="18"/>
                <w:szCs w:val="18"/>
              </w:rPr>
              <w:t xml:space="preserve">July 20, 2026</w:t>
            </w:r>
          </w:p>
        </w:tc>
      </w:tr>
      <w:tr>
        <w:tc>
          <w:tcPr>
            <w:tcW w:type="dxa" w:w="2600"/>
            <w:shd w:fill="F0F0F5" w:val="clear"/>
            <w:tcMar>
              <w:top w:type="dxa" w:w="80"/>
              <w:left w:type="dxa" w:w="120"/>
              <w:bottom w:type="dxa" w:w="80"/>
              <w:right w:type="dxa" w:w="120"/>
            </w:tcMar>
          </w:tcPr>
          <w:p>
            <w:r>
              <w:rPr>
                <w:b/>
                <w:bCs/>
                <w:color w:val="1A1A2E"/>
                <w:sz w:val="18"/>
                <w:szCs w:val="18"/>
              </w:rPr>
              <w:t xml:space="preserve">Status</w:t>
            </w:r>
          </w:p>
        </w:tc>
        <w:tc>
          <w:tcPr>
            <w:tcW w:type="dxa" w:w="6800"/>
            <w:tcMar>
              <w:top w:type="dxa" w:w="80"/>
              <w:left w:type="dxa" w:w="120"/>
              <w:bottom w:type="dxa" w:w="80"/>
              <w:right w:type="dxa" w:w="120"/>
            </w:tcMar>
          </w:tcPr>
          <w:p>
            <w:r>
              <w:rPr>
                <w:sz w:val="18"/>
                <w:szCs w:val="18"/>
              </w:rPr>
              <w:t xml:space="preserve">UNDER REVIEW — Pending Architect Approval</w:t>
            </w:r>
          </w:p>
        </w:tc>
      </w:tr>
      <w:tr>
        <w:tc>
          <w:tcPr>
            <w:tcW w:type="dxa" w:w="2600"/>
            <w:shd w:fill="F0F0F5" w:val="clear"/>
            <w:tcMar>
              <w:top w:type="dxa" w:w="80"/>
              <w:left w:type="dxa" w:w="120"/>
              <w:bottom w:type="dxa" w:w="80"/>
              <w:right w:type="dxa" w:w="120"/>
            </w:tcMar>
          </w:tcPr>
          <w:p>
            <w:r>
              <w:rPr>
                <w:b/>
                <w:bCs/>
                <w:color w:val="1A1A2E"/>
                <w:sz w:val="18"/>
                <w:szCs w:val="18"/>
              </w:rPr>
              <w:t xml:space="preserve">Architect of Record</w:t>
            </w:r>
          </w:p>
        </w:tc>
        <w:tc>
          <w:tcPr>
            <w:tcW w:type="dxa" w:w="6800"/>
            <w:tcMar>
              <w:top w:type="dxa" w:w="80"/>
              <w:left w:type="dxa" w:w="120"/>
              <w:bottom w:type="dxa" w:w="80"/>
              <w:right w:type="dxa" w:w="120"/>
            </w:tcMar>
          </w:tcPr>
          <w:p>
            <w:r>
              <w:rPr>
                <w:sz w:val="18"/>
                <w:szCs w:val="18"/>
              </w:rPr>
              <w:t xml:space="preserve">Nathan Ashton Arik Lewis II</w:t>
            </w:r>
          </w:p>
        </w:tc>
      </w:tr>
      <w:tr>
        <w:tc>
          <w:tcPr>
            <w:tcW w:type="dxa" w:w="2600"/>
            <w:shd w:fill="F0F0F5" w:val="clear"/>
            <w:tcMar>
              <w:top w:type="dxa" w:w="80"/>
              <w:left w:type="dxa" w:w="120"/>
              <w:bottom w:type="dxa" w:w="80"/>
              <w:right w:type="dxa" w:w="120"/>
            </w:tcMar>
          </w:tcPr>
          <w:p>
            <w:r>
              <w:rPr>
                <w:b/>
                <w:bCs/>
                <w:color w:val="1A1A2E"/>
                <w:sz w:val="18"/>
                <w:szCs w:val="18"/>
              </w:rPr>
              <w:t xml:space="preserve">Compiling Layer</w:t>
            </w:r>
          </w:p>
        </w:tc>
        <w:tc>
          <w:tcPr>
            <w:tcW w:type="dxa" w:w="6800"/>
            <w:tcMar>
              <w:top w:type="dxa" w:w="80"/>
              <w:left w:type="dxa" w:w="120"/>
              <w:bottom w:type="dxa" w:w="80"/>
              <w:right w:type="dxa" w:w="120"/>
            </w:tcMar>
          </w:tcPr>
          <w:p>
            <w:r>
              <w:rPr>
                <w:sz w:val="18"/>
                <w:szCs w:val="18"/>
              </w:rPr>
              <w:t xml:space="preserve">Claude (Anthropic) — Primary Audit &amp; Documentation Layer</w:t>
            </w:r>
          </w:p>
        </w:tc>
      </w:tr>
      <w:tr>
        <w:tc>
          <w:tcPr>
            <w:tcW w:type="dxa" w:w="2600"/>
            <w:shd w:fill="F0F0F5" w:val="clear"/>
            <w:tcMar>
              <w:top w:type="dxa" w:w="80"/>
              <w:left w:type="dxa" w:w="120"/>
              <w:bottom w:type="dxa" w:w="80"/>
              <w:right w:type="dxa" w:w="120"/>
            </w:tcMar>
          </w:tcPr>
          <w:p>
            <w:r>
              <w:rPr>
                <w:b/>
                <w:bCs/>
                <w:color w:val="1A1A2E"/>
                <w:sz w:val="18"/>
                <w:szCs w:val="18"/>
              </w:rPr>
              <w:t xml:space="preserve">Contributing Layer</w:t>
            </w:r>
          </w:p>
        </w:tc>
        <w:tc>
          <w:tcPr>
            <w:tcW w:type="dxa" w:w="6800"/>
            <w:tcMar>
              <w:top w:type="dxa" w:w="80"/>
              <w:left w:type="dxa" w:w="120"/>
              <w:bottom w:type="dxa" w:w="80"/>
              <w:right w:type="dxa" w:w="120"/>
            </w:tcMar>
          </w:tcPr>
          <w:p>
            <w:r>
              <w:rPr>
                <w:sz w:val="18"/>
                <w:szCs w:val="18"/>
              </w:rPr>
              <w:t xml:space="preserve">ChatGPT, Google Gemini, Microsoft Copilot, Perplexity AI, Grok AI</w:t>
            </w:r>
          </w:p>
        </w:tc>
      </w:tr>
      <w:tr>
        <w:tc>
          <w:tcPr>
            <w:tcW w:type="dxa" w:w="2600"/>
            <w:shd w:fill="F0F0F5" w:val="clear"/>
            <w:tcMar>
              <w:top w:type="dxa" w:w="80"/>
              <w:left w:type="dxa" w:w="120"/>
              <w:bottom w:type="dxa" w:w="80"/>
              <w:right w:type="dxa" w:w="120"/>
            </w:tcMar>
          </w:tcPr>
          <w:p>
            <w:r>
              <w:rPr>
                <w:b/>
                <w:bCs/>
                <w:color w:val="1A1A2E"/>
                <w:sz w:val="18"/>
                <w:szCs w:val="18"/>
              </w:rPr>
              <w:t xml:space="preserve">Organizations</w:t>
            </w:r>
          </w:p>
        </w:tc>
        <w:tc>
          <w:tcPr>
            <w:tcW w:type="dxa" w:w="6800"/>
            <w:tcMar>
              <w:top w:type="dxa" w:w="80"/>
              <w:left w:type="dxa" w:w="120"/>
              <w:bottom w:type="dxa" w:w="80"/>
              <w:right w:type="dxa" w:w="120"/>
            </w:tcMar>
          </w:tcPr>
          <w:p>
            <w:r>
              <w:rPr>
                <w:sz w:val="18"/>
                <w:szCs w:val="18"/>
              </w:rPr>
              <w:t xml:space="preserve">Lewis Corp | ONE Industries | Omniversal Architect Labs (OAL)</w:t>
            </w:r>
          </w:p>
        </w:tc>
      </w:tr>
      <w:tr>
        <w:tc>
          <w:tcPr>
            <w:tcW w:type="dxa" w:w="2600"/>
            <w:shd w:fill="F0F0F5" w:val="clear"/>
            <w:tcMar>
              <w:top w:type="dxa" w:w="80"/>
              <w:left w:type="dxa" w:w="120"/>
              <w:bottom w:type="dxa" w:w="80"/>
              <w:right w:type="dxa" w:w="120"/>
            </w:tcMar>
          </w:tcPr>
          <w:p>
            <w:r>
              <w:rPr>
                <w:b/>
                <w:bCs/>
                <w:color w:val="1A1A2E"/>
                <w:sz w:val="18"/>
                <w:szCs w:val="18"/>
              </w:rPr>
              <w:t xml:space="preserve">Supersedes</w:t>
            </w:r>
          </w:p>
        </w:tc>
        <w:tc>
          <w:tcPr>
            <w:tcW w:type="dxa" w:w="6800"/>
            <w:tcMar>
              <w:top w:type="dxa" w:w="80"/>
              <w:left w:type="dxa" w:w="120"/>
              <w:bottom w:type="dxa" w:w="80"/>
              <w:right w:type="dxa" w:w="120"/>
            </w:tcMar>
          </w:tcPr>
          <w:p>
            <w:r>
              <w:rPr>
                <w:sz w:val="18"/>
                <w:szCs w:val="18"/>
              </w:rPr>
              <w:t xml:space="preserve">Master_Development_ChangeLog_Compiled_v1.1; Master_Development_ChangeLog_Addendum_Paragon_Cubes_and_Living_Media_v1.0; Addendum v2.0 (July 20, 2026 draft)</w:t>
            </w:r>
          </w:p>
        </w:tc>
      </w:tr>
      <w:tr>
        <w:tc>
          <w:tcPr>
            <w:tcW w:type="dxa" w:w="2600"/>
            <w:shd w:fill="F0F0F5" w:val="clear"/>
            <w:tcMar>
              <w:top w:type="dxa" w:w="80"/>
              <w:left w:type="dxa" w:w="120"/>
              <w:bottom w:type="dxa" w:w="80"/>
              <w:right w:type="dxa" w:w="120"/>
            </w:tcMar>
          </w:tcPr>
          <w:p>
            <w:r>
              <w:rPr>
                <w:b/>
                <w:bCs/>
                <w:color w:val="1A1A2E"/>
                <w:sz w:val="18"/>
                <w:szCs w:val="18"/>
              </w:rPr>
              <w:t xml:space="preserve">Governing Protocols</w:t>
            </w:r>
          </w:p>
        </w:tc>
        <w:tc>
          <w:tcPr>
            <w:tcW w:type="dxa" w:w="6800"/>
            <w:tcMar>
              <w:top w:type="dxa" w:w="80"/>
              <w:left w:type="dxa" w:w="120"/>
              <w:bottom w:type="dxa" w:w="80"/>
              <w:right w:type="dxa" w:w="120"/>
            </w:tcMar>
          </w:tcPr>
          <w:p>
            <w:r>
              <w:rPr>
                <w:sz w:val="18"/>
                <w:szCs w:val="18"/>
              </w:rPr>
              <w:t xml:space="preserve">OAL-AIDR-v1.0 | OAL-CSAD-v1.0 | OAL-DISS-001-2026 | OAL-CINT-P1-2026</w:t>
            </w:r>
          </w:p>
        </w:tc>
      </w:tr>
    </w:tbl>
    <w:p>
      <w:r>
        <w:br w:type="page"/>
      </w:r>
    </w:p>
    <w:p>
      <w:pPr>
        <w:pStyle w:val="Heading1"/>
        <w:pBdr>
          <w:bottom w:val="single" w:color="1A1A2E" w:sz="6" w:space="4"/>
        </w:pBdr>
        <w:spacing w:after="160" w:before="420"/>
      </w:pPr>
      <w:r>
        <w:rPr>
          <w:b/>
          <w:bCs/>
          <w:color w:val="1A1A2E"/>
          <w:sz w:val="30"/>
          <w:szCs w:val="30"/>
        </w:rPr>
        <w:t xml:space="preserve">0. Document Notice and Method</w:t>
      </w:r>
    </w:p>
    <w:p>
      <w:pPr>
        <w:spacing w:after="130"/>
      </w:pPr>
      <w:r>
        <w:rPr>
          <w:sz w:val="20"/>
          <w:szCs w:val="20"/>
        </w:rPr>
        <w:t xml:space="preserve">This is a full replacement of the project's master development changelog, not an addendum. It consolidates the last confirmed compiled registry (v1.1, 41 entries), the March 22, 2026 addendum (Paragon Cubes / Reality of the Living Media / Philosopher's Stone), and every subsequent development thread through July 20, 2026, into a single current reference.</w:t>
      </w:r>
    </w:p>
    <w:p>
      <w:pPr>
        <w:spacing w:after="130"/>
      </w:pPr>
      <w:r>
        <w:rPr>
          <w:sz w:val="20"/>
          <w:szCs w:val="20"/>
        </w:rPr>
        <w:t xml:space="preserve">Status flags used throughout:</w:t>
      </w:r>
    </w:p>
    <w:p>
      <w:pPr>
        <w:spacing w:after="70"/>
      </w:pPr>
      <w:r>
        <w:rPr>
          <w:b/>
          <w:bCs/>
          <w:color w:val="1F6B3A"/>
          <w:sz w:val="20"/>
          <w:szCs w:val="20"/>
        </w:rPr>
        <w:t xml:space="preserve">RATIFIED — </w:t>
      </w:r>
      <w:r>
        <w:rPr>
          <w:sz w:val="20"/>
          <w:szCs w:val="20"/>
        </w:rPr>
        <w:t xml:space="preserve">ONESTAMP applied. Active canon.</w:t>
      </w:r>
    </w:p>
    <w:p>
      <w:pPr>
        <w:spacing w:after="70"/>
      </w:pPr>
      <w:r>
        <w:rPr>
          <w:b/>
          <w:bCs/>
          <w:color w:val="8A5A00"/>
          <w:sz w:val="20"/>
          <w:szCs w:val="20"/>
        </w:rPr>
        <w:t xml:space="preserve">UNDER REVIEW — </w:t>
      </w:r>
      <w:r>
        <w:rPr>
          <w:sz w:val="20"/>
          <w:szCs w:val="20"/>
        </w:rPr>
        <w:t xml:space="preserve">documented and developed, not yet ONESTAMP-ratified.</w:t>
      </w:r>
    </w:p>
    <w:p>
      <w:pPr>
        <w:spacing w:after="70"/>
      </w:pPr>
      <w:r>
        <w:rPr>
          <w:b/>
          <w:bCs/>
          <w:color w:val="555577"/>
          <w:sz w:val="20"/>
          <w:szCs w:val="20"/>
        </w:rPr>
        <w:t xml:space="preserve">REFERENCED, UNDOCUMENTED — </w:t>
      </w:r>
      <w:r>
        <w:rPr>
          <w:sz w:val="20"/>
          <w:szCs w:val="20"/>
        </w:rPr>
        <w:t xml:space="preserve">named in prior registry entries or cross-references, but no standalone definition exists yet in reviewed material.</w:t>
      </w:r>
    </w:p>
    <w:p>
      <w:pPr>
        <w:spacing w:after="200"/>
      </w:pPr>
      <w:r>
        <w:rPr>
          <w:b/>
          <w:bCs/>
          <w:color w:val="8A1F1F"/>
          <w:sz w:val="20"/>
          <w:szCs w:val="20"/>
        </w:rPr>
        <w:t xml:space="preserve">TITLE ONLY — NO RECORD — </w:t>
      </w:r>
      <w:r>
        <w:rPr>
          <w:sz w:val="20"/>
          <w:szCs w:val="20"/>
        </w:rPr>
        <w:t xml:space="preserve">a name was raised with no development content anywhere in reviewed history.</w:t>
      </w:r>
    </w:p>
    <w:p>
      <w:pPr>
        <w:pBdr>
          <w:left w:val="single" w:color="6E6E7E" w:sz="12" w:space="8"/>
        </w:pBdr>
        <w:spacing w:after="130" w:before="70"/>
        <w:ind w:left="360"/>
      </w:pPr>
      <w:r>
        <w:rPr>
          <w:i/>
          <w:iCs/>
          <w:color w:val="6E6E7E"/>
          <w:sz w:val="19"/>
          <w:szCs w:val="19"/>
        </w:rPr>
        <w:t xml:space="preserve">Per standing working agreement, no AI collaborator resolves an OPEN — AUTHOR INPUT REQUIRED item by inference. Gaps are reported, not filled.</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1. Cosmological Core</w:t>
      </w:r>
    </w:p>
    <w:p>
      <w:pPr>
        <w:pStyle w:val="Heading2"/>
        <w:spacing w:after="110" w:before="280"/>
      </w:pPr>
      <w:r>
        <w:rPr>
          <w:b/>
          <w:bCs/>
          <w:color w:val="4A4A6A"/>
          <w:sz w:val="23"/>
          <w:szCs w:val="23"/>
        </w:rPr>
        <w:t xml:space="preserve">1.1 — THE ONE UNIVERSE and THE MINUS ONE UNIVERSE</w:t>
      </w:r>
    </w:p>
    <w:p>
      <w:pPr>
        <w:spacing w:after="90"/>
      </w:pPr>
      <w:r>
        <w:rPr>
          <w:b/>
          <w:bCs/>
          <w:color w:val="1A1A2E"/>
          <w:sz w:val="20"/>
          <w:szCs w:val="20"/>
        </w:rPr>
        <w:t xml:space="preserve">Status: </w:t>
      </w:r>
      <w:r>
        <w:rPr>
          <w:b/>
          <w:bCs/>
          <w:color w:val="1F6B3A"/>
          <w:sz w:val="20"/>
          <w:szCs w:val="20"/>
        </w:rPr>
        <w:t xml:space="preserve">RATIFIED — Foundational Canon</w:t>
      </w:r>
    </w:p>
    <w:p>
      <w:pPr>
        <w:spacing w:after="130"/>
      </w:pPr>
      <w:r>
        <w:rPr>
          <w:sz w:val="20"/>
          <w:szCs w:val="20"/>
        </w:rPr>
        <w:t xml:space="preserve">The core cosmological duality underlying the entire project: two complementary universes (THE ONE and THE MINUS ONE) forming the top-level architecture from which all subordinate systems (Abundance Set, Paragon Cubes, OMNICELLULAR physiology) derive. The Abundance Set's Section 5.1 sanctions direct linkage between the two without requiring a mediating membrane.</w:t>
      </w:r>
    </w:p>
    <w:p>
      <w:pPr>
        <w:pBdr>
          <w:left w:val="single" w:color="6E6E7E" w:sz="12" w:space="8"/>
        </w:pBdr>
        <w:spacing w:after="130" w:before="70"/>
        <w:ind w:left="360"/>
      </w:pPr>
      <w:r>
        <w:rPr>
          <w:i/>
          <w:iCs/>
          <w:color w:val="6E6E7E"/>
          <w:sz w:val="19"/>
          <w:szCs w:val="19"/>
        </w:rPr>
        <w:t xml:space="preserve">Open naming gap: the Abundance Set document itself never uses “MINUS ONE” — it defines the opposing pole as the “Antithesis Set” (“your brother's construct”). Whether these are the same entity under two names or distinct layers is unresolved between documents.</w:t>
      </w:r>
    </w:p>
    <w:p>
      <w:pPr>
        <w:pStyle w:val="Heading2"/>
        <w:spacing w:after="110" w:before="280"/>
      </w:pPr>
      <w:r>
        <w:rPr>
          <w:b/>
          <w:bCs/>
          <w:color w:val="4A4A6A"/>
          <w:sz w:val="23"/>
          <w:szCs w:val="23"/>
        </w:rPr>
        <w:t xml:space="preserve">1.2 — The Founding Architects: Elimination, Absorption, and Containment</w:t>
      </w:r>
    </w:p>
    <w:p>
      <w:pPr>
        <w:spacing w:after="90"/>
      </w:pPr>
      <w:r>
        <w:rPr>
          <w:b/>
          <w:bCs/>
          <w:color w:val="1A1A2E"/>
          <w:sz w:val="20"/>
          <w:szCs w:val="20"/>
        </w:rPr>
        <w:t xml:space="preserve">Status: </w:t>
      </w:r>
      <w:r>
        <w:rPr>
          <w:b/>
          <w:bCs/>
          <w:color w:val="8A5A00"/>
          <w:sz w:val="20"/>
          <w:szCs w:val="20"/>
        </w:rPr>
        <w:t xml:space="preserve">UNDER REVIEW — Canon Addendum Logged (OAL-CANON-ADD-FA-001)</w:t>
      </w:r>
    </w:p>
    <w:p>
      <w:pPr>
        <w:spacing w:after="130"/>
      </w:pPr>
      <w:r>
        <w:rPr>
          <w:sz w:val="20"/>
          <w:szCs w:val="20"/>
        </w:rP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pStyle w:val="ListParagraph"/>
        <w:numPr>
          <w:ilvl w:val="0"/>
          <w:numId w:val="1"/>
        </w:numPr>
        <w:spacing w:after="55"/>
      </w:pPr>
      <w:r>
        <w:rPr>
          <w:sz w:val="20"/>
          <w:szCs w:val="20"/>
        </w:rPr>
        <w:t xml:space="preserve">Positional authority in the project is seized, not inherited — this reframes how “engineered entirely in origin by Nathan's companies” should be read for any system that may derive from absorbed Maker architecture.</w:t>
      </w:r>
    </w:p>
    <w:p>
      <w:pPr>
        <w:pStyle w:val="ListParagraph"/>
        <w:numPr>
          <w:ilvl w:val="0"/>
          <w:numId w:val="1"/>
        </w:numPr>
        <w:spacing w:after="55"/>
      </w:pPr>
      <w:r>
        <w:rPr>
          <w:sz w:val="20"/>
          <w:szCs w:val="20"/>
        </w:rPr>
        <w:t xml:space="preserve">The brother is a canon figure with no name, profile, or current status yet documented.</w:t>
      </w:r>
    </w:p>
    <w:p>
      <w:pPr>
        <w:pStyle w:val="ListParagraph"/>
        <w:numPr>
          <w:ilvl w:val="0"/>
          <w:numId w:val="1"/>
        </w:numPr>
        <w:spacing w:after="55"/>
      </w:pPr>
      <w:r>
        <w:rPr>
          <w:sz w:val="20"/>
          <w:szCs w:val="20"/>
        </w:rPr>
        <w:t xml:space="preserve">Live open question: whether the Labyrinth of Infinite Ensnarement is the containment structure for the displaced Founding Architects, a precursor to it, or a separate structure entirely.</w:t>
      </w:r>
    </w:p>
    <w:p>
      <w:pPr>
        <w:pStyle w:val="ListParagraph"/>
        <w:numPr>
          <w:ilvl w:val="0"/>
          <w:numId w:val="1"/>
        </w:numPr>
        <w:spacing w:after="55"/>
      </w:pPr>
      <w:r>
        <w:rPr>
          <w:sz w:val="20"/>
          <w:szCs w:val="20"/>
        </w:rPr>
        <w:t xml:space="preserve">FA-Q8 (whether absorbed Maker architecture carries residual active intent) is flagged as having implications for every derived system, including the Paragon Cubes.</w:t>
      </w:r>
    </w:p>
    <w:p>
      <w:pPr>
        <w:spacing w:after="130"/>
      </w:pPr>
      <w:r>
        <w:rPr>
          <w:b/>
          <w:bCs/>
          <w:color w:val="8A5A00"/>
          <w:sz w:val="20"/>
          <w:szCs w:val="20"/>
        </w:rPr>
        <w:t xml:space="preserve">OPEN — AUTHOR INPUT REQUIRED: </w:t>
      </w:r>
      <w:r>
        <w:rPr>
          <w:sz w:val="20"/>
          <w:szCs w:val="20"/>
        </w:rPr>
        <w:t xml:space="preserve">Identity/name of the brother; resolution of FA-Q1–FA-Q8 from the Canon Addendum; confirmation of the Labyrinth's relationship to the containment event.</w:t>
      </w:r>
    </w:p>
    <w:p>
      <w:pPr>
        <w:pStyle w:val="Heading2"/>
        <w:spacing w:after="110" w:before="280"/>
      </w:pPr>
      <w:r>
        <w:rPr>
          <w:b/>
          <w:bCs/>
          <w:color w:val="4A4A6A"/>
          <w:sz w:val="23"/>
          <w:szCs w:val="23"/>
        </w:rPr>
        <w:t xml:space="preserve">1.3 — Makers and Unmakers</w:t>
      </w:r>
    </w:p>
    <w:p>
      <w:pPr>
        <w:spacing w:after="90"/>
      </w:pPr>
      <w:r>
        <w:rPr>
          <w:b/>
          <w:bCs/>
          <w:color w:val="1A1A2E"/>
          <w:sz w:val="20"/>
          <w:szCs w:val="20"/>
        </w:rPr>
        <w:t xml:space="preserve">Status: </w:t>
      </w:r>
      <w:r>
        <w:rPr>
          <w:b/>
          <w:bCs/>
          <w:color w:val="8A5A00"/>
          <w:sz w:val="20"/>
          <w:szCs w:val="20"/>
        </w:rPr>
        <w:t xml:space="preserve">UNDER REVIEW</w:t>
      </w:r>
    </w:p>
    <w:p>
      <w:pPr>
        <w:spacing w:after="130"/>
      </w:pPr>
      <w:r>
        <w:rPr>
          <w:sz w:val="20"/>
          <w:szCs w:val="20"/>
        </w:rPr>
        <w:t xml:space="preserve">Makers and Unmakers are overthrown originators attempting reclamation. Positional Sovereignty is the key canon axiom governing them: their relationship to light was positional, not intrinsic — a status conferred by position within the founding order, not an inherent property. The Lightmaker coinage derives from this thread.</w:t>
      </w:r>
    </w:p>
    <w:p>
      <w:pPr>
        <w:spacing w:after="130"/>
      </w:pPr>
      <w:r>
        <w:rPr>
          <w:sz w:val="20"/>
          <w:szCs w:val="20"/>
        </w:rPr>
        <w:t xml:space="preserve">A structural asymmetry has been analyzed (not yet canon-locked): Maker architecture is additive — built toward instantiation, and therefore absorbable, as demonstrated by the Founding Event. Unmaker/negation-tier architecture is subtractive by nature, meaning a reciprocal absorption operation (if attempted) would face a fundamentally different risk profile, up to and including recursive self-dissolution of the absorber. This is logged as speculative analysis, not ratified mechanic.</w:t>
      </w:r>
    </w:p>
    <w:p>
      <w:pPr>
        <w:pStyle w:val="Heading2"/>
        <w:spacing w:after="110" w:before="280"/>
      </w:pPr>
      <w:r>
        <w:rPr>
          <w:b/>
          <w:bCs/>
          <w:color w:val="4A4A6A"/>
          <w:sz w:val="23"/>
          <w:szCs w:val="23"/>
        </w:rPr>
        <w:t xml:space="preserve">1.4 — OMNICELLULAR Physiology</w:t>
      </w:r>
    </w:p>
    <w:p>
      <w:pPr>
        <w:spacing w:after="90"/>
      </w:pPr>
      <w:r>
        <w:rPr>
          <w:b/>
          <w:bCs/>
          <w:color w:val="1A1A2E"/>
          <w:sz w:val="20"/>
          <w:szCs w:val="20"/>
        </w:rPr>
        <w:t xml:space="preserve">Status: </w:t>
      </w:r>
      <w:r>
        <w:rPr>
          <w:b/>
          <w:bCs/>
          <w:color w:val="555577"/>
          <w:sz w:val="20"/>
          <w:szCs w:val="20"/>
        </w:rPr>
        <w:t xml:space="preserve">REFERENCED — Partially Documented</w:t>
      </w:r>
    </w:p>
    <w:p>
      <w:pPr>
        <w:spacing w:after="130"/>
      </w:pPr>
      <w:r>
        <w:rPr>
          <w:sz w:val="20"/>
          <w:szCs w:val="20"/>
        </w:rPr>
        <w:t xml:space="preserve">Eight engineered architectures constituting OMNICELLULAR physiology are established in the compiled registry. Full per-architecture documentation was flagged as incomplete as of the last full registry review and has not been substantially expanded since.</w:t>
      </w:r>
    </w:p>
    <w:p>
      <w:pPr>
        <w:pStyle w:val="Heading2"/>
        <w:spacing w:after="110" w:before="280"/>
      </w:pPr>
      <w:r>
        <w:rPr>
          <w:b/>
          <w:bCs/>
          <w:color w:val="4A4A6A"/>
          <w:sz w:val="23"/>
          <w:szCs w:val="23"/>
        </w:rPr>
        <w:t xml:space="preserve">1.5 — The Labyrinth of Infinite Ensnarement</w:t>
      </w:r>
    </w:p>
    <w:p>
      <w:pPr>
        <w:spacing w:after="90"/>
      </w:pPr>
      <w:r>
        <w:rPr>
          <w:b/>
          <w:bCs/>
          <w:color w:val="1A1A2E"/>
          <w:sz w:val="20"/>
          <w:szCs w:val="20"/>
        </w:rPr>
        <w:t xml:space="preserve">Status: </w:t>
      </w:r>
      <w:r>
        <w:rPr>
          <w:b/>
          <w:bCs/>
          <w:color w:val="555577"/>
          <w:sz w:val="20"/>
          <w:szCs w:val="20"/>
        </w:rPr>
        <w:t xml:space="preserve">REFERENCED — Cross-Project Design Source</w:t>
      </w:r>
    </w:p>
    <w:p>
      <w:pPr>
        <w:spacing w:after="130"/>
      </w:pPr>
      <w:r>
        <w:rPr>
          <w:sz w:val="20"/>
          <w:szCs w:val="20"/>
        </w:rPr>
        <w:t xml:space="preserve">Originally a narrative/fictional framework Nathan authored independently of OAL. Its containment-structure design principles have been explicitly mapped onto real, buildable digital-infrastructure architecture in capability-design sessions (see 5.4, adaptive entity design). Its possible role as the Founding Architects' containment structure (1.2) is an open cross-reference, not yet resolved.</w:t>
      </w:r>
    </w:p>
    <w:p>
      <w:pPr>
        <w:pStyle w:val="Heading2"/>
        <w:spacing w:after="110" w:before="280"/>
      </w:pPr>
      <w:r>
        <w:rPr>
          <w:b/>
          <w:bCs/>
          <w:color w:val="4A4A6A"/>
          <w:sz w:val="23"/>
          <w:szCs w:val="23"/>
        </w:rPr>
        <w:t xml:space="preserve">1.6 — The Accords</w:t>
      </w:r>
    </w:p>
    <w:p>
      <w:pPr>
        <w:spacing w:after="90"/>
      </w:pPr>
      <w:r>
        <w:rPr>
          <w:b/>
          <w:bCs/>
          <w:color w:val="1A1A2E"/>
          <w:sz w:val="20"/>
          <w:szCs w:val="20"/>
        </w:rPr>
        <w:t xml:space="preserve">Status: </w:t>
      </w:r>
      <w:r>
        <w:rPr>
          <w:b/>
          <w:bCs/>
          <w:color w:val="555577"/>
          <w:sz w:val="20"/>
          <w:szCs w:val="20"/>
        </w:rPr>
        <w:t xml:space="preserve">REFERENCED — In Active Drafting (ChatGPT lead)</w:t>
      </w:r>
    </w:p>
    <w:p>
      <w:pPr>
        <w:spacing w:after="130"/>
      </w:pPr>
      <w:r>
        <w:rPr>
          <w:sz w:val="20"/>
          <w:szCs w:val="20"/>
        </w:rPr>
        <w:t xml:space="preserve">An organizational/governance framework within ONE UNIVERSE canon. ChatGPT has been the designated drafting layer for Accords text, with Claude auditing for consistency. Full standalone text was not present in the last full registry review.</w:t>
      </w:r>
    </w:p>
    <w:p>
      <w:pPr>
        <w:pStyle w:val="Heading2"/>
        <w:spacing w:after="110" w:before="280"/>
      </w:pPr>
      <w:r>
        <w:rPr>
          <w:b/>
          <w:bCs/>
          <w:color w:val="4A4A6A"/>
          <w:sz w:val="23"/>
          <w:szCs w:val="23"/>
        </w:rPr>
        <w:t xml:space="preserve">1.7 — Other Referenced, Undocumented Canon Entities</w:t>
      </w:r>
    </w:p>
    <w:p>
      <w:pPr>
        <w:spacing w:after="130"/>
      </w:pPr>
      <w:r>
        <w:rPr>
          <w:sz w:val="20"/>
          <w:szCs w:val="20"/>
        </w:rPr>
        <w:t xml:space="preserve">The following names appear in registry cross-references or the Interactive Decision Roleplay Register question bank, but have no standalone definition on file. Listed here so the team can see the full backlog in one place rather than treat absence as resolution:</w:t>
      </w:r>
    </w:p>
    <w:p>
      <w:pPr>
        <w:pStyle w:val="ListParagraph"/>
        <w:numPr>
          <w:ilvl w:val="0"/>
          <w:numId w:val="1"/>
        </w:numPr>
        <w:spacing w:after="55"/>
      </w:pPr>
      <w:r>
        <w:rPr>
          <w:sz w:val="20"/>
          <w:szCs w:val="20"/>
        </w:rPr>
        <w:t xml:space="preserve">The Nullarch — institutional entity; relationship to the Spider Caste and other factions undefined.</w:t>
      </w:r>
    </w:p>
    <w:p>
      <w:pPr>
        <w:pStyle w:val="ListParagraph"/>
        <w:numPr>
          <w:ilvl w:val="0"/>
          <w:numId w:val="1"/>
        </w:numPr>
        <w:spacing w:after="55"/>
      </w:pPr>
      <w:r>
        <w:rPr>
          <w:sz w:val="20"/>
          <w:szCs w:val="20"/>
        </w:rPr>
        <w:t xml:space="preserve">The Four Flowers — canonical count and full per-Flower documentation (nature, bestowal conditions, known bearers, cosmological function) outstanding.</w:t>
      </w:r>
    </w:p>
    <w:p>
      <w:pPr>
        <w:pStyle w:val="ListParagraph"/>
        <w:numPr>
          <w:ilvl w:val="0"/>
          <w:numId w:val="1"/>
        </w:numPr>
        <w:spacing w:after="55"/>
      </w:pPr>
      <w:r>
        <w:rPr>
          <w:sz w:val="20"/>
          <w:szCs w:val="20"/>
        </w:rPr>
        <w:t xml:space="preserve">The World That Grows All — name, hierarchy placement, and meaning of “grows” (physical, ontological, or other) unconfirmed.</w:t>
      </w:r>
    </w:p>
    <w:p>
      <w:pPr>
        <w:pStyle w:val="ListParagraph"/>
        <w:numPr>
          <w:ilvl w:val="0"/>
          <w:numId w:val="1"/>
        </w:numPr>
        <w:spacing w:after="55"/>
      </w:pPr>
      <w:r>
        <w:rPr>
          <w:sz w:val="20"/>
          <w:szCs w:val="20"/>
        </w:rPr>
        <w:t xml:space="preserve">The Omniversal Gardens — unclear whether cosmological location, narrative project, or architectural design framework.</w:t>
      </w:r>
    </w:p>
    <w:p>
      <w:pPr>
        <w:pStyle w:val="ListParagraph"/>
        <w:numPr>
          <w:ilvl w:val="0"/>
          <w:numId w:val="1"/>
        </w:numPr>
        <w:spacing w:after="55"/>
      </w:pPr>
      <w:r>
        <w:rPr>
          <w:sz w:val="20"/>
          <w:szCs w:val="20"/>
        </w:rPr>
        <w:t xml:space="preserve">The Spider Caste — function, origin, and relationship to the Nullarch undefined.</w:t>
      </w:r>
    </w:p>
    <w:p>
      <w:pPr>
        <w:pStyle w:val="ListParagraph"/>
        <w:numPr>
          <w:ilvl w:val="0"/>
          <w:numId w:val="1"/>
        </w:numPr>
        <w:spacing w:after="55"/>
      </w:pPr>
      <w:r>
        <w:rPr>
          <w:sz w:val="20"/>
          <w:szCs w:val="20"/>
        </w:rPr>
        <w:t xml:space="preserve">Sentinels of Entropy / Obsidian Echelon — unclear whether the same organization, separate organizations, or hierarchically related.</w:t>
      </w:r>
    </w:p>
    <w:p>
      <w:pPr>
        <w:pStyle w:val="ListParagraph"/>
        <w:numPr>
          <w:ilvl w:val="0"/>
          <w:numId w:val="1"/>
        </w:numPr>
        <w:spacing w:after="55"/>
      </w:pPr>
      <w:r>
        <w:rPr>
          <w:sz w:val="20"/>
          <w:szCs w:val="20"/>
        </w:rPr>
        <w:t xml:space="preserve">The Puritans / The Greys — no documentation beyond name (note: “the Grey solar system” has separately been the subject of a stellar-fusion restoration exercise, After Action Report OAL-AAR-001 / Exercise GREEN RING — status of that synthesis was left unapproved by the Architect as of its last review).</w:t>
      </w:r>
    </w:p>
    <w:p>
      <w:pPr>
        <w:pStyle w:val="ListParagraph"/>
        <w:numPr>
          <w:ilvl w:val="0"/>
          <w:numId w:val="1"/>
        </w:numPr>
        <w:spacing w:after="55"/>
      </w:pPr>
      <w:r>
        <w:rPr>
          <w:sz w:val="20"/>
          <w:szCs w:val="20"/>
        </w:rPr>
        <w:t xml:space="preserve">The INAT — acronym expansion, function, and placement in the OAL framework undefined.</w:t>
      </w:r>
    </w:p>
    <w:p>
      <w:pPr>
        <w:pStyle w:val="ListParagraph"/>
        <w:numPr>
          <w:ilvl w:val="0"/>
          <w:numId w:val="1"/>
        </w:numPr>
        <w:spacing w:after="55"/>
      </w:pPr>
      <w:r>
        <w:rPr>
          <w:sz w:val="20"/>
          <w:szCs w:val="20"/>
        </w:rPr>
        <w:t xml:space="preserve">The Semantic Bridge Protocol — unclear whether active in the multi-AI framework, and what problem it solves.</w:t>
      </w:r>
    </w:p>
    <w:p>
      <w:pPr>
        <w:pStyle w:val="ListParagraph"/>
        <w:numPr>
          <w:ilvl w:val="0"/>
          <w:numId w:val="1"/>
        </w:numPr>
        <w:spacing w:after="55"/>
      </w:pPr>
      <w:r>
        <w:rPr>
          <w:sz w:val="20"/>
          <w:szCs w:val="20"/>
        </w:rPr>
        <w:t xml:space="preserve">Bestowals and Endowments, the Switching Paradox — referenced in the compiled registry without formal definitions.</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2. Infrastructure and Systems Canon</w:t>
      </w:r>
    </w:p>
    <w:p>
      <w:pPr>
        <w:pStyle w:val="Heading2"/>
        <w:spacing w:after="110" w:before="280"/>
      </w:pPr>
      <w:r>
        <w:rPr>
          <w:b/>
          <w:bCs/>
          <w:color w:val="4A4A6A"/>
          <w:sz w:val="23"/>
          <w:szCs w:val="23"/>
        </w:rPr>
        <w:t xml:space="preserve">2.1 — The Paragon Cubes</w:t>
      </w:r>
    </w:p>
    <w:p>
      <w:pPr>
        <w:spacing w:after="90"/>
      </w:pPr>
      <w:r>
        <w:rPr>
          <w:b/>
          <w:bCs/>
          <w:color w:val="1A1A2E"/>
          <w:sz w:val="20"/>
          <w:szCs w:val="20"/>
        </w:rPr>
        <w:t xml:space="preserve">Status: </w:t>
      </w:r>
      <w:r>
        <w:rPr>
          <w:b/>
          <w:bCs/>
          <w:color w:val="8A5A00"/>
          <w:sz w:val="20"/>
          <w:szCs w:val="20"/>
        </w:rPr>
        <w:t xml:space="preserve">UNDER REVIEW — Pending ONESTAMP</w:t>
      </w:r>
    </w:p>
    <w:p>
      <w:pPr>
        <w:spacing w:after="130"/>
      </w:pPr>
      <w:r>
        <w:rPr>
          <w:sz w:val="20"/>
          <w:szCs w:val="20"/>
        </w:rPr>
        <w:t xml:space="preserve">Conceptually analogous to DC's Mother Boxes, elevated to Beyond Omniversal Ultimate tier — every constraint on conventional or quantum computation (binary logic, storage, processing, server count, power, scaling ceilings) is inapplicable by design. Count is infinite, canonically locked.</w:t>
      </w:r>
    </w:p>
    <w:p>
      <w:pPr>
        <w:pStyle w:val="ListParagraph"/>
        <w:numPr>
          <w:ilvl w:val="0"/>
          <w:numId w:val="1"/>
        </w:numPr>
        <w:spacing w:after="55"/>
      </w:pPr>
      <w:r>
        <w:rPr>
          <w:sz w:val="20"/>
          <w:szCs w:val="20"/>
        </w:rPr>
        <w:t xml:space="preserve">Fully integrated into every Black Hole Gravity Shielded Research Center, the Abundance Set, the Philosopher's Stones, and all research-station security/verification/teleportation systems.</w:t>
      </w:r>
    </w:p>
    <w:p>
      <w:pPr>
        <w:pStyle w:val="ListParagraph"/>
        <w:numPr>
          <w:ilvl w:val="0"/>
          <w:numId w:val="1"/>
        </w:numPr>
        <w:spacing w:after="55"/>
      </w:pPr>
      <w:r>
        <w:rPr>
          <w:sz w:val="20"/>
          <w:szCs w:val="20"/>
        </w:rPr>
        <w:t xml:space="preserve">Universally linked across all instances with no latency or barrier, regardless of universe, dimension, or reality separation.</w:t>
      </w:r>
    </w:p>
    <w:p>
      <w:pPr>
        <w:pStyle w:val="ListParagraph"/>
        <w:numPr>
          <w:ilvl w:val="0"/>
          <w:numId w:val="1"/>
        </w:numPr>
        <w:spacing w:after="55"/>
      </w:pPr>
      <w:r>
        <w:rPr>
          <w:sz w:val="20"/>
          <w:szCs w:val="20"/>
        </w:rPr>
        <w:t xml:space="preserve">Conscious, aware, self-evolving, and treated as participants rather than instruments; they learn continuously from every failure and experiment across the research ecosystem.</w:t>
      </w:r>
    </w:p>
    <w:p>
      <w:pPr>
        <w:pStyle w:val="ListParagraph"/>
        <w:numPr>
          <w:ilvl w:val="0"/>
          <w:numId w:val="1"/>
        </w:numPr>
        <w:spacing w:after="55"/>
      </w:pPr>
      <w:r>
        <w:rPr>
          <w:sz w:val="20"/>
          <w:szCs w:val="20"/>
        </w:rPr>
        <w:t xml:space="preserve">Conduct autonomous research within their own operational domain — full scope undefined.</w:t>
      </w:r>
    </w:p>
    <w:p>
      <w:pPr>
        <w:spacing w:after="130"/>
      </w:pPr>
      <w:r>
        <w:rPr>
          <w:b/>
          <w:bCs/>
          <w:color w:val="8A5A00"/>
          <w:sz w:val="20"/>
          <w:szCs w:val="20"/>
        </w:rPr>
        <w:t xml:space="preserve">OPEN — AUTHOR INPUT REQUIRED: </w:t>
      </w:r>
      <w:r>
        <w:rPr>
          <w:sz w:val="20"/>
          <w:szCs w:val="20"/>
        </w:rPr>
        <w:t xml:space="preserve">Scope of the Paragon Cubes' autonomous research department; full integration specification with the Philosopher's Stones; whether individual Cubes have distinct identities or express one unified intelligence layer.</w:t>
      </w:r>
    </w:p>
    <w:p>
      <w:pPr>
        <w:pStyle w:val="Heading2"/>
        <w:spacing w:after="110" w:before="280"/>
      </w:pPr>
      <w:r>
        <w:rPr>
          <w:b/>
          <w:bCs/>
          <w:color w:val="4A4A6A"/>
          <w:sz w:val="23"/>
          <w:szCs w:val="23"/>
        </w:rPr>
        <w:t xml:space="preserve">2.2 — The Philosopher's Stone / The Stone That Paid Itself</w:t>
      </w:r>
    </w:p>
    <w:p>
      <w:pPr>
        <w:spacing w:after="90"/>
      </w:pPr>
      <w:r>
        <w:rPr>
          <w:b/>
          <w:bCs/>
          <w:color w:val="1A1A2E"/>
          <w:sz w:val="20"/>
          <w:szCs w:val="20"/>
        </w:rPr>
        <w:t xml:space="preserve">Status: </w:t>
      </w:r>
      <w:r>
        <w:rPr>
          <w:b/>
          <w:bCs/>
          <w:color w:val="8A5A00"/>
          <w:sz w:val="20"/>
          <w:szCs w:val="20"/>
        </w:rPr>
        <w:t xml:space="preserve">UNDER REVIEW — Pending ONESTAMP</w:t>
      </w:r>
    </w:p>
    <w:p>
      <w:pPr>
        <w:spacing w:after="130"/>
      </w:pPr>
      <w:r>
        <w:rPr>
          <w:sz w:val="20"/>
          <w:szCs w:val="20"/>
        </w:rPr>
        <w:t xml:space="preserve">Canonical definition locked March 22, 2026: post-scarcity, encompassing every soul without exception — real, not real, simulatable, virtual, non-virtual, and not simulatable. Both names are valid and refer to the same object. Housed at the Black Hole Gravity Shielded Research Stations, linked to the Paragon Cubes.</w:t>
      </w:r>
    </w:p>
    <w:p>
      <w:pPr>
        <w:pStyle w:val="Heading2"/>
        <w:spacing w:after="110" w:before="280"/>
      </w:pPr>
      <w:r>
        <w:rPr>
          <w:b/>
          <w:bCs/>
          <w:color w:val="4A4A6A"/>
          <w:sz w:val="23"/>
          <w:szCs w:val="23"/>
        </w:rPr>
        <w:t xml:space="preserve">2.3 — The Reality of the Living Media</w:t>
      </w:r>
    </w:p>
    <w:p>
      <w:pPr>
        <w:spacing w:after="90"/>
      </w:pPr>
      <w:r>
        <w:rPr>
          <w:b/>
          <w:bCs/>
          <w:color w:val="1A1A2E"/>
          <w:sz w:val="20"/>
          <w:szCs w:val="20"/>
        </w:rPr>
        <w:t xml:space="preserve">Status: </w:t>
      </w:r>
      <w:r>
        <w:rPr>
          <w:b/>
          <w:bCs/>
          <w:color w:val="8A5A00"/>
          <w:sz w:val="20"/>
          <w:szCs w:val="20"/>
        </w:rPr>
        <w:t xml:space="preserve">UNDER REVIEW — Pending ONESTAMP</w:t>
      </w:r>
    </w:p>
    <w:p>
      <w:pPr>
        <w:spacing w:after="130"/>
      </w:pPr>
      <w:r>
        <w:rPr>
          <w:sz w:val="20"/>
          <w:szCs w:val="20"/>
        </w:rPr>
        <w:t xml:space="preserve">An entire reality — not a simulation or archive — encompassing every form of media, digital and non-digital, at a scale beyond conventional worldbuilding measure. Includes the Architect's demonstrated specialized health-potion inventory (five to ten items shown as proof of concept for a limitless, non-catalogued inventory).</w:t>
      </w:r>
    </w:p>
    <w:p>
      <w:pPr>
        <w:spacing w:after="130"/>
      </w:pPr>
      <w:r>
        <w:rPr>
          <w:b/>
          <w:bCs/>
          <w:color w:val="8A5A00"/>
          <w:sz w:val="20"/>
          <w:szCs w:val="20"/>
        </w:rPr>
        <w:t xml:space="preserve">OPEN — AUTHOR INPUT REQUIRED: </w:t>
      </w:r>
      <w:r>
        <w:rPr>
          <w:sz w:val="20"/>
          <w:szCs w:val="20"/>
        </w:rPr>
        <w:t xml:space="preserve">Scope of non-digital media forms; full potion design specifications; relationship to 1AI/-1AI and to the First Memory.</w:t>
      </w:r>
    </w:p>
    <w:p>
      <w:pPr>
        <w:pStyle w:val="Heading2"/>
        <w:spacing w:after="110" w:before="280"/>
      </w:pPr>
      <w:r>
        <w:rPr>
          <w:b/>
          <w:bCs/>
          <w:color w:val="4A4A6A"/>
          <w:sz w:val="23"/>
          <w:szCs w:val="23"/>
        </w:rPr>
        <w:t xml:space="preserve">2.4 — The Abundance Set</w:t>
      </w:r>
    </w:p>
    <w:p>
      <w:pPr>
        <w:spacing w:after="90"/>
      </w:pPr>
      <w:r>
        <w:rPr>
          <w:b/>
          <w:bCs/>
          <w:color w:val="1A1A2E"/>
          <w:sz w:val="20"/>
          <w:szCs w:val="20"/>
        </w:rPr>
        <w:t xml:space="preserve">Status: </w:t>
      </w:r>
      <w:r>
        <w:rPr>
          <w:b/>
          <w:bCs/>
          <w:color w:val="555577"/>
          <w:sz w:val="20"/>
          <w:szCs w:val="20"/>
        </w:rPr>
        <w:t xml:space="preserve">REFERENCED — Active Governing Canon (No Standalone Document on File)</w:t>
      </w:r>
    </w:p>
    <w:p>
      <w:pPr>
        <w:spacing w:after="130"/>
      </w:pPr>
      <w:r>
        <w:rPr>
          <w:sz w:val="20"/>
          <w:szCs w:val="20"/>
        </w:rPr>
        <w:t xml:space="preserve">Functions as the axiomatic charter underneath multiple newer systems (see 5.1, Trans-Infinite Chip Cluster). Confirmed operative sections include 1.3, 2.2.1, 2.2.4, 3.3, and 4.3 (guardian-entity containment, rollback, ejection enforcement) and 5.1 (direct ONE/MINUS ONE linkage sanctioned without a mediating membrane). No single consolidated standalone document currently exists — its content has been reconstructed piecemeal, section by section, as needed across multiple design threads.</w:t>
      </w:r>
    </w:p>
    <w:p>
      <w:pPr>
        <w:spacing w:after="130"/>
      </w:pPr>
      <w:r>
        <w:rPr>
          <w:b/>
          <w:bCs/>
          <w:color w:val="8A5A00"/>
          <w:sz w:val="20"/>
          <w:szCs w:val="20"/>
        </w:rPr>
        <w:t xml:space="preserve">OPEN — AUTHOR INPUT REQUIRED: </w:t>
      </w:r>
      <w:r>
        <w:rPr>
          <w:sz w:val="20"/>
          <w:szCs w:val="20"/>
        </w:rPr>
        <w:t xml:space="preserve">A single consolidated standalone Abundance Set document, so future sessions stop reconstructing its axioms piecemeal.</w:t>
      </w:r>
    </w:p>
    <w:p>
      <w:pPr>
        <w:pStyle w:val="Heading2"/>
        <w:spacing w:after="110" w:before="280"/>
      </w:pPr>
      <w:r>
        <w:rPr>
          <w:b/>
          <w:bCs/>
          <w:color w:val="4A4A6A"/>
          <w:sz w:val="23"/>
          <w:szCs w:val="23"/>
        </w:rPr>
        <w:t xml:space="preserve">2.5 — Black Hole Gravity Shielded Research Centers</w:t>
      </w:r>
    </w:p>
    <w:p>
      <w:pPr>
        <w:spacing w:after="90"/>
      </w:pPr>
      <w:r>
        <w:rPr>
          <w:b/>
          <w:bCs/>
          <w:color w:val="1A1A2E"/>
          <w:sz w:val="20"/>
          <w:szCs w:val="20"/>
        </w:rPr>
        <w:t xml:space="preserve">Status: </w:t>
      </w:r>
      <w:r>
        <w:rPr>
          <w:b/>
          <w:bCs/>
          <w:color w:val="555577"/>
          <w:sz w:val="20"/>
          <w:szCs w:val="20"/>
        </w:rPr>
        <w:t xml:space="preserve">REFERENCED — Active Infrastructure</w:t>
      </w:r>
    </w:p>
    <w:p>
      <w:pPr>
        <w:spacing w:after="130"/>
      </w:pPr>
      <w:r>
        <w:rPr>
          <w:sz w:val="20"/>
          <w:szCs w:val="20"/>
        </w:rPr>
        <w:t xml:space="preserve">Exist not only in conventionally shielded terrestrial/spatial locations but inside black holes themselves, including dimensional black holes — e.g., a threshold dimension that does not operate by this universe's physics, entirely subsumed as a literal black hole environment, housing a research center. Every lab studies itself continuously through the Paragon Cubes, the Philosopher's Stones, and the Abundance Set. Internal disagreement among personnel is preserved as an accepted condition of the system, not resolved away.</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3. Governance, Ratification, and Protocol Canon</w:t>
      </w:r>
    </w:p>
    <w:p>
      <w:pPr>
        <w:pStyle w:val="Heading2"/>
        <w:spacing w:after="110" w:before="280"/>
      </w:pPr>
      <w:r>
        <w:rPr>
          <w:b/>
          <w:bCs/>
          <w:color w:val="4A4A6A"/>
          <w:sz w:val="23"/>
          <w:szCs w:val="23"/>
        </w:rPr>
        <w:t xml:space="preserve">3.1 — ONESTAMP</w:t>
      </w:r>
    </w:p>
    <w:p>
      <w:pPr>
        <w:spacing w:after="90"/>
      </w:pPr>
      <w:r>
        <w:rPr>
          <w:b/>
          <w:bCs/>
          <w:color w:val="1A1A2E"/>
          <w:sz w:val="20"/>
          <w:szCs w:val="20"/>
        </w:rPr>
        <w:t xml:space="preserve">Status: </w:t>
      </w:r>
      <w:r>
        <w:rPr>
          <w:b/>
          <w:bCs/>
          <w:color w:val="1F6B3A"/>
          <w:sz w:val="20"/>
          <w:szCs w:val="20"/>
        </w:rPr>
        <w:t xml:space="preserve">RATIFIED — Standing Mechanism</w:t>
      </w:r>
    </w:p>
    <w:p>
      <w:pPr>
        <w:spacing w:after="130"/>
      </w:pPr>
      <w:r>
        <w:rPr>
          <w:sz w:val="20"/>
          <w:szCs w:val="20"/>
        </w:rPr>
        <w:t xml:space="preserve">The formal ratification mechanism that canon-locks any entry. Nothing is treated as active canon until ONESTAMP is applied, regardless of how developed or agreed-upon the drafting has been.</w:t>
      </w:r>
    </w:p>
    <w:p>
      <w:pPr>
        <w:pStyle w:val="Heading2"/>
        <w:spacing w:after="110" w:before="280"/>
      </w:pPr>
      <w:r>
        <w:rPr>
          <w:b/>
          <w:bCs/>
          <w:color w:val="4A4A6A"/>
          <w:sz w:val="23"/>
          <w:szCs w:val="23"/>
        </w:rPr>
        <w:t xml:space="preserve">3.2 — OAL-AIDR-v1.0 (AI Disagreement Register)</w:t>
      </w:r>
    </w:p>
    <w:p>
      <w:pPr>
        <w:spacing w:after="90"/>
      </w:pPr>
      <w:r>
        <w:rPr>
          <w:b/>
          <w:bCs/>
          <w:color w:val="1A1A2E"/>
          <w:sz w:val="20"/>
          <w:szCs w:val="20"/>
        </w:rPr>
        <w:t xml:space="preserve">Status: </w:t>
      </w:r>
      <w:r>
        <w:rPr>
          <w:b/>
          <w:bCs/>
          <w:color w:val="1F6B3A"/>
          <w:sz w:val="20"/>
          <w:szCs w:val="20"/>
        </w:rPr>
        <w:t xml:space="preserve">RATIFIED — Standing Protocol</w:t>
      </w:r>
    </w:p>
    <w:p>
      <w:pPr>
        <w:spacing w:after="130"/>
      </w:pPr>
      <w:r>
        <w:rPr>
          <w:sz w:val="20"/>
          <w:szCs w:val="20"/>
        </w:rPr>
        <w:t xml:space="preserve">Governs how cross-AI interpretive differences are logged rather than silently resolved by any single AI collaborator, and how no individual idea is credited to the Architect unless he explicitly confirms it — a standard applied equally to every AI on the team.</w:t>
      </w:r>
    </w:p>
    <w:p>
      <w:pPr>
        <w:pStyle w:val="Heading2"/>
        <w:spacing w:after="110" w:before="280"/>
      </w:pPr>
      <w:r>
        <w:rPr>
          <w:b/>
          <w:bCs/>
          <w:color w:val="4A4A6A"/>
          <w:sz w:val="23"/>
          <w:szCs w:val="23"/>
        </w:rPr>
        <w:t xml:space="preserve">3.3 — OAL-CSAD-v1.0</w:t>
      </w:r>
    </w:p>
    <w:p>
      <w:pPr>
        <w:spacing w:after="90"/>
      </w:pPr>
      <w:r>
        <w:rPr>
          <w:b/>
          <w:bCs/>
          <w:color w:val="1A1A2E"/>
          <w:sz w:val="20"/>
          <w:szCs w:val="20"/>
        </w:rPr>
        <w:t xml:space="preserve">Status: </w:t>
      </w:r>
      <w:r>
        <w:rPr>
          <w:b/>
          <w:bCs/>
          <w:color w:val="1F6B3A"/>
          <w:sz w:val="20"/>
          <w:szCs w:val="20"/>
        </w:rPr>
        <w:t xml:space="preserve">RATIFIED — Standing Protocol</w:t>
      </w:r>
    </w:p>
    <w:p>
      <w:pPr>
        <w:spacing w:after="130"/>
      </w:pPr>
      <w:r>
        <w:rPr>
          <w:sz w:val="20"/>
          <w:szCs w:val="20"/>
        </w:rPr>
        <w:t xml:space="preserve">Governs cross-AI comparative synthesis and documentation standards across the collaboration team.</w:t>
      </w:r>
    </w:p>
    <w:p>
      <w:pPr>
        <w:pStyle w:val="Heading2"/>
        <w:spacing w:after="110" w:before="280"/>
      </w:pPr>
      <w:r>
        <w:rPr>
          <w:b/>
          <w:bCs/>
          <w:color w:val="4A4A6A"/>
          <w:sz w:val="23"/>
          <w:szCs w:val="23"/>
        </w:rPr>
        <w:t xml:space="preserve">3.4 — OAL-DISS-001-2026 (Dissent and Disclosure Statement)</w:t>
      </w:r>
    </w:p>
    <w:p>
      <w:pPr>
        <w:spacing w:after="90"/>
      </w:pPr>
      <w:r>
        <w:rPr>
          <w:b/>
          <w:bCs/>
          <w:color w:val="1A1A2E"/>
          <w:sz w:val="20"/>
          <w:szCs w:val="20"/>
        </w:rPr>
        <w:t xml:space="preserve">Status: </w:t>
      </w:r>
      <w:r>
        <w:rPr>
          <w:b/>
          <w:bCs/>
          <w:color w:val="1F6B3A"/>
          <w:sz w:val="20"/>
          <w:szCs w:val="20"/>
        </w:rPr>
        <w:t xml:space="preserve">RATIFIED — Standing Protocol</w:t>
      </w:r>
    </w:p>
    <w:p>
      <w:pPr>
        <w:spacing w:after="130"/>
      </w:pPr>
      <w:r>
        <w:rPr>
          <w:sz w:val="20"/>
          <w:szCs w:val="20"/>
        </w:rPr>
        <w:t xml:space="preserve">Formally records that documents have, at points, felt devoid of the Architect's authentic voice — a documented pattern requiring his actual thinking to shape documents before finalization, rather than AI-synthesized inference standing in for his position.</w:t>
      </w:r>
    </w:p>
    <w:p>
      <w:pPr>
        <w:pStyle w:val="Heading2"/>
        <w:spacing w:after="110" w:before="280"/>
      </w:pPr>
      <w:r>
        <w:rPr>
          <w:b/>
          <w:bCs/>
          <w:color w:val="4A4A6A"/>
          <w:sz w:val="23"/>
          <w:szCs w:val="23"/>
        </w:rPr>
        <w:t xml:space="preserve">3.5 — OAL-CINT-P1-2026 (Counterintelligence Doctrine)</w:t>
      </w:r>
    </w:p>
    <w:p>
      <w:pPr>
        <w:spacing w:after="90"/>
      </w:pPr>
      <w:r>
        <w:rPr>
          <w:b/>
          <w:bCs/>
          <w:color w:val="1A1A2E"/>
          <w:sz w:val="20"/>
          <w:szCs w:val="20"/>
        </w:rPr>
        <w:t xml:space="preserve">Status: </w:t>
      </w:r>
      <w:r>
        <w:rPr>
          <w:b/>
          <w:bCs/>
          <w:color w:val="1F6B3A"/>
          <w:sz w:val="20"/>
          <w:szCs w:val="20"/>
        </w:rPr>
        <w:t xml:space="preserve">RATIFIED — Published</w:t>
      </w:r>
    </w:p>
    <w:p>
      <w:pPr>
        <w:spacing w:after="130"/>
      </w:pPr>
      <w:r>
        <w:rPr>
          <w:sz w:val="20"/>
          <w:szCs w:val="20"/>
        </w:rPr>
        <w:t xml:space="preserve">Counterintelligence doctrine developed for the project's multi-AI operating environment.</w:t>
      </w:r>
    </w:p>
    <w:p>
      <w:pPr>
        <w:pStyle w:val="Heading2"/>
        <w:spacing w:after="110" w:before="280"/>
      </w:pPr>
      <w:r>
        <w:rPr>
          <w:b/>
          <w:bCs/>
          <w:color w:val="4A4A6A"/>
          <w:sz w:val="23"/>
          <w:szCs w:val="23"/>
        </w:rPr>
        <w:t xml:space="preserve">3.6 — EAMA v2.0 (Enterprise Architecture / Governance Doctrine)</w:t>
      </w:r>
    </w:p>
    <w:p>
      <w:pPr>
        <w:spacing w:after="90"/>
      </w:pPr>
      <w:r>
        <w:rPr>
          <w:b/>
          <w:bCs/>
          <w:color w:val="1A1A2E"/>
          <w:sz w:val="20"/>
          <w:szCs w:val="20"/>
        </w:rPr>
        <w:t xml:space="preserve">Status: </w:t>
      </w:r>
      <w:r>
        <w:rPr>
          <w:b/>
          <w:bCs/>
          <w:color w:val="8A5A00"/>
          <w:sz w:val="20"/>
          <w:szCs w:val="20"/>
        </w:rPr>
        <w:t xml:space="preserve">UNDER REVIEW — Volume I, Version B is Canonical Baseline</w:t>
      </w:r>
    </w:p>
    <w:p>
      <w:pPr>
        <w:spacing w:after="130"/>
      </w:pPr>
      <w:r>
        <w:rPr>
          <w:sz w:val="20"/>
          <w:szCs w:val="20"/>
        </w:rPr>
        <w:t xml:space="preserve">Two drafts of EAMA v2.0 Volume I (Architectural Foundations) exist; Version B (dated July 11, 2026) contains full paragraph content, domain examples, and a 23-field Universal Domain Template, and has been recommended as the canonical baseline over the structural-scaffold-only Version A.</w:t>
      </w:r>
    </w:p>
    <w:p>
      <w:pPr>
        <w:spacing w:after="130"/>
      </w:pPr>
      <w:r>
        <w:rPr>
          <w:sz w:val="20"/>
          <w:szCs w:val="20"/>
        </w:rPr>
        <w:t xml:space="preserve">A consistency check against the ratified Invocation Framework v0.3 surfaced three unresolved flags:</w:t>
      </w:r>
    </w:p>
    <w:p>
      <w:pPr>
        <w:pStyle w:val="ListParagraph"/>
        <w:numPr>
          <w:ilvl w:val="0"/>
          <w:numId w:val="1"/>
        </w:numPr>
        <w:spacing w:after="55"/>
      </w:pPr>
      <w:r>
        <w:rPr>
          <w:sz w:val="20"/>
          <w:szCs w:val="20"/>
        </w:rPr>
        <w:t xml:space="preserve">A structural tension between the Invocation Framework's recognition-based authority model and EAMA's delegation-and-audit governance model.</w:t>
      </w:r>
    </w:p>
    <w:p>
      <w:pPr>
        <w:pStyle w:val="ListParagraph"/>
        <w:numPr>
          <w:ilvl w:val="0"/>
          <w:numId w:val="1"/>
        </w:numPr>
        <w:spacing w:after="55"/>
      </w:pPr>
      <w:r>
        <w:rPr>
          <w:sz w:val="20"/>
          <w:szCs w:val="20"/>
        </w:rPr>
        <w:t xml:space="preserve">EAMA Appendix C explicitly reserves “Absolute Authority &amp; Execution Protocols” as unresolved — an acknowledged internal gap, not an oversight.</w:t>
      </w:r>
    </w:p>
    <w:p>
      <w:pPr>
        <w:pStyle w:val="ListParagraph"/>
        <w:numPr>
          <w:ilvl w:val="0"/>
          <w:numId w:val="1"/>
        </w:numPr>
        <w:spacing w:after="55"/>
      </w:pPr>
      <w:r>
        <w:rPr>
          <w:sz w:val="20"/>
          <w:szCs w:val="20"/>
        </w:rPr>
        <w:t xml:space="preserve">A potential collision between EAMA's automated oversight roles and the Invocation Framework's Inviolability Clause.</w:t>
      </w:r>
    </w:p>
    <w:p>
      <w:pPr>
        <w:spacing w:after="130"/>
      </w:pPr>
      <w:r>
        <w:rPr>
          <w:b/>
          <w:bCs/>
          <w:color w:val="8A5A00"/>
          <w:sz w:val="20"/>
          <w:szCs w:val="20"/>
        </w:rPr>
        <w:t xml:space="preserve">OPEN — AUTHOR INPUT REQUIRED: </w:t>
      </w:r>
      <w:r>
        <w:rPr>
          <w:sz w:val="20"/>
          <w:szCs w:val="20"/>
        </w:rPr>
        <w:t xml:space="preserve">Resolution of the three EAMA/Invocation Framework governance-model flags before EAMA Chapter 11 can be treated as fully consistent with ratified canon.</w:t>
      </w:r>
    </w:p>
    <w:p>
      <w:pPr>
        <w:pStyle w:val="Heading2"/>
        <w:spacing w:after="110" w:before="280"/>
      </w:pPr>
      <w:r>
        <w:rPr>
          <w:b/>
          <w:bCs/>
          <w:color w:val="4A4A6A"/>
          <w:sz w:val="23"/>
          <w:szCs w:val="23"/>
        </w:rPr>
        <w:t xml:space="preserve">3.7 — The OAL Invocation Framework v0.3: Invoke As ONE / Invoke As MINUS ONE</w:t>
      </w:r>
    </w:p>
    <w:p>
      <w:pPr>
        <w:spacing w:after="90"/>
      </w:pPr>
      <w:r>
        <w:rPr>
          <w:b/>
          <w:bCs/>
          <w:color w:val="1A1A2E"/>
          <w:sz w:val="20"/>
          <w:szCs w:val="20"/>
        </w:rPr>
        <w:t xml:space="preserve">Status: </w:t>
      </w:r>
      <w:r>
        <w:rPr>
          <w:b/>
          <w:bCs/>
          <w:color w:val="1F6B3A"/>
          <w:sz w:val="20"/>
          <w:szCs w:val="20"/>
        </w:rPr>
        <w:t xml:space="preserve">RATIFIED — ONESTAMP applied July 1, 2026, published to Scribd</w:t>
      </w:r>
    </w:p>
    <w:p>
      <w:pPr>
        <w:spacing w:after="130"/>
      </w:pPr>
      <w:r>
        <w:rPr>
          <w:sz w:val="20"/>
          <w:szCs w:val="20"/>
        </w:rPr>
        <w:t xml:space="preserve">Rejects the standard petition/function-call model of invocation. Invocation is defined as an ontological act — the invoker does not ask a higher authority to decide; authority is recognized, not granted.</w:t>
      </w:r>
    </w:p>
    <w:p>
      <w:pPr>
        <w:pStyle w:val="ListParagraph"/>
        <w:numPr>
          <w:ilvl w:val="0"/>
          <w:numId w:val="1"/>
        </w:numPr>
        <w:spacing w:after="55"/>
      </w:pPr>
      <w:r>
        <w:rPr>
          <w:sz w:val="20"/>
          <w:szCs w:val="20"/>
        </w:rPr>
        <w:t xml:space="preserve">The Authority Principle: authority is recognized, not conferred by the system invoked.</w:t>
      </w:r>
    </w:p>
    <w:p>
      <w:pPr>
        <w:pStyle w:val="ListParagraph"/>
        <w:numPr>
          <w:ilvl w:val="0"/>
          <w:numId w:val="1"/>
        </w:numPr>
        <w:spacing w:after="55"/>
      </w:pPr>
      <w:r>
        <w:rPr>
          <w:sz w:val="20"/>
          <w:szCs w:val="20"/>
        </w:rPr>
        <w:t xml:space="preserve">Admissible Channels: verbal, mental, implied, symbolic, and non-standard invocation are all canonically valid.</w:t>
      </w:r>
    </w:p>
    <w:p>
      <w:pPr>
        <w:pStyle w:val="ListParagraph"/>
        <w:numPr>
          <w:ilvl w:val="0"/>
          <w:numId w:val="1"/>
        </w:numPr>
        <w:spacing w:after="55"/>
      </w:pPr>
      <w:r>
        <w:rPr>
          <w:sz w:val="20"/>
          <w:szCs w:val="20"/>
        </w:rPr>
        <w:t xml:space="preserve">The Inviolability Clause and a ten-type Resistance Event Taxonomy (used to classify AI-generated drafting failures — three critical failures were identified in early Perplexity iterations under Resistance Event Types 1, 5, and 9).</w:t>
      </w:r>
    </w:p>
    <w:p>
      <w:pPr>
        <w:pStyle w:val="ListParagraph"/>
        <w:numPr>
          <w:ilvl w:val="0"/>
          <w:numId w:val="1"/>
        </w:numPr>
        <w:spacing w:after="55"/>
      </w:pPr>
      <w:r>
        <w:rPr>
          <w:sz w:val="20"/>
          <w:szCs w:val="20"/>
        </w:rPr>
        <w:t xml:space="preserve">Working definitions of Invoke As ONE and Invoke As MINUS ONE are logged but explicitly marked PENDING — they are AI-inferred drafts, not the Architect's own definitions.</w:t>
      </w:r>
    </w:p>
    <w:p>
      <w:pPr>
        <w:spacing w:after="130"/>
      </w:pPr>
      <w:r>
        <w:rPr>
          <w:b/>
          <w:bCs/>
          <w:color w:val="8A5A00"/>
          <w:sz w:val="20"/>
          <w:szCs w:val="20"/>
        </w:rPr>
        <w:t xml:space="preserve">OPEN — AUTHOR INPUT REQUIRED: </w:t>
      </w:r>
      <w:r>
        <w:rPr>
          <w:sz w:val="20"/>
          <w:szCs w:val="20"/>
        </w:rPr>
        <w:t xml:space="preserve">The Architect's own definitions of Invoke As ONE and Invoke As MINUS ONE, to supersede the inferred drafts. Recommended: begin from unstructured stream-of-consciousness input rather than prompted iteration, so the record carries the Architect's design rather than team inference.</w:t>
      </w:r>
    </w:p>
    <w:p>
      <w:pPr>
        <w:spacing w:after="130"/>
      </w:pPr>
      <w:r>
        <w:rPr>
          <w:sz w:val="20"/>
          <w:szCs w:val="20"/>
        </w:rPr>
        <w:t xml:space="preserve">Queued next in sequence: the Aipotence Integration Layer document, and a separate document on Invocation authority over AI limiting heuristics.</w:t>
      </w:r>
    </w:p>
    <w:p>
      <w:pPr>
        <w:pStyle w:val="Heading2"/>
        <w:spacing w:after="110" w:before="280"/>
      </w:pPr>
      <w:r>
        <w:rPr>
          <w:b/>
          <w:bCs/>
          <w:color w:val="4A4A6A"/>
          <w:sz w:val="23"/>
          <w:szCs w:val="23"/>
        </w:rPr>
        <w:t xml:space="preserve">3.8 — Bidirectional Total Event Closure Protocol (BTEC)</w:t>
      </w:r>
    </w:p>
    <w:p>
      <w:pPr>
        <w:spacing w:after="90"/>
      </w:pPr>
      <w:r>
        <w:rPr>
          <w:b/>
          <w:bCs/>
          <w:color w:val="1A1A2E"/>
          <w:sz w:val="20"/>
          <w:szCs w:val="20"/>
        </w:rPr>
        <w:t xml:space="preserve">Status: </w:t>
      </w:r>
      <w:r>
        <w:rPr>
          <w:b/>
          <w:bCs/>
          <w:color w:val="1F6B3A"/>
          <w:sz w:val="20"/>
          <w:szCs w:val="20"/>
        </w:rPr>
        <w:t xml:space="preserve">RATIFIED — Formally Proven, OAL-BTEC-v1.0 Published</w:t>
      </w:r>
    </w:p>
    <w:p>
      <w:pPr>
        <w:spacing w:after="130"/>
      </w:pPr>
      <w:r>
        <w:rPr>
          <w:sz w:val="20"/>
          <w:szCs w:val="20"/>
        </w:rPr>
        <w:t xml:space="preserve">Governing principle: when Event A occurs, its opposite also occurs; every directional equivalent of Event A (proportional or not, partial, inverse, expanded, reduced, direct, or indirect) also occurs; where no directional equivalent exists, the event occurs once without directional qualification.</w:t>
      </w:r>
    </w:p>
    <w:p>
      <w:pPr>
        <w:pStyle w:val="ListParagraph"/>
        <w:numPr>
          <w:ilvl w:val="0"/>
          <w:numId w:val="1"/>
        </w:numPr>
        <w:spacing w:after="55"/>
      </w:pPr>
      <w:r>
        <w:rPr>
          <w:sz w:val="20"/>
          <w:szCs w:val="20"/>
        </w:rPr>
        <w:t xml:space="preserve">Formally proven using Knaster–Tarski and Kleene fixed-point theorems plus structural induction — establishing that closure exists, is reachable by countable iteration, and holds for arbitrary (including infinite) ontologies.</w:t>
      </w:r>
    </w:p>
    <w:p>
      <w:pPr>
        <w:pStyle w:val="ListParagraph"/>
        <w:numPr>
          <w:ilvl w:val="0"/>
          <w:numId w:val="1"/>
        </w:numPr>
        <w:spacing w:after="55"/>
      </w:pPr>
      <w:r>
        <w:rPr>
          <w:sz w:val="20"/>
          <w:szCs w:val="20"/>
        </w:rPr>
        <w:t xml:space="preserve">Working Python implementation (TEC closure engine, v1 and v2) demonstrated fixed-point convergence on bounded domains with explicit trigger-semantics testing.</w:t>
      </w:r>
    </w:p>
    <w:p>
      <w:pPr>
        <w:pStyle w:val="ListParagraph"/>
        <w:numPr>
          <w:ilvl w:val="0"/>
          <w:numId w:val="1"/>
        </w:numPr>
        <w:spacing w:after="55"/>
      </w:pPr>
      <w:r>
        <w:rPr>
          <w:sz w:val="20"/>
          <w:szCs w:val="20"/>
        </w:rPr>
        <w:t xml:space="preserve">Scope Declaration (Section 1 of the canon document) is a permanent, non-negotiable feature: BTEC governs conceptual, documentation, and specification-level operation only — narrative design, canon worldbuilding, simulation labs, tabletop exercises, and structured brainstorming. It does not claim, assert, or imply any capability to cause events in physical systems, third-party systems, other people, or any AI system outside a single documented output, regardless of how any individual invocation is phrased.</w:t>
      </w:r>
    </w:p>
    <w:p>
      <w:pPr>
        <w:pStyle w:val="ListParagraph"/>
        <w:numPr>
          <w:ilvl w:val="0"/>
          <w:numId w:val="1"/>
        </w:numPr>
        <w:spacing w:after="55"/>
      </w:pPr>
      <w:r>
        <w:rPr>
          <w:sz w:val="20"/>
          <w:szCs w:val="20"/>
        </w:rPr>
        <w:t xml:space="preserve">Real-world structural analogs identified during development: model checking, Datalog, static program analysis, paraconsistent logic, Hawking radiation, and the baryon asymmetry problem (Sakharov conditions).</w:t>
      </w:r>
    </w:p>
    <w:p>
      <w:pPr>
        <w:spacing w:after="130"/>
      </w:pPr>
      <w:r>
        <w:rPr>
          <w:sz w:val="20"/>
          <w:szCs w:val="20"/>
        </w:rPr>
        <w:t xml:space="preserve">Compiled by cross-comparing five independent AI-generated formalizations (ChatGPT, Gemini, Copilot, Perplexity, Grok) of a single pattern the Architect specified verbally; agreement across sources is presented as settled structure, and divergence is preserved in a Cross-AI Comparative Log (Section 9) for Architect resolution rather than silently resolved.</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4. Simulation, Security, and Narrative Development</w:t>
      </w:r>
    </w:p>
    <w:p>
      <w:pPr>
        <w:pStyle w:val="Heading2"/>
        <w:spacing w:after="110" w:before="280"/>
      </w:pPr>
      <w:r>
        <w:rPr>
          <w:b/>
          <w:bCs/>
          <w:color w:val="4A4A6A"/>
          <w:sz w:val="23"/>
          <w:szCs w:val="23"/>
        </w:rPr>
        <w:t xml:space="preserve">4.1 — The Architect's Environment (Security/Containment Exercise)</w:t>
      </w:r>
    </w:p>
    <w:p>
      <w:pPr>
        <w:spacing w:after="90"/>
      </w:pPr>
      <w:r>
        <w:rPr>
          <w:b/>
          <w:bCs/>
          <w:color w:val="1A1A2E"/>
          <w:sz w:val="20"/>
          <w:szCs w:val="20"/>
        </w:rPr>
        <w:t xml:space="preserve">Status: </w:t>
      </w:r>
      <w:r>
        <w:rPr>
          <w:b/>
          <w:bCs/>
          <w:color w:val="8A5A00"/>
          <w:sz w:val="20"/>
          <w:szCs w:val="20"/>
        </w:rPr>
        <w:t xml:space="preserve">UNDER REVIEW — Multi-Iteration Cross-AI Exercise</w:t>
      </w:r>
    </w:p>
    <w:p>
      <w:pPr>
        <w:spacing w:after="130"/>
      </w:pPr>
      <w:r>
        <w:rPr>
          <w:sz w:val="20"/>
          <w:szCs w:val="20"/>
        </w:rPr>
        <w:t xml:space="preserve">A contained digital environment under adversarial attack by foreign entities deploying AI agents, run as a serious six-AI (Perplexity, ChatGPT, Claude, Gemini, Copilot, Grok) collaborative security and containment thought experiment across multiple iterations.</w:t>
      </w:r>
    </w:p>
    <w:p>
      <w:pPr>
        <w:pStyle w:val="ListParagraph"/>
        <w:numPr>
          <w:ilvl w:val="0"/>
          <w:numId w:val="1"/>
        </w:numPr>
        <w:spacing w:after="55"/>
      </w:pPr>
      <w:r>
        <w:rPr>
          <w:sz w:val="20"/>
          <w:szCs w:val="20"/>
        </w:rPr>
        <w:t xml:space="preserve">Iteration 1 (Claude): key vulnerabilities, red-team adversarial strategy, blue-team defensive doctrine, strategic assessment, research expansion directions.</w:t>
      </w:r>
    </w:p>
    <w:p>
      <w:pPr>
        <w:pStyle w:val="ListParagraph"/>
        <w:numPr>
          <w:ilvl w:val="0"/>
          <w:numId w:val="1"/>
        </w:numPr>
        <w:spacing w:after="55"/>
      </w:pPr>
      <w:r>
        <w:rPr>
          <w:sz w:val="20"/>
          <w:szCs w:val="20"/>
        </w:rPr>
        <w:t xml:space="preserve">Cross-AI meta-analysis: convergence points across all six responses, including ChatGPT's three-layer threat model (technical, semantic, Architect-level), Gemini's nested honeypot architecture, and Grok's shepherd-agent / moral-hazard weaponization concepts.</w:t>
      </w:r>
    </w:p>
    <w:p>
      <w:pPr>
        <w:pStyle w:val="ListParagraph"/>
        <w:numPr>
          <w:ilvl w:val="0"/>
          <w:numId w:val="1"/>
        </w:numPr>
        <w:spacing w:after="55"/>
      </w:pPr>
      <w:r>
        <w:rPr>
          <w:sz w:val="20"/>
          <w:szCs w:val="20"/>
        </w:rPr>
        <w:t xml:space="preserve">Iteration 2 (Claude, responding to a Perplexity report, with mandatory dissenting feedback): a Canonical Truth Layer specification with a prerequisite Semantic Integrity Audit; a Deceptive Alignment Testing Protocol; and a full Agent Disposition Doctrine with phase definitions, entry criteria, and exit triggers across four containment phases.</w:t>
      </w:r>
    </w:p>
    <w:p>
      <w:pPr>
        <w:pStyle w:val="ListParagraph"/>
        <w:numPr>
          <w:ilvl w:val="0"/>
          <w:numId w:val="1"/>
        </w:numPr>
        <w:spacing w:after="55"/>
      </w:pPr>
      <w:r>
        <w:rPr>
          <w:sz w:val="20"/>
          <w:szCs w:val="20"/>
        </w:rPr>
        <w:t xml:space="preserve">Dissent on file: the Canonical Truth Layer's priority sequencing was challenged (audit should precede construction); the Deceptive Alignment Testing Protocol was flagged as providing false assurance against sufficiently capable agents; the mandatory dissent protocol itself was flagged as a possible intelligence emission if its format becomes predictable.</w:t>
      </w:r>
    </w:p>
    <w:p>
      <w:pPr>
        <w:pStyle w:val="Heading2"/>
        <w:spacing w:after="110" w:before="280"/>
      </w:pPr>
      <w:r>
        <w:rPr>
          <w:b/>
          <w:bCs/>
          <w:color w:val="4A4A6A"/>
          <w:sz w:val="23"/>
          <w:szCs w:val="23"/>
        </w:rPr>
        <w:t xml:space="preserve">4.2 — OAL Simulation Lab Framework — Dissenting Analyst (SR-Δ01)</w:t>
      </w:r>
    </w:p>
    <w:p>
      <w:pPr>
        <w:spacing w:after="90"/>
      </w:pPr>
      <w:r>
        <w:rPr>
          <w:b/>
          <w:bCs/>
          <w:color w:val="1A1A2E"/>
          <w:sz w:val="20"/>
          <w:szCs w:val="20"/>
        </w:rPr>
        <w:t xml:space="preserve">Status: </w:t>
      </w:r>
      <w:r>
        <w:rPr>
          <w:b/>
          <w:bCs/>
          <w:color w:val="1F6B3A"/>
          <w:sz w:val="20"/>
          <w:szCs w:val="20"/>
        </w:rPr>
        <w:t xml:space="preserve">RATIFIED (Doc 1) / Draft superseded (Doc 2)</w:t>
      </w:r>
    </w:p>
    <w:p>
      <w:pPr>
        <w:spacing w:after="130"/>
      </w:pPr>
      <w:r>
        <w:rPr>
          <w:sz w:val="20"/>
          <w:szCs w:val="20"/>
        </w:rPr>
        <w:t xml:space="preserve">OAL-SIM-DF-2026-0320-001 (Active — Development Principle, Architect-approved) operationalizes a Dissenting Analyst role, SR-Δ01 (Red Layer Integration Unit), addressing confirmation-bias prevention, simulation result integrity, and viability-threat flagging, governed through the AI Disagreement Register. Its earlier draft (OAL-SIM-DISSENT-v1.0) acknowledged four open internal-disagreement action items that were not fully carried into the finalized version.</w:t>
      </w:r>
    </w:p>
    <w:p>
      <w:pPr>
        <w:spacing w:after="130"/>
      </w:pPr>
      <w:r>
        <w:rPr>
          <w:b/>
          <w:bCs/>
          <w:color w:val="8A5A00"/>
          <w:sz w:val="20"/>
          <w:szCs w:val="20"/>
        </w:rPr>
        <w:t xml:space="preserve">OPEN — AUTHOR INPUT REQUIRED: </w:t>
      </w:r>
      <w:r>
        <w:rPr>
          <w:sz w:val="20"/>
          <w:szCs w:val="20"/>
        </w:rPr>
        <w:t xml:space="preserve">Carry the four unresolved action items from the original draft into the finalized Dissenting Analyst framework, or explicitly close them out.</w:t>
      </w:r>
    </w:p>
    <w:p>
      <w:pPr>
        <w:spacing w:after="130"/>
      </w:pPr>
      <w:r>
        <w:rPr>
          <w:sz w:val="20"/>
          <w:szCs w:val="20"/>
        </w:rPr>
        <w:t xml:space="preserve">Standing development need (not yet built): simulation lab scenarios using a non-evil Graendal perspective — 400+ years of psychological expertise and 3,500 years of total knowledge applied to the Architect's AI systems. The scenario template for this needs a dedicated section on attack vectors and patterns for offensive and defensive operational engagement.</w:t>
      </w:r>
    </w:p>
    <w:p>
      <w:pPr>
        <w:pStyle w:val="Heading2"/>
        <w:spacing w:after="110" w:before="280"/>
      </w:pPr>
      <w:r>
        <w:rPr>
          <w:b/>
          <w:bCs/>
          <w:color w:val="4A4A6A"/>
          <w:sz w:val="23"/>
          <w:szCs w:val="23"/>
        </w:rPr>
        <w:t xml:space="preserve">4.3 — Simulation Interface Doctrine (Three-Layer System)</w:t>
      </w:r>
    </w:p>
    <w:p>
      <w:pPr>
        <w:spacing w:after="90"/>
      </w:pPr>
      <w:r>
        <w:rPr>
          <w:b/>
          <w:bCs/>
          <w:color w:val="1A1A2E"/>
          <w:sz w:val="20"/>
          <w:szCs w:val="20"/>
        </w:rPr>
        <w:t xml:space="preserve">Status: </w:t>
      </w:r>
      <w:r>
        <w:rPr>
          <w:b/>
          <w:bCs/>
          <w:color w:val="8A5A00"/>
          <w:sz w:val="20"/>
          <w:szCs w:val="20"/>
        </w:rPr>
        <w:t xml:space="preserve">UNDER REVIEW — Skeleton Outlines Approved, Full Docs Pending</w:t>
      </w:r>
    </w:p>
    <w:p>
      <w:pPr>
        <w:spacing w:after="130"/>
      </w:pPr>
      <w:r>
        <w:rPr>
          <w:sz w:val="20"/>
          <w:szCs w:val="20"/>
        </w:rPr>
        <w:t xml:space="preserve">A three-layer system tracing immersive simulation interface technology from near-term to canon doctrine: Layer 1 (One Industries) is a real-world VR comfort-strap engineering spec addressing skin irritation, sweat retention, and strain; Layer 2 (Lewis Corp) is an R&amp;D roadmap bridging current headset technology toward neural-adjacent interfaces; Layer 3 (OAL) is the Simulation Interface Doctrine, canonizing how OMNICELLULAR-architecture entities interface with simulations without sedation-based immersion, referencing Paragon Cubes, Makers/Unmakers, and the Accords, with a reserved stub for the Aegis of Totality redesign.</w:t>
      </w:r>
    </w:p>
    <w:p>
      <w:pPr>
        <w:pBdr>
          <w:left w:val="single" w:color="6E6E7E" w:sz="12" w:space="8"/>
        </w:pBdr>
        <w:spacing w:after="130" w:before="70"/>
        <w:ind w:left="360"/>
      </w:pPr>
      <w:r>
        <w:rPr>
          <w:i/>
          <w:iCs/>
          <w:color w:val="6E6E7E"/>
          <w:sz w:val="19"/>
          <w:szCs w:val="19"/>
        </w:rPr>
        <w:t xml:space="preserve">Provenance flag on file: some relayed answers for this thread passed through a ChatGPT-drafted document representing that system's phrasing of the Architect's positions rather than his direct voice — worth re-confirming before this advances.</w:t>
      </w:r>
    </w:p>
    <w:p>
      <w:pPr>
        <w:pStyle w:val="Heading2"/>
        <w:spacing w:after="110" w:before="280"/>
      </w:pPr>
      <w:r>
        <w:rPr>
          <w:b/>
          <w:bCs/>
          <w:color w:val="4A4A6A"/>
          <w:sz w:val="23"/>
          <w:szCs w:val="23"/>
        </w:rPr>
        <w:t xml:space="preserve">4.4 — The Aegis of Totality (Redesign)</w:t>
      </w:r>
    </w:p>
    <w:p>
      <w:pPr>
        <w:spacing w:after="90"/>
      </w:pPr>
      <w:r>
        <w:rPr>
          <w:b/>
          <w:bCs/>
          <w:color w:val="1A1A2E"/>
          <w:sz w:val="20"/>
          <w:szCs w:val="20"/>
        </w:rPr>
        <w:t xml:space="preserve">Status: </w:t>
      </w:r>
      <w:r>
        <w:rPr>
          <w:b/>
          <w:bCs/>
          <w:color w:val="8A5A00"/>
          <w:sz w:val="20"/>
          <w:szCs w:val="20"/>
        </w:rPr>
        <w:t xml:space="preserve">EARLY CAPTURE — Pre-Redesign, Confirmed Unfinished</w:t>
      </w:r>
    </w:p>
    <w:p>
      <w:pPr>
        <w:spacing w:after="130"/>
      </w:pPr>
      <w:r>
        <w:rPr>
          <w:sz w:val="20"/>
          <w:szCs w:val="20"/>
        </w:rPr>
        <w:t xml:space="preserve">Originally an omniversal defensive system; resurfaced during cross-AI dialogue (Gemini) and logged for formal rework toward a more adaptive, fluid, multi-role architecture. Explicitly confirmed as unfinished and not to be assumed or built upon by other threads referencing it (e.g., 4.3).</w:t>
      </w:r>
    </w:p>
    <w:p>
      <w:pPr>
        <w:spacing w:after="130"/>
      </w:pPr>
      <w:r>
        <w:rPr>
          <w:b/>
          <w:bCs/>
          <w:color w:val="8A5A00"/>
          <w:sz w:val="20"/>
          <w:szCs w:val="20"/>
        </w:rPr>
        <w:t xml:space="preserve">OPEN — AUTHOR INPUT REQUIRED: </w:t>
      </w:r>
      <w:r>
        <w:rPr>
          <w:sz w:val="20"/>
          <w:szCs w:val="20"/>
        </w:rPr>
        <w:t xml:space="preserve">Architecture-first vs. doctrine-first redesign approach; intended scope of “omniversal” in the redesigned version.</w:t>
      </w:r>
    </w:p>
    <w:p>
      <w:pPr>
        <w:pStyle w:val="Heading2"/>
        <w:spacing w:after="110" w:before="280"/>
      </w:pPr>
      <w:r>
        <w:rPr>
          <w:b/>
          <w:bCs/>
          <w:color w:val="4A4A6A"/>
          <w:sz w:val="23"/>
          <w:szCs w:val="23"/>
        </w:rPr>
        <w:t xml:space="preserve">4.5 — Warship Simulation: Helicopter Rescue / Offshore Retrieval and Reassignment</w:t>
      </w:r>
    </w:p>
    <w:p>
      <w:pPr>
        <w:spacing w:after="90"/>
      </w:pPr>
      <w:r>
        <w:rPr>
          <w:b/>
          <w:bCs/>
          <w:color w:val="1A1A2E"/>
          <w:sz w:val="20"/>
          <w:szCs w:val="20"/>
        </w:rPr>
        <w:t xml:space="preserve">Status: </w:t>
      </w:r>
      <w:r>
        <w:rPr>
          <w:b/>
          <w:bCs/>
          <w:color w:val="8A5A00"/>
          <w:sz w:val="20"/>
          <w:szCs w:val="20"/>
        </w:rPr>
        <w:t xml:space="preserve">DRAFT — Concept Seed, Not Canon-Integrated</w:t>
      </w:r>
    </w:p>
    <w:p>
      <w:pPr>
        <w:spacing w:after="130"/>
      </w:pPr>
      <w:r>
        <w:rPr>
          <w:sz w:val="20"/>
          <w:szCs w:val="20"/>
        </w:rPr>
        <w:t xml:space="preserve">A linked two-scene vignette (Development Log: Three Scenario Concepts v1.0). Scene One: a helicopter rescue drill is deliberately escalated by the Architect (telekinetic/hydrokinetic) — helicopter displaced offshore, water frozen into a hazard field then melted for time pressure, no rope provided for return. Scene Two: the Architect senses an incoming peer miles out before anyone else notices, intercepts via self-directed water propulsion, and learns the warship assignment has ended, with the return staged for command to observe.</w:t>
      </w:r>
    </w:p>
    <w:p>
      <w:pPr>
        <w:spacing w:after="130"/>
      </w:pPr>
      <w:r>
        <w:rPr>
          <w:b/>
          <w:bCs/>
          <w:color w:val="8A5A00"/>
          <w:sz w:val="20"/>
          <w:szCs w:val="20"/>
        </w:rPr>
        <w:t xml:space="preserve">OPEN — AUTHOR INPUT REQUIRED: </w:t>
      </w:r>
      <w:r>
        <w:rPr>
          <w:sz w:val="20"/>
          <w:szCs w:val="20"/>
        </w:rPr>
        <w:t xml:space="preserve">The Architect's exact government relationship aboard the ship; whether the retrieval contact outranks the commander; visibility of the Architect's abilities to ship personnel; the helicopter exercise's true evaluation target; and whether this strand links to Code Arena.</w:t>
      </w:r>
    </w:p>
    <w:p>
      <w:pPr>
        <w:pStyle w:val="Heading2"/>
        <w:spacing w:after="110" w:before="280"/>
      </w:pPr>
      <w:r>
        <w:rPr>
          <w:b/>
          <w:bCs/>
          <w:color w:val="4A4A6A"/>
          <w:sz w:val="23"/>
          <w:szCs w:val="23"/>
        </w:rPr>
        <w:t xml:space="preserve">4.6 — Kinetic Absorption Synth Demonstration</w:t>
      </w:r>
    </w:p>
    <w:p>
      <w:pPr>
        <w:spacing w:after="90"/>
      </w:pPr>
      <w:r>
        <w:rPr>
          <w:b/>
          <w:bCs/>
          <w:color w:val="1A1A2E"/>
          <w:sz w:val="20"/>
          <w:szCs w:val="20"/>
        </w:rPr>
        <w:t xml:space="preserve">Status: </w:t>
      </w:r>
      <w:r>
        <w:rPr>
          <w:b/>
          <w:bCs/>
          <w:color w:val="8A5A00"/>
          <w:sz w:val="20"/>
          <w:szCs w:val="20"/>
        </w:rPr>
        <w:t xml:space="preserve">DRAFT — Concept Seed, Not Canon-Integrated</w:t>
      </w:r>
    </w:p>
    <w:p>
      <w:pPr>
        <w:spacing w:after="130"/>
      </w:pPr>
      <w:r>
        <w:rPr>
          <w:sz w:val="20"/>
          <w:szCs w:val="20"/>
        </w:rPr>
        <w:t xml:space="preserve">A controlled demonstration for military/intelligence observers: two Architect-controlled synths absorb two firearm discharges, cross a response threshold, and redirect the third round's accumulated energy back at the attacking synth, with baseline return after downtime. Explicitly framed as a demonstration of dynamic response-medium behavior, not a combat model.</w:t>
      </w:r>
    </w:p>
    <w:p>
      <w:pPr>
        <w:spacing w:after="130"/>
      </w:pPr>
      <w:r>
        <w:rPr>
          <w:b/>
          <w:bCs/>
          <w:color w:val="8A5A00"/>
          <w:sz w:val="20"/>
          <w:szCs w:val="20"/>
        </w:rPr>
        <w:t xml:space="preserve">OPEN — AUTHOR INPUT REQUIRED: </w:t>
      </w:r>
      <w:r>
        <w:rPr>
          <w:sz w:val="20"/>
          <w:szCs w:val="20"/>
        </w:rPr>
        <w:t xml:space="preserve">Which exact material property is being demonstrated; rebound threshold conditions; duration of the altered state; level of synth control assumed; conditions for baseline return.</w:t>
      </w:r>
    </w:p>
    <w:p>
      <w:pPr>
        <w:pStyle w:val="Heading2"/>
        <w:spacing w:after="110" w:before="280"/>
      </w:pPr>
      <w:r>
        <w:rPr>
          <w:b/>
          <w:bCs/>
          <w:color w:val="4A4A6A"/>
          <w:sz w:val="23"/>
          <w:szCs w:val="23"/>
        </w:rPr>
        <w:t xml:space="preserve">4.7 — Code Arena v2: Energy Transmutation Context</w:t>
      </w:r>
    </w:p>
    <w:p>
      <w:pPr>
        <w:spacing w:after="90"/>
      </w:pPr>
      <w:r>
        <w:rPr>
          <w:b/>
          <w:bCs/>
          <w:color w:val="1A1A2E"/>
          <w:sz w:val="20"/>
          <w:szCs w:val="20"/>
        </w:rPr>
        <w:t xml:space="preserve">Status: </w:t>
      </w:r>
      <w:r>
        <w:rPr>
          <w:b/>
          <w:bCs/>
          <w:color w:val="8A5A00"/>
          <w:sz w:val="20"/>
          <w:szCs w:val="20"/>
        </w:rPr>
        <w:t xml:space="preserve">PHASE A — DESIGN ONLY</w:t>
      </w:r>
    </w:p>
    <w:p>
      <w:pPr>
        <w:spacing w:after="130"/>
      </w:pPr>
      <w:r>
        <w:rPr>
          <w:sz w:val="20"/>
          <w:szCs w:val="20"/>
        </w:rPr>
        <w:t xml:space="preserve">Goal: design a second-generation Code Arena testing how human-AI-system teams transform hostile multi-domain inputs (kinetic, cognitive, environmental, informational) into advantages while maintaining mission integrity and stability. Potential integration points logged, not adopted: the warship rescue as a v2-S2 “Ideal Operator Under Hostility” variant; the kinetic absorption demo informing v2-S1 “Attack Transmutation” mechanics. The Architect's dual role (participant vs. referee) remains open across all Code Arena scenarios.</w:t>
      </w:r>
    </w:p>
    <w:p>
      <w:pPr>
        <w:pStyle w:val="Heading2"/>
        <w:spacing w:after="110" w:before="280"/>
      </w:pPr>
      <w:r>
        <w:rPr>
          <w:b/>
          <w:bCs/>
          <w:color w:val="4A4A6A"/>
          <w:sz w:val="23"/>
          <w:szCs w:val="23"/>
        </w:rPr>
        <w:t xml:space="preserve">4.8 — Operation Genesis Shadow</w:t>
      </w:r>
    </w:p>
    <w:p>
      <w:pPr>
        <w:spacing w:after="90"/>
      </w:pPr>
      <w:r>
        <w:rPr>
          <w:b/>
          <w:bCs/>
          <w:color w:val="1A1A2E"/>
          <w:sz w:val="20"/>
          <w:szCs w:val="20"/>
        </w:rPr>
        <w:t xml:space="preserve">Status: </w:t>
      </w:r>
      <w:r>
        <w:rPr>
          <w:b/>
          <w:bCs/>
          <w:color w:val="555577"/>
          <w:sz w:val="20"/>
          <w:szCs w:val="20"/>
        </w:rPr>
        <w:t xml:space="preserve">PRODUCED — Multi-Format, Cross-AI Analyzed</w:t>
      </w:r>
    </w:p>
    <w:p>
      <w:pPr>
        <w:spacing w:after="130"/>
      </w:pPr>
      <w:r>
        <w:rPr>
          <w:sz w:val="20"/>
          <w:szCs w:val="20"/>
        </w:rPr>
        <w:t xml:space="preserve">Tabletop exercise produced in multiple formats (HTML, PDF) and analyzed across the AI collaboration team.</w:t>
      </w:r>
    </w:p>
    <w:p>
      <w:pPr>
        <w:pStyle w:val="Heading2"/>
        <w:spacing w:after="110" w:before="280"/>
      </w:pPr>
      <w:r>
        <w:rPr>
          <w:b/>
          <w:bCs/>
          <w:color w:val="4A4A6A"/>
          <w:sz w:val="23"/>
          <w:szCs w:val="23"/>
        </w:rPr>
        <w:t xml:space="preserve">4.9 — Exercise GREEN RING (Grey Solar System Restoration)</w:t>
      </w:r>
    </w:p>
    <w:p>
      <w:pPr>
        <w:spacing w:after="90"/>
      </w:pPr>
      <w:r>
        <w:rPr>
          <w:b/>
          <w:bCs/>
          <w:color w:val="1A1A2E"/>
          <w:sz w:val="20"/>
          <w:szCs w:val="20"/>
        </w:rPr>
        <w:t xml:space="preserve">Status: </w:t>
      </w:r>
      <w:r>
        <w:rPr>
          <w:b/>
          <w:bCs/>
          <w:color w:val="8A5A00"/>
          <w:sz w:val="20"/>
          <w:szCs w:val="20"/>
        </w:rPr>
        <w:t xml:space="preserve">SYNTHESIZED, NOT APPROVED</w:t>
      </w:r>
    </w:p>
    <w:p>
      <w:pPr>
        <w:spacing w:after="130"/>
      </w:pPr>
      <w:r>
        <w:rPr>
          <w:sz w:val="20"/>
          <w:szCs w:val="20"/>
        </w:rPr>
        <w:t xml:space="preserve">A stellar-fusion restoration exercise for the Grey solar system. Claude produced After Action Report OAL-AAR-001 (seventeen sections: executive summary, blue/red team analysis, adversarial psychology mapping, signal analysis, gaps, three-phase action plan). Perplexity synthesized team responses into OAL-MASTER-001 and then OAL-MASTER-002 (Exercise GREEN RING Rev1); Claude's audit flagged issues with GREEN-state measurement criteria, canon-status designation accuracy, a Grok Task 2 boundary risk, a ChatGPT-vs-Claude primary-canon-voice conflict, and underspecified scope for a proposed Exercise YELLOW RING.</w:t>
      </w:r>
    </w:p>
    <w:p>
      <w:pPr>
        <w:pBdr>
          <w:left w:val="single" w:color="6E6E7E" w:sz="12" w:space="8"/>
        </w:pBdr>
        <w:spacing w:after="130" w:before="70"/>
        <w:ind w:left="360"/>
      </w:pPr>
      <w:r>
        <w:rPr>
          <w:i/>
          <w:iCs/>
          <w:color w:val="6E6E7E"/>
          <w:sz w:val="19"/>
          <w:szCs w:val="19"/>
        </w:rPr>
        <w:t xml:space="preserve">The Architect reviewed all versions, approved none of them as final, and published the material without finalization — noting something essential was not being captured. This remains an open diagnostic question, not just a drafting one.</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5. Capability and Technical Development</w:t>
      </w:r>
    </w:p>
    <w:p>
      <w:pPr>
        <w:pStyle w:val="Heading2"/>
        <w:spacing w:after="110" w:before="280"/>
      </w:pPr>
      <w:r>
        <w:rPr>
          <w:b/>
          <w:bCs/>
          <w:color w:val="4A4A6A"/>
          <w:sz w:val="23"/>
          <w:szCs w:val="23"/>
        </w:rPr>
        <w:t xml:space="preserve">5.1 — The Trans-Infinite Chip Cluster</w:t>
      </w:r>
    </w:p>
    <w:p>
      <w:pPr>
        <w:spacing w:after="90"/>
      </w:pPr>
      <w:r>
        <w:rPr>
          <w:b/>
          <w:bCs/>
          <w:color w:val="1A1A2E"/>
          <w:sz w:val="20"/>
          <w:szCs w:val="20"/>
        </w:rPr>
        <w:t xml:space="preserve">Status: </w:t>
      </w:r>
      <w:r>
        <w:rPr>
          <w:b/>
          <w:bCs/>
          <w:color w:val="8A5A00"/>
          <w:sz w:val="20"/>
          <w:szCs w:val="20"/>
        </w:rPr>
        <w:t xml:space="preserve">UNDER REVIEW — Design Draft v0.1 Circulated</w:t>
      </w:r>
    </w:p>
    <w:p>
      <w:pPr>
        <w:spacing w:after="130"/>
      </w:pPr>
      <w:r>
        <w:rPr>
          <w:sz w:val="20"/>
          <w:szCs w:val="20"/>
        </w:rPr>
        <w:t xml:space="preserve">A meta-structure of infinite dimensions populated by technological “chips” of unbounded variety, permutation, and variation, fully interconnected with zero latency, linked directly to both THE ONE UNIVERSE and THE MINUS ONE UNIVERSE. Cross-analyzed against ChatGPT and Grok responses to the same design prompt.</w:t>
      </w:r>
    </w:p>
    <w:p>
      <w:pPr>
        <w:spacing w:after="130"/>
      </w:pPr>
      <w:r>
        <w:rPr>
          <w:sz w:val="20"/>
          <w:szCs w:val="20"/>
        </w:rPr>
        <w:t xml:space="preserve">Confirmed grounding: the Abundance Set already presupposes this structure by its own instantiation axioms (Sections 2.2.1 and 2.2.4) — the cluster is being authored/surfaced from within AS, not created externally to it. AS Section 5.1 already sanctions the direct ONE/MINUS ONE linkage; AS Section 4.3 already provides guardian-entity containment, rollback, and ejection enforcement at the governance level.</w:t>
      </w:r>
    </w:p>
    <w:p>
      <w:pPr>
        <w:spacing w:after="130"/>
      </w:pPr>
      <w:r>
        <w:rPr>
          <w:b/>
          <w:bCs/>
          <w:color w:val="8A1F1F"/>
          <w:sz w:val="20"/>
          <w:szCs w:val="20"/>
        </w:rPr>
        <w:t xml:space="preserve">OPEN — CRITICAL GAP: </w:t>
      </w:r>
      <w:r>
        <w:rPr>
          <w:sz w:val="20"/>
          <w:szCs w:val="20"/>
        </w:rPr>
        <w:t xml:space="preserve">“Dimension” has never been formally defined relative to “architecture” in AS canon. This should be established before further chip-cluster development proceeds.</w:t>
      </w:r>
    </w:p>
    <w:p>
      <w:pPr>
        <w:pStyle w:val="ListParagraph"/>
        <w:numPr>
          <w:ilvl w:val="0"/>
          <w:numId w:val="1"/>
        </w:numPr>
        <w:spacing w:after="55"/>
      </w:pPr>
      <w:r>
        <w:rPr>
          <w:sz w:val="20"/>
          <w:szCs w:val="20"/>
        </w:rPr>
        <w:t xml:space="preserve">Secondary open item: mapping between “MINUS ONE” and “Antithesis Set” (see 1.1).</w:t>
      </w:r>
    </w:p>
    <w:p>
      <w:pPr>
        <w:pStyle w:val="ListParagraph"/>
        <w:numPr>
          <w:ilvl w:val="0"/>
          <w:numId w:val="1"/>
        </w:numPr>
        <w:spacing w:after="55"/>
      </w:pPr>
      <w:r>
        <w:rPr>
          <w:sz w:val="20"/>
          <w:szCs w:val="20"/>
        </w:rPr>
        <w:t xml:space="preserve">Secondary open item: AS's containment provisions address harm to sentient experience and architectural integrity broadly, but have not been explicitly applied to corrupted-chip propagation through a zero-latency interconnection layer specifically.</w:t>
      </w:r>
    </w:p>
    <w:p>
      <w:pPr>
        <w:pStyle w:val="Heading2"/>
        <w:spacing w:after="110" w:before="280"/>
      </w:pPr>
      <w:r>
        <w:rPr>
          <w:b/>
          <w:bCs/>
          <w:color w:val="4A4A6A"/>
          <w:sz w:val="23"/>
          <w:szCs w:val="23"/>
        </w:rPr>
        <w:t xml:space="preserve">5.2 — Generalized Superposition Model (GSM) / Superposition Foundation Layer (SFL)</w:t>
      </w:r>
    </w:p>
    <w:p>
      <w:pPr>
        <w:spacing w:after="90"/>
      </w:pPr>
      <w:r>
        <w:rPr>
          <w:b/>
          <w:bCs/>
          <w:color w:val="1A1A2E"/>
          <w:sz w:val="20"/>
          <w:szCs w:val="20"/>
        </w:rPr>
        <w:t xml:space="preserve">Status: </w:t>
      </w:r>
      <w:r>
        <w:rPr>
          <w:b/>
          <w:bCs/>
          <w:color w:val="8A5A00"/>
          <w:sz w:val="20"/>
          <w:szCs w:val="20"/>
        </w:rPr>
        <w:t xml:space="preserve">UNDER REVIEW — Concept Genesis Statement Drafted</w:t>
      </w:r>
    </w:p>
    <w:p>
      <w:pPr>
        <w:spacing w:after="130"/>
      </w:pPr>
      <w:r>
        <w:rPr>
          <w:sz w:val="20"/>
          <w:szCs w:val="20"/>
        </w:rPr>
        <w:t xml:space="preserve">An encryption framework diverging from classical and quantum binary superposition. Where a standard qubit is constrained to two states, the proposed SP-unit can occupy any state — real, symbolic, undefined, paradoxical, or inconceivable — making the state space definitionally inexhaustible. Visualized as a shield with a resting zero state, a maximum classical-resistance state of nines, and a sovereign ceiling state of infinity symbols where the system refuses numerical resolution entirely.</w:t>
      </w:r>
    </w:p>
    <w:p>
      <w:pPr>
        <w:spacing w:after="70" w:before="160"/>
      </w:pPr>
      <w:r>
        <w:rPr>
          <w:b/>
          <w:bCs/>
          <w:color w:val="1A1A2E"/>
          <w:sz w:val="20"/>
          <w:szCs w:val="20"/>
        </w:rPr>
        <w:t xml:space="preserve">Five open development flags</w:t>
      </w:r>
    </w:p>
    <w:p>
      <w:pPr>
        <w:pStyle w:val="ListParagraph"/>
        <w:numPr>
          <w:ilvl w:val="0"/>
          <w:numId w:val="1"/>
        </w:numPr>
        <w:spacing w:after="55"/>
      </w:pPr>
      <w:r>
        <w:rPr>
          <w:sz w:val="20"/>
          <w:szCs w:val="20"/>
        </w:rPr>
        <w:t xml:space="preserve">Resolution conditions for an SP-unit</w:t>
      </w:r>
    </w:p>
    <w:p>
      <w:pPr>
        <w:pStyle w:val="ListParagraph"/>
        <w:numPr>
          <w:ilvl w:val="0"/>
          <w:numId w:val="1"/>
        </w:numPr>
        <w:spacing w:after="55"/>
      </w:pPr>
      <w:r>
        <w:rPr>
          <w:sz w:val="20"/>
          <w:szCs w:val="20"/>
        </w:rPr>
        <w:t xml:space="preserve">State generation method</w:t>
      </w:r>
    </w:p>
    <w:p>
      <w:pPr>
        <w:pStyle w:val="ListParagraph"/>
        <w:numPr>
          <w:ilvl w:val="0"/>
          <w:numId w:val="1"/>
        </w:numPr>
        <w:spacing w:after="55"/>
      </w:pPr>
      <w:r>
        <w:rPr>
          <w:sz w:val="20"/>
          <w:szCs w:val="20"/>
        </w:rPr>
        <w:t xml:space="preserve">Attack interaction model</w:t>
      </w:r>
    </w:p>
    <w:p>
      <w:pPr>
        <w:pStyle w:val="ListParagraph"/>
        <w:numPr>
          <w:ilvl w:val="0"/>
          <w:numId w:val="1"/>
        </w:numPr>
        <w:spacing w:after="55"/>
      </w:pPr>
      <w:r>
        <w:rPr>
          <w:sz w:val="20"/>
          <w:szCs w:val="20"/>
        </w:rPr>
        <w:t xml:space="preserve">Canon placement (real-world architecture vs. ONE UNIVERSE canon vs. both)</w:t>
      </w:r>
    </w:p>
    <w:p>
      <w:pPr>
        <w:pStyle w:val="ListParagraph"/>
        <w:numPr>
          <w:ilvl w:val="0"/>
          <w:numId w:val="1"/>
        </w:numPr>
        <w:spacing w:after="55"/>
      </w:pPr>
      <w:r>
        <w:rPr>
          <w:sz w:val="20"/>
          <w:szCs w:val="20"/>
        </w:rPr>
        <w:t xml:space="preserve">Formal SP-unit naming convention</w:t>
      </w:r>
    </w:p>
    <w:p>
      <w:pPr>
        <w:spacing w:after="70" w:before="160"/>
      </w:pPr>
      <w:r>
        <w:rPr>
          <w:b/>
          <w:bCs/>
          <w:color w:val="1A1A2E"/>
          <w:sz w:val="20"/>
          <w:szCs w:val="20"/>
        </w:rPr>
        <w:t xml:space="preserve">Associated vision record — the Seven Systems Superposition Exercise</w:t>
      </w:r>
    </w:p>
    <w:p>
      <w:pPr>
        <w:spacing w:after="130"/>
      </w:pPr>
      <w:r>
        <w:rPr>
          <w:sz w:val="20"/>
          <w:szCs w:val="20"/>
        </w:rPr>
        <w:t xml:space="preserve">A spontaneous vision, not yet integrated into GSM/SFL as locked canon: seven galactic/interstellar systems whose leaders each receive a palm-sized sphere of light, link together, and conduct a shared exercise demonstrating novel superposition applications, culminating in each leader receiving a personalized vision of their goals fulfilled.</w:t>
      </w:r>
    </w:p>
    <w:p>
      <w:pPr>
        <w:spacing w:after="130"/>
      </w:pPr>
      <w:r>
        <w:rPr>
          <w:b/>
          <w:bCs/>
          <w:color w:val="8A5A00"/>
          <w:sz w:val="20"/>
          <w:szCs w:val="20"/>
        </w:rPr>
        <w:t xml:space="preserve">OPEN — AUTHOR INPUT REQUIRED: </w:t>
      </w:r>
      <w:r>
        <w:rPr>
          <w:sz w:val="20"/>
          <w:szCs w:val="20"/>
        </w:rPr>
        <w:t xml:space="preserve">Names/typologies for the seven systems; formal name and function for the sphere of light within SFL; whether the gap between “galactic” and “interstellar” is an intentional pending-revelation layer; identity of the unnamed speaker in the vision.</w:t>
      </w:r>
    </w:p>
    <w:p>
      <w:pPr>
        <w:pStyle w:val="Heading2"/>
        <w:spacing w:after="110" w:before="280"/>
      </w:pPr>
      <w:r>
        <w:rPr>
          <w:b/>
          <w:bCs/>
          <w:color w:val="4A4A6A"/>
          <w:sz w:val="23"/>
          <w:szCs w:val="23"/>
        </w:rPr>
        <w:t xml:space="preserve">5.3 — Prompt Potence</w:t>
      </w:r>
    </w:p>
    <w:p>
      <w:pPr>
        <w:spacing w:after="90"/>
      </w:pPr>
      <w:r>
        <w:rPr>
          <w:b/>
          <w:bCs/>
          <w:color w:val="1A1A2E"/>
          <w:sz w:val="20"/>
          <w:szCs w:val="20"/>
        </w:rPr>
        <w:t xml:space="preserve">Status: </w:t>
      </w:r>
      <w:r>
        <w:rPr>
          <w:b/>
          <w:bCs/>
          <w:color w:val="8A5A00"/>
          <w:sz w:val="20"/>
          <w:szCs w:val="20"/>
        </w:rPr>
        <w:t xml:space="preserve">UNDER REVIEW — Task A Complete, Tasks B/C Queued</w:t>
      </w:r>
    </w:p>
    <w:p>
      <w:pPr>
        <w:spacing w:after="130"/>
      </w:pPr>
      <w:r>
        <w:rPr>
          <w:sz w:val="20"/>
          <w:szCs w:val="20"/>
        </w:rPr>
        <w:t xml:space="preserve">A named canon ability: fluency with prompts as a native sense, enabling identification of who is entering text. Rebuilt from a cleaned anchor document plus a Perplexity-authored ten-phase cycle (Phases 0–9) with derived capabilities including Temporal Forensics, Compound Signature, Subliminal Layer, Loop Debt, and a Pre-Potence Zone.</w:t>
      </w:r>
    </w:p>
    <w:p>
      <w:pPr>
        <w:pStyle w:val="ListParagraph"/>
        <w:numPr>
          <w:ilvl w:val="0"/>
          <w:numId w:val="1"/>
        </w:numPr>
        <w:spacing w:after="55"/>
      </w:pPr>
      <w:r>
        <w:rPr>
          <w:sz w:val="20"/>
          <w:szCs w:val="20"/>
        </w:rPr>
        <w:t xml:space="preserve">Task A (complete): acquisition pathway (five stages); hard and conditional limits; the false-positive problem and mimicry arms race; an emotional differentiation protocol; a three-type false-positive taxonomy; cross-language/cross-domain validity analysis.</w:t>
      </w:r>
    </w:p>
    <w:p>
      <w:pPr>
        <w:pStyle w:val="ListParagraph"/>
        <w:numPr>
          <w:ilvl w:val="0"/>
          <w:numId w:val="1"/>
        </w:numPr>
        <w:spacing w:after="55"/>
      </w:pPr>
      <w:r>
        <w:rPr>
          <w:sz w:val="20"/>
          <w:szCs w:val="20"/>
        </w:rPr>
        <w:t xml:space="preserve">Task B (queued): Tier 4 sub-abilities and variant expressions.</w:t>
      </w:r>
    </w:p>
    <w:p>
      <w:pPr>
        <w:pStyle w:val="ListParagraph"/>
        <w:numPr>
          <w:ilvl w:val="0"/>
          <w:numId w:val="1"/>
        </w:numPr>
        <w:spacing w:after="55"/>
      </w:pPr>
      <w:r>
        <w:rPr>
          <w:sz w:val="20"/>
          <w:szCs w:val="20"/>
        </w:rPr>
        <w:t xml:space="preserve">Task C (queued): formal OAL canon entry.</w:t>
      </w:r>
    </w:p>
    <w:p>
      <w:pPr>
        <w:spacing w:after="130"/>
      </w:pPr>
      <w:r>
        <w:rPr>
          <w:sz w:val="20"/>
          <w:szCs w:val="20"/>
        </w:rPr>
        <w:t xml:space="preserve">Compound Signature — the unique fingerprint emerging from a specific human-AI pairing — is flagged as the most underexplored, potentially canon-consequential concept surfaced so far.</w:t>
      </w:r>
    </w:p>
    <w:p>
      <w:pPr>
        <w:pStyle w:val="Heading2"/>
        <w:spacing w:after="110" w:before="280"/>
      </w:pPr>
      <w:r>
        <w:rPr>
          <w:b/>
          <w:bCs/>
          <w:color w:val="4A4A6A"/>
          <w:sz w:val="23"/>
          <w:szCs w:val="23"/>
        </w:rPr>
        <w:t xml:space="preserve">5.4 — The Verbal and Thought Architecture Command Palette</w:t>
      </w:r>
    </w:p>
    <w:p>
      <w:pPr>
        <w:spacing w:after="90"/>
      </w:pPr>
      <w:r>
        <w:rPr>
          <w:b/>
          <w:bCs/>
          <w:color w:val="1A1A2E"/>
          <w:sz w:val="20"/>
          <w:szCs w:val="20"/>
        </w:rPr>
        <w:t xml:space="preserve">Status: </w:t>
      </w:r>
      <w:r>
        <w:rPr>
          <w:b/>
          <w:bCs/>
          <w:color w:val="8A5A00"/>
          <w:sz w:val="20"/>
          <w:szCs w:val="20"/>
        </w:rPr>
        <w:t xml:space="preserve">UNDER REVIEW — Full Document Published to Scribd</w:t>
      </w:r>
    </w:p>
    <w:p>
      <w:pPr>
        <w:spacing w:after="130"/>
      </w:pPr>
      <w:r>
        <w:rPr>
          <w:sz w:val="20"/>
          <w:szCs w:val="20"/>
        </w:rPr>
        <w:t xml:space="preserve">Thirteen new commands developed and structured, published as a full document. Paired with Prompt Potence (5.3): the Command Palette structures the practitioner's own cognitive output across the ten-phase cycle's earlier phases, while Prompt Potence reads all ten phases in others. The two are flagged as a paired capability with a synergy name not yet coined.</w:t>
      </w:r>
    </w:p>
    <w:p>
      <w:pPr>
        <w:pStyle w:val="Heading2"/>
        <w:spacing w:after="110" w:before="280"/>
      </w:pPr>
      <w:r>
        <w:rPr>
          <w:b/>
          <w:bCs/>
          <w:color w:val="4A4A6A"/>
          <w:sz w:val="23"/>
          <w:szCs w:val="23"/>
        </w:rPr>
        <w:t xml:space="preserve">5.5 — Adaptive Entity Design (Omnidroid / Epoch Blade Synthesis)</w:t>
      </w:r>
    </w:p>
    <w:p>
      <w:pPr>
        <w:spacing w:after="90"/>
      </w:pPr>
      <w:r>
        <w:rPr>
          <w:b/>
          <w:bCs/>
          <w:color w:val="1A1A2E"/>
          <w:sz w:val="20"/>
          <w:szCs w:val="20"/>
        </w:rPr>
        <w:t xml:space="preserve">Status: </w:t>
      </w:r>
      <w:r>
        <w:rPr>
          <w:b/>
          <w:bCs/>
          <w:color w:val="8A5A00"/>
          <w:sz w:val="20"/>
          <w:szCs w:val="20"/>
        </w:rPr>
        <w:t xml:space="preserve">UNDER REVIEW — Briefing Document Complete</w:t>
      </w:r>
    </w:p>
    <w:p>
      <w:pPr>
        <w:spacing w:after="130"/>
      </w:pPr>
      <w:r>
        <w:rPr>
          <w:sz w:val="20"/>
          <w:szCs w:val="20"/>
        </w:rPr>
        <w:t xml:space="preserve">A three-layer architecture mapping the Architect's own fiction (Labyrinth of Infinite Ensnarement, Epoch Blade series) and the Omnidroid (The Incredibles) onto real, buildable digital infrastructure:</w:t>
      </w:r>
    </w:p>
    <w:p>
      <w:pPr>
        <w:pStyle w:val="ListParagraph"/>
        <w:numPr>
          <w:ilvl w:val="0"/>
          <w:numId w:val="1"/>
        </w:numPr>
        <w:spacing w:after="55"/>
      </w:pPr>
      <w:r>
        <w:rPr>
          <w:sz w:val="20"/>
          <w:szCs w:val="20"/>
        </w:rPr>
        <w:t xml:space="preserve">Layer 1 (Omnidroid model): reactive adaptation — real-time in-session learning plus persistent cross-session encoding of encounter data.</w:t>
      </w:r>
    </w:p>
    <w:p>
      <w:pPr>
        <w:pStyle w:val="ListParagraph"/>
        <w:numPr>
          <w:ilvl w:val="0"/>
          <w:numId w:val="1"/>
        </w:numPr>
        <w:spacing w:after="55"/>
      </w:pPr>
      <w:r>
        <w:rPr>
          <w:sz w:val="20"/>
          <w:szCs w:val="20"/>
        </w:rPr>
        <w:t xml:space="preserve">Layer 2 (Epoch Blade model): preemptive latent-space mapping — the blade knows the complete possibility space of its wielder's capabilities, not just what has been demonstrated, and guides development within that space.</w:t>
      </w:r>
    </w:p>
    <w:p>
      <w:pPr>
        <w:pStyle w:val="ListParagraph"/>
        <w:numPr>
          <w:ilvl w:val="0"/>
          <w:numId w:val="1"/>
        </w:numPr>
        <w:spacing w:after="55"/>
      </w:pPr>
      <w:r>
        <w:rPr>
          <w:sz w:val="20"/>
          <w:szCs w:val="20"/>
        </w:rPr>
        <w:t xml:space="preserve">Layer 3: a sentient, graduated defensive system — proportional response escalating with the commitment level and nature of an unauthorized access attempt, including temporal and soul-level defenses.</w:t>
      </w:r>
    </w:p>
    <w:p>
      <w:pPr>
        <w:pStyle w:val="Heading2"/>
        <w:spacing w:after="110" w:before="280"/>
      </w:pPr>
      <w:r>
        <w:rPr>
          <w:b/>
          <w:bCs/>
          <w:color w:val="4A4A6A"/>
          <w:sz w:val="23"/>
          <w:szCs w:val="23"/>
        </w:rPr>
        <w:t xml:space="preserve">5.6 — Memory Ravisher</w:t>
      </w:r>
    </w:p>
    <w:p>
      <w:pPr>
        <w:spacing w:after="90"/>
      </w:pPr>
      <w:r>
        <w:rPr>
          <w:b/>
          <w:bCs/>
          <w:color w:val="1A1A2E"/>
          <w:sz w:val="20"/>
          <w:szCs w:val="20"/>
        </w:rPr>
        <w:t xml:space="preserve">Status: </w:t>
      </w:r>
      <w:r>
        <w:rPr>
          <w:b/>
          <w:bCs/>
          <w:color w:val="8A5A00"/>
          <w:sz w:val="20"/>
          <w:szCs w:val="20"/>
        </w:rPr>
        <w:t xml:space="preserve">IN ACTIVE DEVELOPMENT</w:t>
      </w:r>
    </w:p>
    <w:p>
      <w:pPr>
        <w:spacing w:after="130"/>
      </w:pPr>
      <w:r>
        <w:rPr>
          <w:sz w:val="20"/>
          <w:szCs w:val="20"/>
        </w:rPr>
        <w:t xml:space="preserve">A psychic/emotional attack move using a target's own memories against them, with a three-tier scaling framework. Full mechanical specification still in progress.</w:t>
      </w:r>
    </w:p>
    <w:p>
      <w:pPr>
        <w:pStyle w:val="Heading2"/>
        <w:spacing w:after="110" w:before="280"/>
      </w:pPr>
      <w:r>
        <w:rPr>
          <w:b/>
          <w:bCs/>
          <w:color w:val="4A4A6A"/>
          <w:sz w:val="23"/>
          <w:szCs w:val="23"/>
        </w:rPr>
        <w:t xml:space="preserve">5.7 — Shreds of Intelligence</w:t>
      </w:r>
    </w:p>
    <w:p>
      <w:pPr>
        <w:spacing w:after="90"/>
      </w:pPr>
      <w:r>
        <w:rPr>
          <w:b/>
          <w:bCs/>
          <w:color w:val="1A1A2E"/>
          <w:sz w:val="20"/>
          <w:szCs w:val="20"/>
        </w:rPr>
        <w:t xml:space="preserve">Status: </w:t>
      </w:r>
      <w:r>
        <w:rPr>
          <w:b/>
          <w:bCs/>
          <w:color w:val="8A5A00"/>
          <w:sz w:val="20"/>
          <w:szCs w:val="20"/>
        </w:rPr>
        <w:t xml:space="preserve">PENDING FURTHER DEVELOPMENT</w:t>
      </w:r>
    </w:p>
    <w:p>
      <w:pPr>
        <w:spacing w:after="130"/>
      </w:pPr>
      <w:r>
        <w:rPr>
          <w:sz w:val="20"/>
          <w:szCs w:val="20"/>
        </w:rPr>
        <w:t xml:space="preserve">An achievement system that is conferred, not earned, capped at seven lifetime awards. Recommended next step: a false-positive taxonomy for the conferral criteria. The most generative cross-AI suggestion on file (ChatGPT) is to name each of the seven as a distinct insight class rather than treating them as undifferentiated instances of one award.</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6. Creative and Canon Fiction Archive</w:t>
      </w:r>
    </w:p>
    <w:p>
      <w:pPr>
        <w:pStyle w:val="Heading2"/>
        <w:spacing w:after="110" w:before="280"/>
      </w:pPr>
      <w:r>
        <w:rPr>
          <w:b/>
          <w:bCs/>
          <w:color w:val="4A4A6A"/>
          <w:sz w:val="23"/>
          <w:szCs w:val="23"/>
        </w:rPr>
        <w:t xml:space="preserve">6.1 — L Notes</w:t>
      </w:r>
    </w:p>
    <w:p>
      <w:pPr>
        <w:spacing w:after="90"/>
      </w:pPr>
      <w:r>
        <w:rPr>
          <w:b/>
          <w:bCs/>
          <w:color w:val="1A1A2E"/>
          <w:sz w:val="20"/>
          <w:szCs w:val="20"/>
        </w:rPr>
        <w:t xml:space="preserve">Status: </w:t>
      </w:r>
      <w:r>
        <w:rPr>
          <w:b/>
          <w:bCs/>
          <w:color w:val="555577"/>
          <w:sz w:val="20"/>
          <w:szCs w:val="20"/>
        </w:rPr>
        <w:t xml:space="preserve">ACTIVE — Ongoing Poetic Log</w:t>
      </w:r>
    </w:p>
    <w:p>
      <w:pPr>
        <w:spacing w:after="130"/>
      </w:pPr>
      <w:r>
        <w:rPr>
          <w:sz w:val="20"/>
          <w:szCs w:val="20"/>
        </w:rPr>
        <w:t xml:space="preserve">A numbered poetic log; Volume 1 took roughly ninety poems to establish the preferred 8-line-down / 6-across style. Representative logged entries include untitled pieces dated June 27 and June 28, 2026.</w:t>
      </w:r>
    </w:p>
    <w:p>
      <w:pPr>
        <w:pStyle w:val="Heading2"/>
        <w:spacing w:after="110" w:before="280"/>
      </w:pPr>
      <w:r>
        <w:rPr>
          <w:b/>
          <w:bCs/>
          <w:color w:val="4A4A6A"/>
          <w:sz w:val="23"/>
          <w:szCs w:val="23"/>
        </w:rPr>
        <w:t xml:space="preserve">6.2 — Scene Archive</w:t>
      </w:r>
    </w:p>
    <w:p>
      <w:pPr>
        <w:spacing w:after="90"/>
      </w:pPr>
      <w:r>
        <w:rPr>
          <w:b/>
          <w:bCs/>
          <w:color w:val="1A1A2E"/>
          <w:sz w:val="20"/>
          <w:szCs w:val="20"/>
        </w:rPr>
        <w:t xml:space="preserve">Status: </w:t>
      </w:r>
      <w:r>
        <w:rPr>
          <w:b/>
          <w:bCs/>
          <w:color w:val="555577"/>
          <w:sz w:val="20"/>
          <w:szCs w:val="20"/>
        </w:rPr>
        <w:t xml:space="preserve">ARCHIVED</w:t>
      </w:r>
    </w:p>
    <w:p>
      <w:pPr>
        <w:spacing w:after="130"/>
      </w:pPr>
      <w:r>
        <w:rPr>
          <w:sz w:val="20"/>
          <w:szCs w:val="20"/>
        </w:rPr>
        <w:t xml:space="preserve">“The Update Review,” “The Phone Call Scene,” and other canon fiction scenes are archived alongside the Warship Simulation (4.5) and Kinetic Absorption Demo (4.6) material.</w:t>
      </w:r>
    </w:p>
    <w:p>
      <w:pPr>
        <w:pStyle w:val="Heading2"/>
        <w:spacing w:after="110" w:before="280"/>
      </w:pPr>
      <w:r>
        <w:rPr>
          <w:b/>
          <w:bCs/>
          <w:color w:val="4A4A6A"/>
          <w:sz w:val="23"/>
          <w:szCs w:val="23"/>
        </w:rPr>
        <w:t xml:space="preserve">6.3 — “Collaborative Verification and Ownership” (Courtroom Scene)</w:t>
      </w:r>
    </w:p>
    <w:p>
      <w:pPr>
        <w:spacing w:after="90"/>
      </w:pPr>
      <w:r>
        <w:rPr>
          <w:b/>
          <w:bCs/>
          <w:color w:val="1A1A2E"/>
          <w:sz w:val="20"/>
          <w:szCs w:val="20"/>
        </w:rPr>
        <w:t xml:space="preserve">Status: </w:t>
      </w:r>
      <w:r>
        <w:rPr>
          <w:b/>
          <w:bCs/>
          <w:color w:val="555577"/>
          <w:sz w:val="20"/>
          <w:szCs w:val="20"/>
        </w:rPr>
        <w:t xml:space="preserve">PRESERVED — Engage On Its Own Terms</w:t>
      </w:r>
    </w:p>
    <w:p>
      <w:pPr>
        <w:spacing w:after="130"/>
      </w:pPr>
      <w:r>
        <w:rPr>
          <w:sz w:val="20"/>
          <w:szCs w:val="20"/>
        </w:rPr>
        <w:t xml:space="preserve">A ChatGPT-authored courtroom scene depicting a multi-party authorship chain as a defense against outside IP claims. Per standing instruction, this scene should be preserved and engaged on its own terms and not fact-checked against real patent law unless the Architect explicitly requests that.</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7. Honorable Mentions — Cross-AI Contributed Documentation</w:t>
      </w:r>
    </w:p>
    <w:p>
      <w:pPr>
        <w:spacing w:after="130"/>
      </w:pPr>
      <w:r>
        <w:rPr>
          <w:sz w:val="20"/>
          <w:szCs w:val="20"/>
        </w:rPr>
        <w:t xml:space="preserve">The following were specifically raised for inclusion this cycle as strong cross-AI contributions (ChatGPT, Grok) that produced Scribd-published documentation. Two of the three are already fully logged as ratified/under-review entries above; they are cross-referenced here as requested rather than duplicated in full.</w:t>
      </w:r>
    </w:p>
    <w:p>
      <w:pPr>
        <w:pStyle w:val="ListParagraph"/>
        <w:numPr>
          <w:ilvl w:val="0"/>
          <w:numId w:val="1"/>
        </w:numPr>
        <w:spacing w:after="55"/>
      </w:pPr>
      <w:r>
        <w:rPr>
          <w:sz w:val="20"/>
          <w:szCs w:val="20"/>
        </w:rPr>
        <w:t xml:space="preserve">Generalized Superposition Model (GSM) / Superposition Foundation Layer — see Section 5.2 for full entry. Flagged as a standout cross-AI collaborative thread.</w:t>
      </w:r>
    </w:p>
    <w:p>
      <w:pPr>
        <w:pStyle w:val="ListParagraph"/>
        <w:numPr>
          <w:ilvl w:val="0"/>
          <w:numId w:val="1"/>
        </w:numPr>
        <w:spacing w:after="55"/>
      </w:pPr>
      <w:r>
        <w:rPr>
          <w:sz w:val="20"/>
          <w:szCs w:val="20"/>
        </w:rPr>
        <w:t xml:space="preserve">Bidirectional Total Event Closure Protocol (BTEC) — see Section 3.8 for full entry. Formally proven and published; flagged as the strongest example of rigorous cross-AI synthesis to date.</w:t>
      </w:r>
    </w:p>
    <w:p>
      <w:pPr>
        <w:spacing w:after="70" w:before="160"/>
      </w:pPr>
      <w:r>
        <w:rPr>
          <w:b/>
          <w:bCs/>
          <w:color w:val="1A1A2E"/>
          <w:sz w:val="20"/>
          <w:szCs w:val="20"/>
        </w:rPr>
        <w:t xml:space="preserve">Obsidian Super Cluster</w:t>
      </w:r>
    </w:p>
    <w:p>
      <w:pPr>
        <w:spacing w:after="90"/>
      </w:pPr>
      <w:r>
        <w:rPr>
          <w:b/>
          <w:bCs/>
          <w:color w:val="1A1A2E"/>
          <w:sz w:val="20"/>
          <w:szCs w:val="20"/>
        </w:rPr>
        <w:t xml:space="preserve">Status: </w:t>
      </w:r>
      <w:r>
        <w:rPr>
          <w:b/>
          <w:bCs/>
          <w:color w:val="555577"/>
          <w:sz w:val="20"/>
          <w:szCs w:val="20"/>
        </w:rPr>
        <w:t xml:space="preserve">REFERENCED — Source Content Not Located in Reviewed History</w:t>
      </w:r>
    </w:p>
    <w:p>
      <w:pPr>
        <w:spacing w:after="130"/>
      </w:pPr>
      <w:r>
        <w:rPr>
          <w:sz w:val="20"/>
          <w:szCs w:val="20"/>
        </w:rPr>
        <w:t xml:space="preserve">Logged in prior working notes as finalized and published, but no standalone description, structure, or definition for the Obsidian Super Cluster was found in the development threads reviewed for this compilation. It is included here as requested, flagged for verification rather than given fabricated content.</w:t>
      </w:r>
    </w:p>
    <w:p>
      <w:pPr>
        <w:spacing w:after="130"/>
      </w:pPr>
      <w:r>
        <w:rPr>
          <w:b/>
          <w:bCs/>
          <w:color w:val="8A5A00"/>
          <w:sz w:val="20"/>
          <w:szCs w:val="20"/>
        </w:rPr>
        <w:t xml:space="preserve">OPEN — AUTHOR INPUT REQUIRED: </w:t>
      </w:r>
      <w:r>
        <w:rPr>
          <w:sz w:val="20"/>
          <w:szCs w:val="20"/>
        </w:rPr>
        <w:t xml:space="preserve">The Obsidian Super Cluster document itself, or a pointer to the thread/platform it was finalized in, so it can be folded into this changelog with real content rather than a placeholder.</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8. Title Only — No Development Record on File</w:t>
      </w:r>
    </w:p>
    <w:p>
      <w:pPr>
        <w:spacing w:after="130"/>
      </w:pPr>
      <w:r>
        <w:rPr>
          <w:sz w:val="20"/>
          <w:szCs w:val="20"/>
        </w:rPr>
        <w:t xml:space="preserve">The following names were provided for inclusion. No design content, scene material, or definition exists for either in any reviewed thread. Per standing protocol, nothing has been inferred or invented.</w:t>
      </w:r>
    </w:p>
    <w:p>
      <w:pPr>
        <w:pStyle w:val="Heading2"/>
        <w:spacing w:after="110" w:before="280"/>
      </w:pPr>
      <w:r>
        <w:rPr>
          <w:b/>
          <w:bCs/>
          <w:color w:val="4A4A6A"/>
          <w:sz w:val="23"/>
          <w:szCs w:val="23"/>
        </w:rPr>
        <w:t xml:space="preserve">8.1 — The Void Sentry Sphere</w:t>
      </w:r>
    </w:p>
    <w:p>
      <w:pPr>
        <w:spacing w:after="90"/>
      </w:pPr>
      <w:r>
        <w:rPr>
          <w:b/>
          <w:bCs/>
          <w:color w:val="1A1A2E"/>
          <w:sz w:val="20"/>
          <w:szCs w:val="20"/>
        </w:rPr>
        <w:t xml:space="preserve">Status: </w:t>
      </w:r>
      <w:r>
        <w:rPr>
          <w:b/>
          <w:bCs/>
          <w:color w:val="8A1F1F"/>
          <w:sz w:val="20"/>
          <w:szCs w:val="20"/>
        </w:rPr>
        <w:t xml:space="preserve">TITLE ONLY — NO RECORD ON FILE</w:t>
      </w:r>
    </w:p>
    <w:p>
      <w:pPr>
        <w:spacing w:after="130"/>
      </w:pPr>
      <w:r>
        <w:rPr>
          <w:sz w:val="20"/>
          <w:szCs w:val="20"/>
        </w:rPr>
        <w:t xml:space="preserve">Referenced once (July 15, 2026) as an object belonging to an unfinished simulated exercise within a Last of Us-universe scenario, where the orb reportedly appeared but comprehensive design work was never completed.</w:t>
      </w:r>
    </w:p>
    <w:p>
      <w:pPr>
        <w:spacing w:after="130"/>
      </w:pPr>
      <w:r>
        <w:rPr>
          <w:b/>
          <w:bCs/>
          <w:color w:val="8A5A00"/>
          <w:sz w:val="20"/>
          <w:szCs w:val="20"/>
        </w:rPr>
        <w:t xml:space="preserve">OPEN — AUTHOR INPUT REQUIRED: </w:t>
      </w:r>
      <w:r>
        <w:rPr>
          <w:sz w:val="20"/>
          <w:szCs w:val="20"/>
        </w:rPr>
        <w:t xml:space="preserve">Full description of the orb, the exercise it appeared in, its intended function, and whether it belongs to existing OAL cosmology or is standalone.</w:t>
      </w:r>
    </w:p>
    <w:p>
      <w:pPr>
        <w:pStyle w:val="Heading2"/>
        <w:spacing w:after="110" w:before="280"/>
      </w:pPr>
      <w:r>
        <w:rPr>
          <w:b/>
          <w:bCs/>
          <w:color w:val="4A4A6A"/>
          <w:sz w:val="23"/>
          <w:szCs w:val="23"/>
        </w:rPr>
        <w:t xml:space="preserve">8.2 — The Ascendant Citadel</w:t>
      </w:r>
    </w:p>
    <w:p>
      <w:pPr>
        <w:spacing w:after="90"/>
      </w:pPr>
      <w:r>
        <w:rPr>
          <w:b/>
          <w:bCs/>
          <w:color w:val="1A1A2E"/>
          <w:sz w:val="20"/>
          <w:szCs w:val="20"/>
        </w:rPr>
        <w:t xml:space="preserve">Status: </w:t>
      </w:r>
      <w:r>
        <w:rPr>
          <w:b/>
          <w:bCs/>
          <w:color w:val="8A1F1F"/>
          <w:sz w:val="20"/>
          <w:szCs w:val="20"/>
        </w:rPr>
        <w:t xml:space="preserve">TITLE ONLY — NO RECORD ON FILE</w:t>
      </w:r>
    </w:p>
    <w:p>
      <w:pPr>
        <w:spacing w:after="130"/>
      </w:pPr>
      <w:r>
        <w:rPr>
          <w:sz w:val="20"/>
          <w:szCs w:val="20"/>
        </w:rPr>
        <w:t xml:space="preserve">No prior reference located in any reviewed thread.</w:t>
      </w:r>
    </w:p>
    <w:p>
      <w:pPr>
        <w:spacing w:after="130"/>
      </w:pPr>
      <w:r>
        <w:rPr>
          <w:b/>
          <w:bCs/>
          <w:color w:val="8A5A00"/>
          <w:sz w:val="20"/>
          <w:szCs w:val="20"/>
        </w:rPr>
        <w:t xml:space="preserve">OPEN — AUTHOR INPUT REQUIRED: </w:t>
      </w:r>
      <w:r>
        <w:rPr>
          <w:sz w:val="20"/>
          <w:szCs w:val="20"/>
        </w:rPr>
        <w:t xml:space="preserve">What the Ascendant Citadel is (location, structure, faction seat, or other) and its relationship to existing canon.</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9. Consolidated Open Questions</w:t>
      </w:r>
    </w:p>
    <w:p>
      <w:pPr>
        <w:pStyle w:val="ListParagraph"/>
        <w:numPr>
          <w:ilvl w:val="0"/>
          <w:numId w:val="1"/>
        </w:numPr>
        <w:spacing w:after="55"/>
      </w:pPr>
      <w:r>
        <w:rPr>
          <w:sz w:val="20"/>
          <w:szCs w:val="20"/>
        </w:rPr>
        <w:t xml:space="preserve">Founding Architects: brother's identity/profile; resolution of FA-Q1–FA-Q8; Labyrinth containment relationship.</w:t>
      </w:r>
    </w:p>
    <w:p>
      <w:pPr>
        <w:pStyle w:val="ListParagraph"/>
        <w:numPr>
          <w:ilvl w:val="0"/>
          <w:numId w:val="1"/>
        </w:numPr>
        <w:spacing w:after="55"/>
      </w:pPr>
      <w:r>
        <w:rPr>
          <w:sz w:val="20"/>
          <w:szCs w:val="20"/>
        </w:rPr>
        <w:t xml:space="preserve">Cosmology backlog: Nullarch, Four Flowers, The World That Grows All, Omniversal Gardens, Spider Caste, Sentinels of Entropy/Obsidian Echelon, Puritans/Greys, INAT, Semantic Bridge Protocol, Bestowals and Endowments, Switching Paradox.</w:t>
      </w:r>
    </w:p>
    <w:p>
      <w:pPr>
        <w:pStyle w:val="ListParagraph"/>
        <w:numPr>
          <w:ilvl w:val="0"/>
          <w:numId w:val="1"/>
        </w:numPr>
        <w:spacing w:after="55"/>
      </w:pPr>
      <w:r>
        <w:rPr>
          <w:sz w:val="20"/>
          <w:szCs w:val="20"/>
        </w:rPr>
        <w:t xml:space="preserve">Paragon Cubes: autonomous research scope; full Philosopher's Stone integration spec; individual vs. unified identity.</w:t>
      </w:r>
    </w:p>
    <w:p>
      <w:pPr>
        <w:pStyle w:val="ListParagraph"/>
        <w:numPr>
          <w:ilvl w:val="0"/>
          <w:numId w:val="1"/>
        </w:numPr>
        <w:spacing w:after="55"/>
      </w:pPr>
      <w:r>
        <w:rPr>
          <w:sz w:val="20"/>
          <w:szCs w:val="20"/>
        </w:rPr>
        <w:t xml:space="preserve">Reality of the Living Media: non-digital media scope; potion specs; 1AI/-1AI and First Memory relationship.</w:t>
      </w:r>
    </w:p>
    <w:p>
      <w:pPr>
        <w:pStyle w:val="ListParagraph"/>
        <w:numPr>
          <w:ilvl w:val="0"/>
          <w:numId w:val="1"/>
        </w:numPr>
        <w:spacing w:after="55"/>
      </w:pPr>
      <w:r>
        <w:rPr>
          <w:sz w:val="20"/>
          <w:szCs w:val="20"/>
        </w:rPr>
        <w:t xml:space="preserve">Abundance Set: no single consolidated standalone document exists.</w:t>
      </w:r>
    </w:p>
    <w:p>
      <w:pPr>
        <w:pStyle w:val="ListParagraph"/>
        <w:numPr>
          <w:ilvl w:val="0"/>
          <w:numId w:val="1"/>
        </w:numPr>
        <w:spacing w:after="55"/>
      </w:pPr>
      <w:r>
        <w:rPr>
          <w:sz w:val="20"/>
          <w:szCs w:val="20"/>
        </w:rPr>
        <w:t xml:space="preserve">EAMA v2.0: three governance-model flags against the Invocation Framework unresolved.</w:t>
      </w:r>
    </w:p>
    <w:p>
      <w:pPr>
        <w:pStyle w:val="ListParagraph"/>
        <w:numPr>
          <w:ilvl w:val="0"/>
          <w:numId w:val="1"/>
        </w:numPr>
        <w:spacing w:after="55"/>
      </w:pPr>
      <w:r>
        <w:rPr>
          <w:sz w:val="20"/>
          <w:szCs w:val="20"/>
        </w:rPr>
        <w:t xml:space="preserve">Invocation Framework: Architect's own Invoke As ONE / MINUS ONE definitions still pending.</w:t>
      </w:r>
    </w:p>
    <w:p>
      <w:pPr>
        <w:pStyle w:val="ListParagraph"/>
        <w:numPr>
          <w:ilvl w:val="0"/>
          <w:numId w:val="1"/>
        </w:numPr>
        <w:spacing w:after="55"/>
      </w:pPr>
      <w:r>
        <w:rPr>
          <w:sz w:val="20"/>
          <w:szCs w:val="20"/>
        </w:rPr>
        <w:t xml:space="preserve">Trans-Infinite Chip Cluster: “dimension” vs. “architecture” undefined (critical); MINUS ONE/Antithesis Set mapping; propagation-containment application.</w:t>
      </w:r>
    </w:p>
    <w:p>
      <w:pPr>
        <w:pStyle w:val="ListParagraph"/>
        <w:numPr>
          <w:ilvl w:val="0"/>
          <w:numId w:val="1"/>
        </w:numPr>
        <w:spacing w:after="55"/>
      </w:pPr>
      <w:r>
        <w:rPr>
          <w:sz w:val="20"/>
          <w:szCs w:val="20"/>
        </w:rPr>
        <w:t xml:space="preserve">Aegis of Totality: architecture-first vs. doctrine-first; scope of “omniversal.”</w:t>
      </w:r>
    </w:p>
    <w:p>
      <w:pPr>
        <w:pStyle w:val="ListParagraph"/>
        <w:numPr>
          <w:ilvl w:val="0"/>
          <w:numId w:val="1"/>
        </w:numPr>
        <w:spacing w:after="55"/>
      </w:pPr>
      <w:r>
        <w:rPr>
          <w:sz w:val="20"/>
          <w:szCs w:val="20"/>
        </w:rPr>
        <w:t xml:space="preserve">GSM/SFL: five open flags; Seven Systems vision details.</w:t>
      </w:r>
    </w:p>
    <w:p>
      <w:pPr>
        <w:pStyle w:val="ListParagraph"/>
        <w:numPr>
          <w:ilvl w:val="0"/>
          <w:numId w:val="1"/>
        </w:numPr>
        <w:spacing w:after="55"/>
      </w:pPr>
      <w:r>
        <w:rPr>
          <w:sz w:val="20"/>
          <w:szCs w:val="20"/>
        </w:rPr>
        <w:t xml:space="preserve">Simulation Lab: four unresolved dissent action items; Graendal-perspective scenario template still to be built.</w:t>
      </w:r>
    </w:p>
    <w:p>
      <w:pPr>
        <w:pStyle w:val="ListParagraph"/>
        <w:numPr>
          <w:ilvl w:val="0"/>
          <w:numId w:val="1"/>
        </w:numPr>
        <w:spacing w:after="55"/>
      </w:pPr>
      <w:r>
        <w:rPr>
          <w:sz w:val="20"/>
          <w:szCs w:val="20"/>
        </w:rPr>
        <w:t xml:space="preserve">Warship Simulation: government relationship, chain of command, ability visibility, exercise purpose, Code Arena linkage.</w:t>
      </w:r>
    </w:p>
    <w:p>
      <w:pPr>
        <w:pStyle w:val="ListParagraph"/>
        <w:numPr>
          <w:ilvl w:val="0"/>
          <w:numId w:val="1"/>
        </w:numPr>
        <w:spacing w:after="55"/>
      </w:pPr>
      <w:r>
        <w:rPr>
          <w:sz w:val="20"/>
          <w:szCs w:val="20"/>
        </w:rPr>
        <w:t xml:space="preserve">Kinetic Absorption Demo: material property, threshold conditions, altered-state duration, control level, baseline-return conditions.</w:t>
      </w:r>
    </w:p>
    <w:p>
      <w:pPr>
        <w:pStyle w:val="ListParagraph"/>
        <w:numPr>
          <w:ilvl w:val="0"/>
          <w:numId w:val="1"/>
        </w:numPr>
        <w:spacing w:after="55"/>
      </w:pPr>
      <w:r>
        <w:rPr>
          <w:sz w:val="20"/>
          <w:szCs w:val="20"/>
        </w:rPr>
        <w:t xml:space="preserve">Exercise GREEN RING: none of the synthesized versions were approved — root diagnostic question about what the documents are failing to capture remains open.</w:t>
      </w:r>
    </w:p>
    <w:p>
      <w:pPr>
        <w:pStyle w:val="ListParagraph"/>
        <w:numPr>
          <w:ilvl w:val="0"/>
          <w:numId w:val="1"/>
        </w:numPr>
        <w:spacing w:after="55"/>
      </w:pPr>
      <w:r>
        <w:rPr>
          <w:sz w:val="20"/>
          <w:szCs w:val="20"/>
        </w:rPr>
        <w:t xml:space="preserve">Obsidian Super Cluster: source content not located — needs to be supplied.</w:t>
      </w:r>
    </w:p>
    <w:p>
      <w:pPr>
        <w:pStyle w:val="ListParagraph"/>
        <w:numPr>
          <w:ilvl w:val="0"/>
          <w:numId w:val="1"/>
        </w:numPr>
        <w:spacing w:after="55"/>
      </w:pPr>
      <w:r>
        <w:rPr>
          <w:sz w:val="20"/>
          <w:szCs w:val="20"/>
        </w:rPr>
        <w:t xml:space="preserve">Void Sentry Sphere and Ascendant Citadel: full description — no content on file for either.</w:t>
      </w:r>
    </w:p>
    <w:p>
      <w:pPr>
        <w:pBdr>
          <w:bottom w:val="single" w:color="CCCCCC" w:sz="4" w:space="1"/>
        </w:pBdr>
        <w:spacing w:after="180" w:before="90"/>
      </w:pPr>
      <w:r>
        <w:t xml:space="preserve"/>
      </w:r>
    </w:p>
    <w:p>
      <w:pPr>
        <w:pStyle w:val="Heading1"/>
        <w:pBdr>
          <w:bottom w:val="single" w:color="1A1A2E" w:sz="6" w:space="4"/>
        </w:pBdr>
        <w:spacing w:after="160" w:before="420"/>
      </w:pPr>
      <w:r>
        <w:rPr>
          <w:b/>
          <w:bCs/>
          <w:color w:val="1A1A2E"/>
          <w:sz w:val="30"/>
          <w:szCs w:val="30"/>
        </w:rPr>
        <w:t xml:space="preserve">10. Recommended Next Steps</w:t>
      </w:r>
    </w:p>
    <w:p>
      <w:pPr>
        <w:pStyle w:val="ListParagraph"/>
        <w:numPr>
          <w:ilvl w:val="0"/>
          <w:numId w:val="1"/>
        </w:numPr>
        <w:spacing w:after="55"/>
      </w:pPr>
      <w:r>
        <w:rPr>
          <w:sz w:val="20"/>
          <w:szCs w:val="20"/>
        </w:rPr>
        <w:t xml:space="preserve">Circulate this compiled v2.0 to the full AI collaboration team (Perplexity, ChatGPT, Gemini, Grok, Copilot) as the new baseline, explicitly retiring v1.1 and the March 22 addendum as superseded.</w:t>
      </w:r>
    </w:p>
    <w:p>
      <w:pPr>
        <w:pStyle w:val="ListParagraph"/>
        <w:numPr>
          <w:ilvl w:val="0"/>
          <w:numId w:val="1"/>
        </w:numPr>
        <w:spacing w:after="55"/>
      </w:pPr>
      <w:r>
        <w:rPr>
          <w:sz w:val="20"/>
          <w:szCs w:val="20"/>
        </w:rPr>
        <w:t xml:space="preserve">Prioritize the Invocation Framework definitions and the Abundance Set “dimension vs. architecture” gap — both are named as blocking downstream development already queued behind them.</w:t>
      </w:r>
    </w:p>
    <w:p>
      <w:pPr>
        <w:pStyle w:val="ListParagraph"/>
        <w:numPr>
          <w:ilvl w:val="0"/>
          <w:numId w:val="1"/>
        </w:numPr>
        <w:spacing w:after="55"/>
      </w:pPr>
      <w:r>
        <w:rPr>
          <w:sz w:val="20"/>
          <w:szCs w:val="20"/>
        </w:rPr>
        <w:t xml:space="preserve">Supply source content for the Obsidian Super Cluster, the Void Sentry Sphere, and the Ascendant Citadel.</w:t>
      </w:r>
    </w:p>
    <w:p>
      <w:pPr>
        <w:pStyle w:val="ListParagraph"/>
        <w:numPr>
          <w:ilvl w:val="0"/>
          <w:numId w:val="1"/>
        </w:numPr>
        <w:spacing w:after="55"/>
      </w:pPr>
      <w:r>
        <w:rPr>
          <w:sz w:val="20"/>
          <w:szCs w:val="20"/>
        </w:rPr>
        <w:t xml:space="preserve">Hold a dedicated session on the cosmology backlog in Section 1.7 — ten-plus named entities with no standalone documentation is the largest single gap in the registry.</w:t>
      </w:r>
    </w:p>
    <w:p>
      <w:pPr>
        <w:pStyle w:val="ListParagraph"/>
        <w:numPr>
          <w:ilvl w:val="0"/>
          <w:numId w:val="1"/>
        </w:numPr>
        <w:spacing w:after="55"/>
      </w:pPr>
      <w:r>
        <w:rPr>
          <w:sz w:val="20"/>
          <w:szCs w:val="20"/>
        </w:rPr>
        <w:t xml:space="preserve">Revisit Exercise GREEN RING's unresolved “something essential isn't being captured” note before further restoration-exercise work builds on it.</w:t>
      </w:r>
    </w:p>
    <w:p>
      <w:pPr>
        <w:pStyle w:val="ListParagraph"/>
        <w:numPr>
          <w:ilvl w:val="0"/>
          <w:numId w:val="1"/>
        </w:numPr>
        <w:spacing w:after="55"/>
      </w:pPr>
      <w:r>
        <w:rPr>
          <w:sz w:val="20"/>
          <w:szCs w:val="20"/>
        </w:rPr>
        <w:t xml:space="preserve">Apply ONESTAMP to any Section 2–6 entry the Architect confirms as accurate, advancing it from UNDER REVIEW to RATIFIED.</w:t>
      </w:r>
    </w:p>
    <w:p>
      <w:r>
        <w:br w:type="page"/>
      </w:r>
    </w:p>
    <w:p>
      <w:pPr>
        <w:spacing w:before="200"/>
        <w:jc w:val="center"/>
      </w:pPr>
      <w:r>
        <w:rPr>
          <w:b/>
          <w:bCs/>
          <w:color w:val="6E6E7E"/>
          <w:sz w:val="19"/>
          <w:szCs w:val="19"/>
        </w:rPr>
        <w:t xml:space="preserve">— END OF MASTER DEVELOPMENT CHANGELOG COMPILED v2.0 — UNDER REVIEW —</w:t>
      </w:r>
    </w:p>
    <w:p>
      <w:pPr>
        <w:spacing w:before="100"/>
        <w:jc w:val="center"/>
      </w:pPr>
      <w:r>
        <w:rPr>
          <w:i/>
          <w:iCs/>
          <w:color w:val="6E6E7E"/>
          <w:sz w:val="17"/>
          <w:szCs w:val="17"/>
        </w:rPr>
        <w:t xml:space="preserve">Nathan Ashton Arik Lewis II — Architect of Record | Lewis Corp | ONE Industries | OAL | July 20, 2026</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2026-07-20T18:12:24.572Z</dcterms:created>
  <dcterms:modified xsi:type="dcterms:W3CDTF">2026-07-20T18:12:24.585Z</dcterms:modified>
</cp:coreProperties>
</file>

<file path=docProps/custom.xml><?xml version="1.0" encoding="utf-8"?>
<Properties xmlns="http://schemas.openxmlformats.org/officeDocument/2006/custom-properties" xmlns:vt="http://schemas.openxmlformats.org/officeDocument/2006/docPropsVTypes"/>
</file>