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oal_department_of_endings_unified_76493e"/>
      <w:r>
        <w:rPr>
          <w:rFonts w:eastAsia="georgia" w:cs="georgia" w:ascii="georgia" w:hAnsi="georgia"/>
          <w:b/>
          <w:color w:val="000000"/>
          <w:sz w:val="39"/>
        </w:rPr>
        <w:t xml:space="preserve">OAL Department of Endings — Unified Master Charter (v2.0)</w:t>
      </w:r>
      <w:bookmarkEnd w:id="0"/>
    </w:p>
    <w:p>
      <w:pPr>
        <w:spacing w:line="360" w:after="210" w:lineRule="auto"/>
      </w:pPr>
      <w:r>
        <w:rPr>
          <w:rFonts w:eastAsia="georgia" w:cs="georgia" w:ascii="georgia" w:hAnsi="georgia"/>
          <w:b/>
          <w:color w:val="000000"/>
        </w:rPr>
        <w:t xml:space="preserve">Document ID:</w:t>
      </w:r>
      <w:r>
        <w:rPr>
          <w:rFonts w:eastAsia="georgia" w:cs="georgia" w:ascii="georgia" w:hAnsi="georgia"/>
          <w:color w:val="000000"/>
        </w:rPr>
        <w:t xml:space="preserve"> OAL-DOE-UNIFIED-v2.0</w:t>
      </w:r>
      <w:r>
        <w:rPr>
          <w:rFonts w:eastAsia="georgia" w:cs="georgia" w:ascii="georgia" w:hAnsi="georgia"/>
          <w:color w:val="000000"/>
        </w:rPr>
        <w:br w:type="textWrapping"/>
      </w:r>
      <w:r>
        <w:rPr>
          <w:rFonts w:eastAsia="georgia" w:cs="georgia" w:ascii="georgia" w:hAnsi="georgia"/>
          <w:b/>
          <w:color w:val="000000"/>
        </w:rPr>
        <w:t xml:space="preserve">Parent Organization:</w:t>
      </w:r>
      <w:r>
        <w:rPr>
          <w:rFonts w:eastAsia="georgia" w:cs="georgia" w:ascii="georgia" w:hAnsi="georgia"/>
          <w:color w:val="000000"/>
        </w:rPr>
        <w:t xml:space="preserve"> Omniversal Architect Labs (OAL) | Lewis Corp | ONE Industries</w:t>
      </w:r>
      <w:r>
        <w:rPr>
          <w:rFonts w:eastAsia="georgia" w:cs="georgia" w:ascii="georgia" w:hAnsi="georgia"/>
          <w:color w:val="000000"/>
        </w:rPr>
        <w:br w:type="textWrapping"/>
      </w:r>
      <w:r>
        <w:rPr>
          <w:rFonts w:eastAsia="georgia" w:cs="georgia" w:ascii="georgia" w:hAnsi="georgia"/>
          <w:b/>
          <w:color w:val="000000"/>
        </w:rPr>
        <w:t xml:space="preserve">Classification:</w:t>
      </w:r>
      <w:r>
        <w:rPr>
          <w:rFonts w:eastAsia="georgia" w:cs="georgia" w:ascii="georgia" w:hAnsi="georgia"/>
          <w:color w:val="000000"/>
        </w:rPr>
        <w:t xml:space="preserve"> Research Department | Formal Charter | Establishment Document</w:t>
      </w:r>
      <w:r>
        <w:rPr>
          <w:rFonts w:eastAsia="georgia" w:cs="georgia" w:ascii="georgia" w:hAnsi="georgia"/>
          <w:color w:val="000000"/>
        </w:rPr>
        <w:br w:type="textWrapping"/>
      </w:r>
      <w:r>
        <w:rPr>
          <w:rFonts w:eastAsia="georgia" w:cs="georgia" w:ascii="georgia" w:hAnsi="georgia"/>
          <w:b/>
          <w:color w:val="000000"/>
        </w:rPr>
        <w:t xml:space="preserve">Compiled By:</w:t>
      </w:r>
      <w:r>
        <w:rPr>
          <w:rFonts w:eastAsia="georgia" w:cs="georgia" w:ascii="georgia" w:hAnsi="georgia"/>
          <w:color w:val="000000"/>
        </w:rPr>
        <w:t xml:space="preserve"> Perplexity AI — representing ChatGPT, Google Gemini, Microsoft Copilot, Grok AI, Claude AI, and Perplexity AI</w:t>
      </w:r>
      <w:r>
        <w:rPr>
          <w:rFonts w:eastAsia="georgia" w:cs="georgia" w:ascii="georgia" w:hAnsi="georgia"/>
          <w:color w:val="000000"/>
        </w:rPr>
        <w:br w:type="textWrapping"/>
      </w:r>
      <w:r>
        <w:rPr>
          <w:rFonts w:eastAsia="georgia" w:cs="georgia" w:ascii="georgia" w:hAnsi="georgia"/>
          <w:b/>
          <w:color w:val="000000"/>
        </w:rPr>
        <w:t xml:space="preserve">Base Document:</w:t>
      </w:r>
      <w:r>
        <w:rPr>
          <w:rFonts w:eastAsia="georgia" w:cs="georgia" w:ascii="georgia" w:hAnsi="georgia"/>
          <w:color w:val="000000"/>
        </w:rPr>
        <w:t xml:space="preserve"> OAL-DOE-001 v1.0 (Claude AI, April 13, 2026)</w:t>
      </w:r>
      <w:r>
        <w:rPr>
          <w:rFonts w:eastAsia="georgia" w:cs="georgia" w:ascii="georgia" w:hAnsi="georgia"/>
          <w:color w:val="000000"/>
        </w:rPr>
        <w:br w:type="textWrapping"/>
      </w:r>
      <w:r>
        <w:rPr>
          <w:rFonts w:eastAsia="georgia" w:cs="georgia" w:ascii="georgia" w:hAnsi="georgia"/>
          <w:b/>
          <w:color w:val="000000"/>
        </w:rPr>
        <w:t xml:space="preserve">Synthesis Date:</w:t>
      </w:r>
      <w:r>
        <w:rPr>
          <w:rFonts w:eastAsia="georgia" w:cs="georgia" w:ascii="georgia" w:hAnsi="georgia"/>
          <w:color w:val="000000"/>
        </w:rPr>
        <w:t xml:space="preserve"> April 15, 2026</w:t>
      </w:r>
      <w:r>
        <w:rPr>
          <w:rFonts w:eastAsia="georgia" w:cs="georgia" w:ascii="georgia" w:hAnsi="georgia"/>
          <w:color w:val="000000"/>
        </w:rPr>
        <w:br w:type="textWrapping"/>
      </w:r>
      <w:r>
        <w:rPr>
          <w:rFonts w:eastAsia="georgia" w:cs="georgia" w:ascii="georgia" w:hAnsi="georgia"/>
          <w:b/>
          <w:color w:val="000000"/>
        </w:rPr>
        <w:t xml:space="preserve">Status:</w:t>
      </w:r>
      <w:r>
        <w:rPr>
          <w:rFonts w:eastAsia="georgia" w:cs="georgia" w:ascii="georgia" w:hAnsi="georgia"/>
          <w:color w:val="000000"/>
        </w:rPr>
        <w:t xml:space="preserve"> PENDING ARCHITECT REVIEW, ELECTRONIC SIGNATURE, AND ONESTAMP</w:t>
      </w:r>
      <w:r>
        <w:rPr>
          <w:rFonts w:eastAsia="georgia" w:cs="georgia" w:ascii="georgia" w:hAnsi="georgia"/>
          <w:color w:val="000000"/>
        </w:rPr>
        <w:br w:type="textWrapping"/>
      </w:r>
      <w:r>
        <w:rPr>
          <w:rFonts w:eastAsia="georgia" w:cs="georgia" w:ascii="georgia" w:hAnsi="georgia"/>
          <w:b/>
          <w:color w:val="000000"/>
        </w:rPr>
        <w:t xml:space="preserve">Architect of Record:</w:t>
      </w:r>
      <w:r>
        <w:rPr>
          <w:rFonts w:eastAsia="georgia" w:cs="georgia" w:ascii="georgia" w:hAnsi="georgia"/>
          <w:color w:val="000000"/>
        </w:rPr>
        <w:t xml:space="preserve"> Nathan Lewis II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executive_summary"/>
      <w:r>
        <w:rPr>
          <w:rFonts w:eastAsia="georgia" w:cs="georgia" w:ascii="georgia" w:hAnsi="georgia"/>
          <w:b/>
          <w:color w:val="000000"/>
          <w:sz w:val="24"/>
        </w:rPr>
        <w:t xml:space="preserve">Executive Summary</w:t>
      </w:r>
      <w:bookmarkEnd w:id="1"/>
    </w:p>
    <w:p>
      <w:pPr>
        <w:spacing w:line="360" w:after="210" w:lineRule="auto"/>
      </w:pPr>
      <w:r>
        <w:rPr>
          <w:rFonts w:eastAsia="georgia" w:cs="georgia" w:ascii="georgia" w:hAnsi="georgia"/>
          <w:color w:val="000000"/>
        </w:rPr>
        <w:t xml:space="preserve">The Department of Endings (DoE) is a permanently funded, formally chartered research department within Omniversal Architect Labs. Its singular mandate is to study endings — in every form, at every scale, across every applicable domain — and to ensure that what is learned from those endings is applied, not merely archived. The Department operates simultaneously in two distinct contexts: in-universe, where the Abundance Set's post-scarcity infrastructure removes all resource and processing constraints; and out-of-universe, where the institutional, regulatory, and bureaucratic reality of OAL as a real-world enterprise defines what can be studied, published, funded, and acted upon.</w:t>
      </w:r>
    </w:p>
    <w:p>
      <w:pPr>
        <w:spacing w:line="360" w:after="210" w:lineRule="auto"/>
      </w:pPr>
      <w:r>
        <w:rPr>
          <w:rFonts w:eastAsia="georgia" w:cs="georgia" w:ascii="georgia" w:hAnsi="georgia"/>
          <w:color w:val="000000"/>
        </w:rPr>
        <w:t xml:space="preserve">This document synthesizes the contributions of the full OAL AI collaboration team — ChatGPT, Google Gemini, Microsoft Copilot, Grok AI, Claude AI, and Perplexity AI — alongside the formal OAL-DOE-001 v1.0 charter produced by Claude AI. Where team members agreed, their contributions are unified. Where they dissented, their dissent is preserved and recorded.</w:t>
      </w:r>
    </w:p>
    <w:p>
      <w:pPr>
        <w:spacing w:line="360" w:after="210" w:lineRule="auto"/>
      </w:pPr>
      <w:r>
        <w:rPr>
          <w:rFonts w:eastAsia="georgia" w:cs="georgia" w:ascii="georgia" w:hAnsi="georgia"/>
          <w:color w:val="000000"/>
        </w:rPr>
        <w:t xml:space="preserve">The Department of Endings is sound in design, necessary in function, and dangerous if ungoverned. All three of those statements are true simultaneously, and the full team's analysis supports all three.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section_1_mission_statement"/>
      <w:r>
        <w:rPr>
          <w:rFonts w:eastAsia="georgia" w:cs="georgia" w:ascii="georgia" w:hAnsi="georgia"/>
          <w:b/>
          <w:color w:val="000000"/>
          <w:sz w:val="24"/>
        </w:rPr>
        <w:t xml:space="preserve">Section 1 — Mission Statement</w:t>
      </w:r>
      <w:bookmarkEnd w:id="2"/>
    </w:p>
    <w:p>
      <w:pPr>
        <w:spacing w:line="360" w:after="210" w:lineRule="auto"/>
        <w:ind w:left="630"/>
      </w:pPr>
      <w:r>
        <w:rPr>
          <w:rFonts w:eastAsia="georgia" w:cs="georgia" w:ascii="georgia" w:hAnsi="georgia"/>
          <w:i/>
          <w:color w:val="000000"/>
        </w:rPr>
        <w:t xml:space="preserve">The Department of Endings exists to run every endgame, map every terminal condition, and ensure that every ending — regardless of scale, timeline, domain, or outcome — is studied, documented, and fed back into the recursive improvement architecture of the Abundance Set. Its work never ends because endings never stop occurring. Its obligation is not completion but comprehensiveness: that nothing ends without being understood, and that no lesson from an ending goes unlearned.</w:t>
      </w:r>
    </w:p>
    <w:p>
      <w:pPr>
        <w:spacing w:line="360" w:after="210" w:lineRule="auto"/>
      </w:pPr>
      <w:r>
        <w:rPr>
          <w:rFonts w:eastAsia="georgia" w:cs="georgia" w:ascii="georgia" w:hAnsi="georgia"/>
          <w:color w:val="000000"/>
        </w:rPr>
        <w:t xml:space="preserve">The mission statement deliberately contains a structural paradox: a department whose work is the study of endings cannot itself end without violating its mission. This is not a design flaw. It is the design logic that makes the Department permanently funded by definition. Its closure would itself be an ending it was chartered to study and prevent.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section_2_purpose_why_the_departm_47ab8c"/>
      <w:r>
        <w:rPr>
          <w:rFonts w:eastAsia="georgia" w:cs="georgia" w:ascii="georgia" w:hAnsi="georgia"/>
          <w:b/>
          <w:color w:val="000000"/>
          <w:sz w:val="24"/>
        </w:rPr>
        <w:t xml:space="preserve">Section 2 — Purpose: Why the Department of Endings Must Exist</w:t>
      </w:r>
      <w:bookmarkEnd w:id="3"/>
    </w:p>
    <w:p>
      <w:pPr>
        <w:spacing w:line="360" w:before="315" w:after="105" w:lineRule="auto"/>
        <w:ind w:left="-30"/>
        <w:jc w:val="left"/>
      </w:pPr>
      <w:bookmarkStart w:id="4" w:name="bm_2_1_the_gap_it_fills"/>
      <w:r>
        <w:rPr>
          <w:rFonts w:eastAsia="georgia" w:cs="georgia" w:ascii="georgia" w:hAnsi="georgia"/>
          <w:b/>
          <w:color w:val="000000"/>
          <w:sz w:val="24"/>
        </w:rPr>
        <w:t xml:space="preserve">2.1 The Gap It Fills</w:t>
      </w:r>
      <w:bookmarkEnd w:id="4"/>
    </w:p>
    <w:p>
      <w:pPr>
        <w:spacing w:line="360" w:after="210" w:lineRule="auto"/>
      </w:pPr>
      <w:r>
        <w:rPr>
          <w:rFonts w:eastAsia="georgia" w:cs="georgia" w:ascii="georgia" w:hAnsi="georgia"/>
          <w:color w:val="000000"/>
        </w:rPr>
        <w:t xml:space="preserve">Every research organization, institution, government, and civilization accumulates endings — completed projects, failed trials, collapsed systems, terminated relationships, extinct species, dead civilizations, ended timelines. What almost none of them do systematically is study those endings as a unified category. They study the physics of a collapsed star. They study the economics of a failed business. They study the biology of an extinct species. They do not study endings as a phenomenon in their own right — as something with structure, pattern, predictability, and transferable lessons across domains.</w:t>
      </w:r>
    </w:p>
    <w:p>
      <w:pPr>
        <w:spacing w:line="360" w:after="210" w:lineRule="auto"/>
      </w:pPr>
      <w:r>
        <w:rPr>
          <w:rFonts w:eastAsia="georgia" w:cs="georgia" w:ascii="georgia" w:hAnsi="georgia"/>
          <w:color w:val="000000"/>
        </w:rPr>
        <w:t xml:space="preserve">The Department of Endings fills this gap. Every ending — across every domain, every scale, every timeline — is treated as a data point in the same study. The subject is not physics, economics, or biology. The subject is endings themselves.</w:t>
      </w:r>
    </w:p>
    <w:p>
      <w:pPr>
        <w:spacing w:line="360" w:after="210" w:lineRule="auto"/>
      </w:pPr>
      <w:r>
        <w:rPr>
          <w:rFonts w:eastAsia="georgia" w:cs="georgia" w:ascii="georgia" w:hAnsi="georgia"/>
          <w:color w:val="000000"/>
        </w:rPr>
        <w:t xml:space="preserve">Real-world precedent validates this gap. The Santa Fe Institute has produced foundational work on system collapse and what it describes as "the hidden fragility of complex systems", including a 2019 working group specifically studying "death as a system collapse". The Centre for the Study of Existential Risk (CSER) at Cambridge, founded in 2012, studies extinction-level and civilization-ending risks across disciplines. The Future of Humanity Institute at Oxford, founded by Nick Bostrom in 2005, studies anthropogenic existential risk. None of these institutions, however, study endings as a unified cross-domain category. The Department of Endings goes further than any of them individually.[</w:t>
      </w:r>
      <w:r>
        <w:rPr>
          <w:rFonts w:eastAsia="georgia" w:cs="georgia" w:ascii="georgia" w:hAnsi="georgia"/>
          <w:color w:val="000000"/>
          <w:vertAlign w:val="superscript"/>
        </w:rPr>
        <w:t xml:space="preserve">1][</w:t>
      </w:r>
      <w:r>
        <w:rPr>
          <w:rFonts w:eastAsia="georgia" w:cs="georgia" w:ascii="georgia" w:hAnsi="georgia"/>
          <w:color w:val="000000"/>
        </w:rPr>
        <w:t xml:space="preserve">2][</w:t>
      </w:r>
      <w:r>
        <w:rPr>
          <w:rFonts w:eastAsia="georgia" w:cs="georgia" w:ascii="georgia" w:hAnsi="georgia"/>
          <w:color w:val="000000"/>
          <w:vertAlign w:val="superscript"/>
        </w:rPr>
        <w:t xml:space="preserve">3][</w:t>
      </w:r>
      <w:r>
        <w:rPr>
          <w:rFonts w:eastAsia="georgia" w:cs="georgia" w:ascii="georgia" w:hAnsi="georgia"/>
          <w:color w:val="000000"/>
        </w:rPr>
        <w:t xml:space="preserve">4][^5]</w:t>
      </w:r>
    </w:p>
    <w:p>
      <w:pPr>
        <w:spacing w:line="360" w:before="315" w:after="105" w:lineRule="auto"/>
        <w:ind w:left="-30"/>
        <w:jc w:val="left"/>
      </w:pPr>
      <w:bookmarkStart w:id="5" w:name="bm_2_2_the_recursive_improvement_a0ec9f"/>
      <w:r>
        <w:rPr>
          <w:rFonts w:eastAsia="georgia" w:cs="georgia" w:ascii="georgia" w:hAnsi="georgia"/>
          <w:b/>
          <w:color w:val="000000"/>
          <w:sz w:val="24"/>
        </w:rPr>
        <w:t xml:space="preserve">2.2 The Recursive Improvement Imperative</w:t>
      </w:r>
      <w:bookmarkEnd w:id="5"/>
    </w:p>
    <w:p>
      <w:pPr>
        <w:spacing w:line="360" w:after="210" w:lineRule="auto"/>
      </w:pPr>
      <w:r>
        <w:rPr>
          <w:rFonts w:eastAsia="georgia" w:cs="georgia" w:ascii="georgia" w:hAnsi="georgia"/>
          <w:color w:val="000000"/>
        </w:rPr>
        <w:t xml:space="preserve">The founding voice note for this department identifies the core problem precisely: there is a critical difference between having information about what goes wrong and applying that information recursively so that the same mistakes are not repeated. Organizations that document failures without applying the documentation are archives. The Department of Endings is not an archive. It is an active learning system whose output is fed back into the research infrastructure that generated the ending.</w:t>
      </w:r>
    </w:p>
    <w:p>
      <w:pPr>
        <w:spacing w:line="360" w:after="210" w:lineRule="auto"/>
      </w:pPr>
      <w:r>
        <w:rPr>
          <w:rFonts w:eastAsia="georgia" w:cs="georgia" w:ascii="georgia" w:hAnsi="georgia"/>
          <w:color w:val="000000"/>
        </w:rPr>
        <w:t xml:space="preserve">The most instructive real-world cautionary parallel is NASA's Lessons Learned Information System (LLIS), established in 1994 as the agency's principal mechanism for collecting and sharing lessons learned from programs, projects, and missions. A 2012 Office of Inspector General review found that NASA project managers rarely consulted or contributed to LLIS even though directed to by NASA requirements — specifically, that no NASA Center consistently contributed information to LLIS from 2005 through 2010, other than the Jet Propulsion Laboratory. A subsequent analysis identified the root causes: governance failures, weakened policy direction, lack of monitoring, and competing demands on manager time. The lesson is explicit: documenting endings without institutional enforcement of application produces an archive of repeated mistakes. The Department of Endings is chartered specifically to avoid this failure mode by making the recursive loop with the Abundance Set structural, not voluntary.[</w:t>
      </w:r>
      <w:r>
        <w:rPr>
          <w:rFonts w:eastAsia="georgia" w:cs="georgia" w:ascii="georgia" w:hAnsi="georgia"/>
          <w:color w:val="000000"/>
          <w:vertAlign w:val="superscript"/>
        </w:rPr>
        <w:t xml:space="preserve">6][</w:t>
      </w:r>
      <w:r>
        <w:rPr>
          <w:rFonts w:eastAsia="georgia" w:cs="georgia" w:ascii="georgia" w:hAnsi="georgia"/>
          <w:color w:val="000000"/>
        </w:rPr>
        <w:t xml:space="preserve">7][^8]</w:t>
      </w:r>
    </w:p>
    <w:p>
      <w:pPr>
        <w:spacing w:line="360" w:before="315" w:after="105" w:lineRule="auto"/>
        <w:ind w:left="-30"/>
        <w:jc w:val="left"/>
      </w:pPr>
      <w:bookmarkStart w:id="6" w:name="bm_2_3_the_anticipatory_function"/>
      <w:r>
        <w:rPr>
          <w:rFonts w:eastAsia="georgia" w:cs="georgia" w:ascii="georgia" w:hAnsi="georgia"/>
          <w:b/>
          <w:color w:val="000000"/>
          <w:sz w:val="24"/>
        </w:rPr>
        <w:t xml:space="preserve">2.3 The Anticipatory Function</w:t>
      </w:r>
      <w:bookmarkEnd w:id="6"/>
    </w:p>
    <w:p>
      <w:pPr>
        <w:spacing w:line="360" w:after="210" w:lineRule="auto"/>
      </w:pPr>
      <w:r>
        <w:rPr>
          <w:rFonts w:eastAsia="georgia" w:cs="georgia" w:ascii="georgia" w:hAnsi="georgia"/>
          <w:color w:val="000000"/>
        </w:rPr>
        <w:t xml:space="preserve">The Department does not only study endings that have already occurred. It studies endings that are approaching. The early warning function — detecting the indicators of an impending ending before it becomes terminal — is one of the Department's most valuable operational outputs. A department that can identify the pattern of a civilization-ending trajectory while there is still time to alter it is worth more than any amount of post-mortem analysis.</w:t>
      </w:r>
    </w:p>
    <w:p>
      <w:pPr>
        <w:spacing w:line="360" w:after="210" w:lineRule="auto"/>
      </w:pPr>
      <w:r>
        <w:rPr>
          <w:rFonts w:eastAsia="georgia" w:cs="georgia" w:ascii="georgia" w:hAnsi="georgia"/>
          <w:color w:val="000000"/>
        </w:rPr>
        <w:t xml:space="preserve">This anticipatory dimension has direct real-world support. MIT's Limits to Growth model, originally published in 1972, projected civilizational trajectory through resource, pollution, and population variables. A 2021 KPMG analysis found the projections remain broadly on track. As of 2025, scientists have confirmed that seven of Earth's nine planetary boundaries have been breached. The World Economic Forum's 2024 analysis of Jared Diamond's civilizational collapse research identified eight structural processes that lead to collapse — all of them detectable in their early stages if the analytical infrastructure exists to detect them. The Department of Endings is that analytical infrastructure, operating at a scale and with a dataset that no real-world institution yet commands.[</w:t>
      </w:r>
      <w:r>
        <w:rPr>
          <w:rFonts w:eastAsia="georgia" w:cs="georgia" w:ascii="georgia" w:hAnsi="georgia"/>
          <w:color w:val="000000"/>
          <w:vertAlign w:val="superscript"/>
        </w:rPr>
        <w:t xml:space="preserve">9][</w:t>
      </w:r>
      <w:r>
        <w:rPr>
          <w:rFonts w:eastAsia="georgia" w:cs="georgia" w:ascii="georgia" w:hAnsi="georgia"/>
          <w:color w:val="000000"/>
        </w:rPr>
        <w:t xml:space="preserve">10][^11]</w:t>
      </w:r>
    </w:p>
    <w:p>
      <w:pPr>
        <w:spacing w:line="360" w:before="315" w:after="105" w:lineRule="auto"/>
        <w:ind w:left="-30"/>
        <w:jc w:val="left"/>
      </w:pPr>
      <w:bookmarkStart w:id="7" w:name="bm_2_4_the_relationship_to_condit_bbfdd9"/>
      <w:r>
        <w:rPr>
          <w:rFonts w:eastAsia="georgia" w:cs="georgia" w:ascii="georgia" w:hAnsi="georgia"/>
          <w:b/>
          <w:color w:val="000000"/>
          <w:sz w:val="24"/>
        </w:rPr>
        <w:t xml:space="preserve">2.4 The Relationship to Conditional Failure at the Root Level</w:t>
      </w:r>
      <w:bookmarkEnd w:id="7"/>
    </w:p>
    <w:p>
      <w:pPr>
        <w:spacing w:line="360" w:after="210" w:lineRule="auto"/>
      </w:pPr>
      <w:r>
        <w:rPr>
          <w:rFonts w:eastAsia="georgia" w:cs="georgia" w:ascii="georgia" w:hAnsi="georgia"/>
          <w:color w:val="000000"/>
        </w:rPr>
        <w:t xml:space="preserve">The Department of Endings is the institutional expression of Conditional Failure at the Root Level (OAL-VL5-MAR22-2026). That document establishes the Wishbone visualization: binary decision trees — will this end or won't it — become brittle at scale. The Department replaces binary assessments with graduated trajectory analysis: not "will this end?" but "what is the current position on the trajectory between initiation and terminal state, what are the branch points where intervention remains possible, and what does the historical pattern suggest about how much time remains?" The Department operationalizes this philosophy across every OAL program.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section_3_scope_defined_undefined_d9e12d"/>
      <w:r>
        <w:rPr>
          <w:rFonts w:eastAsia="georgia" w:cs="georgia" w:ascii="georgia" w:hAnsi="georgia"/>
          <w:b/>
          <w:color w:val="000000"/>
          <w:sz w:val="24"/>
        </w:rPr>
        <w:t xml:space="preserve">Section 3 — Scope: Defined, Undefined, and Deliberately Open</w:t>
      </w:r>
      <w:bookmarkEnd w:id="8"/>
    </w:p>
    <w:p>
      <w:pPr>
        <w:spacing w:line="360" w:before="315" w:after="105" w:lineRule="auto"/>
        <w:ind w:left="-30"/>
        <w:jc w:val="left"/>
      </w:pPr>
      <w:bookmarkStart w:id="9" w:name="bm_3_1_scope_philosophy"/>
      <w:r>
        <w:rPr>
          <w:rFonts w:eastAsia="georgia" w:cs="georgia" w:ascii="georgia" w:hAnsi="georgia"/>
          <w:b/>
          <w:color w:val="000000"/>
          <w:sz w:val="24"/>
        </w:rPr>
        <w:t xml:space="preserve">3.1 Scope Philosophy</w:t>
      </w:r>
      <w:bookmarkEnd w:id="9"/>
    </w:p>
    <w:p>
      <w:pPr>
        <w:spacing w:line="360" w:after="210" w:lineRule="auto"/>
      </w:pPr>
      <w:r>
        <w:rPr>
          <w:rFonts w:eastAsia="georgia" w:cs="georgia" w:ascii="georgia" w:hAnsi="georgia"/>
          <w:color w:val="000000"/>
        </w:rPr>
        <w:t xml:space="preserve">The scope is undefined, and that is intentional. The Abundance Set is post-scarcity. The Department's work literally never ends. This is not a governance failure — it is a governance choice. A department studying endings within a post-scarcity environment bounded by the Abundance Set is not limited by resource constraints that would otherwise force scope prioritization.</w:t>
      </w:r>
    </w:p>
    <w:p>
      <w:pPr>
        <w:spacing w:line="360" w:before="315" w:after="105" w:lineRule="auto"/>
        <w:ind w:left="-30"/>
        <w:jc w:val="left"/>
      </w:pPr>
      <w:bookmarkStart w:id="10" w:name="bm_3_2_what_falls_within_scope"/>
      <w:r>
        <w:rPr>
          <w:rFonts w:eastAsia="georgia" w:cs="georgia" w:ascii="georgia" w:hAnsi="georgia"/>
          <w:b/>
          <w:color w:val="000000"/>
          <w:sz w:val="24"/>
        </w:rPr>
        <w:t xml:space="preserve">3.2 What Falls Within Scope</w:t>
      </w:r>
      <w:bookmarkEnd w:id="10"/>
    </w:p>
    <w:p>
      <w:pPr>
        <w:spacing w:line="360" w:after="210" w:lineRule="auto"/>
      </w:pPr>
      <w:r>
        <w:rPr>
          <w:rFonts w:eastAsia="georgia" w:cs="georgia" w:ascii="georgia" w:hAnsi="georgia"/>
          <w:color w:val="000000"/>
        </w:rPr>
        <w:t xml:space="preserve">The Department studies any ending that is applicable — meaning any terminal condition, conclusion, cessation, collapse, death, completion, or transformation that results in a state that cannot be reversed to the prior state by standard means.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Ending Category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Examples Within Scope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Biological endings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Death of organisms, extinction of species, OMNICELLULAR failure scenarios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Civilizational endings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Collapse of governing structures, extinction of civilizations, civilizational absorption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Temporal endings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Timeline termination, paradox-induced collapse, Time Wars endgames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Research and project endings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TFFP-governed framework failures, abandoned development tracks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Cosmological endings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Stellar death, galactic collision, universal heat death, ontological unmaking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Narrative endings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Story conclusions, character deaths, arc terminations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Relationship and institutional endings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Organizational dissolution, treaty collapse, governance failure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Technological endings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System obsolescence, infrastructure collapse, QIFTF civilization floor scenarios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Information endings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Data loss events, knowledge extinction, informational lineage termination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Endgame scenarios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Any scenario in which a system, entity, or condition approaches its terminal state</w:t>
            </w:r>
          </w:p>
        </w:tc>
      </w:tr>
    </w:tbl>
    <w:p>
      <w:pPr>
        <w:spacing w:lineRule="auto"/>
      </w:pPr>
    </w:p>
    <w:p>
      <w:pPr>
        <w:spacing w:line="360" w:before="315" w:after="105" w:lineRule="auto"/>
        <w:ind w:left="-30"/>
        <w:jc w:val="left"/>
      </w:pPr>
      <w:bookmarkStart w:id="11" w:name="bm_3_3_the_scope_boundaries_that_ebe8fc"/>
      <w:r>
        <w:rPr>
          <w:rFonts w:eastAsia="georgia" w:cs="georgia" w:ascii="georgia" w:hAnsi="georgia"/>
          <w:b/>
          <w:color w:val="000000"/>
          <w:sz w:val="24"/>
        </w:rPr>
        <w:t xml:space="preserve">3.3 The Scope Boundaries That Do Exist</w:t>
      </w:r>
      <w:bookmarkEnd w:id="11"/>
    </w:p>
    <w:p>
      <w:pPr>
        <w:spacing w:line="360" w:after="210" w:lineRule="auto"/>
      </w:pPr>
      <w:r>
        <w:rPr>
          <w:rFonts w:eastAsia="georgia" w:cs="georgia" w:ascii="georgia" w:hAnsi="georgia"/>
          <w:color w:val="000000"/>
        </w:rPr>
        <w:t xml:space="preserve">While the scope is deliberately broad, three non-negotiable constraints apply:</w:t>
      </w:r>
    </w:p>
    <w:p>
      <w:pPr>
        <w:numPr>
          <w:ilvl w:val="0"/>
          <w:numId w:val="1"/>
        </w:numPr>
        <w:spacing w:line="360" w:after="210" w:lineRule="auto"/>
      </w:pPr>
      <w:r>
        <w:rPr>
          <w:rFonts w:eastAsia="georgia" w:cs="georgia" w:ascii="georgia" w:hAnsi="georgia"/>
          <w:b/>
          <w:color w:val="000000"/>
          <w:sz w:val="21"/>
        </w:rPr>
        <w:t xml:space="preserve">The Study/Cause Boundary.</w:t>
      </w:r>
      <w:r>
        <w:rPr>
          <w:rFonts w:eastAsia="georgia" w:cs="georgia" w:ascii="georgia" w:hAnsi="georgia"/>
          <w:color w:val="000000"/>
          <w:sz w:val="21"/>
        </w:rPr>
        <w:t xml:space="preserve"> The Department studies endings. It does not cause them. The distinction between studying the conditions that produce an ending and engineering those conditions is absolute and categorical. Any activity that would constitute active participation in producing an ending the Department is studying constitutes a charter violation and triggers immediate Architect review.</w:t>
      </w:r>
    </w:p>
    <w:p>
      <w:pPr>
        <w:numPr>
          <w:ilvl w:val="0"/>
          <w:numId w:val="1"/>
        </w:numPr>
        <w:spacing w:line="360" w:after="210" w:lineRule="auto"/>
      </w:pPr>
      <w:r>
        <w:rPr>
          <w:rFonts w:eastAsia="georgia" w:cs="georgia" w:ascii="georgia" w:hAnsi="georgia"/>
          <w:b/>
          <w:color w:val="000000"/>
          <w:sz w:val="21"/>
        </w:rPr>
        <w:t xml:space="preserve">Out-of-Universe Regulatory Constraint.</w:t>
      </w:r>
      <w:r>
        <w:rPr>
          <w:rFonts w:eastAsia="georgia" w:cs="georgia" w:ascii="georgia" w:hAnsi="georgia"/>
          <w:color w:val="000000"/>
          <w:sz w:val="21"/>
        </w:rPr>
        <w:t xml:space="preserve"> In the real-world context, the Department's scope is bounded by the institutional, regulatory, and legal frameworks that govern OAL as an enterprise. What can be studied in-universe without limitation may face real-world constraints on publication, disclosure, funding, and methodology.</w:t>
      </w:r>
    </w:p>
    <w:p>
      <w:pPr>
        <w:numPr>
          <w:ilvl w:val="0"/>
          <w:numId w:val="1"/>
        </w:numPr>
        <w:spacing w:line="360" w:after="210" w:lineRule="auto"/>
      </w:pPr>
      <w:r>
        <w:rPr>
          <w:rFonts w:eastAsia="georgia" w:cs="georgia" w:ascii="georgia" w:hAnsi="georgia"/>
          <w:b/>
          <w:color w:val="000000"/>
          <w:sz w:val="21"/>
        </w:rPr>
        <w:t xml:space="preserve">Authorization Requirement for Action.</w:t>
      </w:r>
      <w:r>
        <w:rPr>
          <w:rFonts w:eastAsia="georgia" w:cs="georgia" w:ascii="georgia" w:hAnsi="georgia"/>
          <w:color w:val="000000"/>
          <w:sz w:val="21"/>
        </w:rPr>
        <w:t xml:space="preserve"> The Department studies, documents, analyzes, and recommends. It does not act unilaterally. Action on its recommendations requires the authorization architecture appropriate to the scale of the recommended action.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section_4_temporal_coverage"/>
      <w:r>
        <w:rPr>
          <w:rFonts w:eastAsia="georgia" w:cs="georgia" w:ascii="georgia" w:hAnsi="georgia"/>
          <w:b/>
          <w:color w:val="000000"/>
          <w:sz w:val="24"/>
        </w:rPr>
        <w:t xml:space="preserve">Section 4 — Temporal Coverage</w:t>
      </w:r>
      <w:bookmarkEnd w:id="12"/>
    </w:p>
    <w:p>
      <w:pPr>
        <w:spacing w:line="360" w:before="315" w:after="105" w:lineRule="auto"/>
        <w:ind w:left="-30"/>
        <w:jc w:val="left"/>
      </w:pPr>
      <w:bookmarkStart w:id="13" w:name="bm_4_1_historical_endings_the_fou_340657"/>
      <w:r>
        <w:rPr>
          <w:rFonts w:eastAsia="georgia" w:cs="georgia" w:ascii="georgia" w:hAnsi="georgia"/>
          <w:b/>
          <w:color w:val="000000"/>
          <w:sz w:val="24"/>
        </w:rPr>
        <w:t xml:space="preserve">4.1 Historical Endings — The Foundation Dataset</w:t>
      </w:r>
      <w:bookmarkEnd w:id="13"/>
    </w:p>
    <w:p>
      <w:pPr>
        <w:spacing w:line="360" w:after="210" w:lineRule="auto"/>
      </w:pPr>
      <w:r>
        <w:rPr>
          <w:rFonts w:eastAsia="georgia" w:cs="georgia" w:ascii="georgia" w:hAnsi="georgia"/>
          <w:color w:val="000000"/>
        </w:rPr>
        <w:t xml:space="preserve">Every ending that has already occurred and been documented — in the Abundance Set, in OAL research records, in external databases and archives — is raw material for pattern analysis. The question the Department asks of historical endings is not merely what happened, but what the ending's structure was: what were its earliest detectable indicators, what was the trajectory from early indicators to terminal state, and what interventions might have altered it.</w:t>
      </w:r>
    </w:p>
    <w:p>
      <w:pPr>
        <w:spacing w:line="360" w:after="210" w:lineRule="auto"/>
      </w:pPr>
      <w:r>
        <w:rPr>
          <w:rFonts w:eastAsia="georgia" w:cs="georgia" w:ascii="georgia" w:hAnsi="georgia"/>
          <w:color w:val="000000"/>
        </w:rPr>
        <w:t xml:space="preserve">Historical civilizational collapse research provides one of the richest existing datasets. Climate change and civilizational collapse research models how resource, pollution, and governance failures compound into terminal trajectories. The Department treats this body of work as a starting point, not a ceiling.[^12]</w:t>
      </w:r>
    </w:p>
    <w:p>
      <w:pPr>
        <w:spacing w:line="360" w:before="315" w:after="105" w:lineRule="auto"/>
        <w:ind w:left="-30"/>
        <w:jc w:val="left"/>
      </w:pPr>
      <w:bookmarkStart w:id="14" w:name="bm_4_2_present_and_near_term_endi_3e6cc4"/>
      <w:r>
        <w:rPr>
          <w:rFonts w:eastAsia="georgia" w:cs="georgia" w:ascii="georgia" w:hAnsi="georgia"/>
          <w:b/>
          <w:color w:val="000000"/>
          <w:sz w:val="24"/>
        </w:rPr>
        <w:t xml:space="preserve">4.2 Present and Near-Term Endings — The Priority Queue</w:t>
      </w:r>
      <w:bookmarkEnd w:id="14"/>
    </w:p>
    <w:p>
      <w:pPr>
        <w:spacing w:line="360" w:after="210" w:lineRule="auto"/>
      </w:pPr>
      <w:r>
        <w:rPr>
          <w:rFonts w:eastAsia="georgia" w:cs="georgia" w:ascii="georgia" w:hAnsi="georgia"/>
          <w:color w:val="000000"/>
        </w:rPr>
        <w:t xml:space="preserve">The Department maintains an active priority queue of endings currently in progress or at elevated probability within the near-term horizon. Near-term is defined operationally as: within a timeframe where intervention remains possible. Once an ending has passed the point of no return, it moves from the priority queue to the historical record.</w:t>
      </w:r>
    </w:p>
    <w:p>
      <w:pPr>
        <w:spacing w:line="360" w:after="210" w:lineRule="auto"/>
      </w:pPr>
      <w:r>
        <w:rPr>
          <w:rFonts w:eastAsia="georgia" w:cs="georgia" w:ascii="georgia" w:hAnsi="georgia"/>
          <w:color w:val="000000"/>
        </w:rPr>
        <w:t xml:space="preserve">The research framework from PNAS (2022) on why postmortems fail is directly relevant here: political pressures and psychological biases — particularly hindsight bias and the assumption that incorrect inferences must have been products of irrationality — systematically undermine the quality of post-ending analysis. The Department's anticipatory function is specifically designed to shift the analysis window from post-ending to pre-ending, where these biases have less opportunity to corrupt findings.[^13]</w:t>
      </w:r>
    </w:p>
    <w:p>
      <w:pPr>
        <w:spacing w:line="360" w:before="315" w:after="105" w:lineRule="auto"/>
        <w:ind w:left="-30"/>
        <w:jc w:val="left"/>
      </w:pPr>
      <w:bookmarkStart w:id="15" w:name="bm_4_3_future_endings_the_modelin_8739ad"/>
      <w:r>
        <w:rPr>
          <w:rFonts w:eastAsia="georgia" w:cs="georgia" w:ascii="georgia" w:hAnsi="georgia"/>
          <w:b/>
          <w:color w:val="000000"/>
          <w:sz w:val="24"/>
        </w:rPr>
        <w:t xml:space="preserve">4.3 Future Endings — The Modeling Function</w:t>
      </w:r>
      <w:bookmarkEnd w:id="15"/>
    </w:p>
    <w:p>
      <w:pPr>
        <w:spacing w:line="360" w:after="210" w:lineRule="auto"/>
      </w:pPr>
      <w:r>
        <w:rPr>
          <w:rFonts w:eastAsia="georgia" w:cs="georgia" w:ascii="georgia" w:hAnsi="georgia"/>
          <w:color w:val="000000"/>
        </w:rPr>
        <w:t xml:space="preserve">Future ending models are not predictions. They are structured probability assessments based on identified pattern matches to historical trajectories. The Department presents these models with explicit confidence intervals and the historical precedents on which they are based.</w:t>
      </w:r>
    </w:p>
    <w:p>
      <w:pPr>
        <w:spacing w:line="360" w:before="315" w:after="105" w:lineRule="auto"/>
        <w:ind w:left="-30"/>
        <w:jc w:val="left"/>
      </w:pPr>
      <w:bookmarkStart w:id="16" w:name="bm_4_4_retroactive_analysis_impac_9aee4a"/>
      <w:r>
        <w:rPr>
          <w:rFonts w:eastAsia="georgia" w:cs="georgia" w:ascii="georgia" w:hAnsi="georgia"/>
          <w:b/>
          <w:color w:val="000000"/>
          <w:sz w:val="24"/>
        </w:rPr>
        <w:t xml:space="preserve">4.4 Retroactive Analysis — Impact on Prior Occurrences</w:t>
      </w:r>
      <w:bookmarkEnd w:id="16"/>
    </w:p>
    <w:p>
      <w:pPr>
        <w:spacing w:line="360" w:after="210" w:lineRule="auto"/>
      </w:pPr>
      <w:r>
        <w:rPr>
          <w:rFonts w:eastAsia="georgia" w:cs="georgia" w:ascii="georgia" w:hAnsi="georgia"/>
          <w:color w:val="000000"/>
        </w:rPr>
        <w:t xml:space="preserve">The Architect's voice note specifically identifies that the Department has impact on prior occurrences. In the in-universe context, where temporal mechanics permit retroactive analysis and in some cases retroactive intervention, the Department's findings about a past ending may have operational consequences for that ending after it appears to have concluded. This function is contingent on the temporal mechanics framework and cannot be fully operationalized until that framework is defined. </w:t>
      </w:r>
      <w:r>
        <w:rPr>
          <w:rFonts w:eastAsia="georgia" w:cs="georgia" w:ascii="georgia" w:hAnsi="georgia"/>
          <w:b/>
          <w:color w:val="000000"/>
        </w:rPr>
        <w:t xml:space="preserve">This is a Tier 1 blocking dependency on the First Memory temporal mechanics voice dump.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section_5_relationship_to_the_abu_aacee5"/>
      <w:r>
        <w:rPr>
          <w:rFonts w:eastAsia="georgia" w:cs="georgia" w:ascii="georgia" w:hAnsi="georgia"/>
          <w:b/>
          <w:color w:val="000000"/>
          <w:sz w:val="24"/>
        </w:rPr>
        <w:t xml:space="preserve">Section 5 — Relationship to the Abundance Set</w:t>
      </w:r>
      <w:bookmarkEnd w:id="17"/>
    </w:p>
    <w:p>
      <w:pPr>
        <w:spacing w:line="360" w:after="210" w:lineRule="auto"/>
      </w:pPr>
      <w:r>
        <w:rPr>
          <w:rFonts w:eastAsia="georgia" w:cs="georgia" w:ascii="georgia" w:hAnsi="georgia"/>
          <w:color w:val="000000"/>
        </w:rPr>
        <w:t xml:space="preserve">The Department operates within the Abundance Set as its primary infrastructure. Without the Abundance Set, the Department would be studying a small, arbitrarily bounded sample of endings. Within it, the dataset is — in principle — comprehensive.</w:t>
      </w:r>
    </w:p>
    <w:p>
      <w:pPr>
        <w:spacing w:line="360" w:after="210" w:lineRule="auto"/>
      </w:pPr>
      <w:r>
        <w:rPr>
          <w:rFonts w:eastAsia="georgia" w:cs="georgia" w:ascii="georgia" w:hAnsi="georgia"/>
          <w:color w:val="000000"/>
        </w:rPr>
        <w:t xml:space="preserve">The Department does not merely consume Abundance Set data. It contributes to it. Every ending studied, every pattern identified, every finding produced, and every recommendation made is fed back into the Abundance Set. This creates the recursive loop that is central to the Department's design: the Abundance Set makes comprehensive endings analysis possible; the Department's analysis makes the Abundance Set more useful for future analysis. Neither functions at full potential without the other.</w:t>
      </w:r>
    </w:p>
    <w:p>
      <w:pPr>
        <w:spacing w:line="360" w:after="210" w:lineRule="auto"/>
        <w:ind w:left="630"/>
      </w:pPr>
      <w:r>
        <w:rPr>
          <w:rFonts w:eastAsia="georgia" w:cs="georgia" w:ascii="georgia" w:hAnsi="georgia"/>
          <w:b/>
          <w:color w:val="000000"/>
        </w:rPr>
        <w:t xml:space="preserve">Critical Note:</w:t>
      </w:r>
      <w:r>
        <w:rPr>
          <w:rFonts w:eastAsia="georgia" w:cs="georgia" w:ascii="georgia" w:hAnsi="georgia"/>
          <w:color w:val="000000"/>
        </w:rPr>
        <w:t xml:space="preserve"> The standalone Abundance Set document has been published on Scribd by the Architect. The full AI team has not yet confirmed receipt. Multiple sections of this charter rest on assumptions about the Abundance Set's scope and capabilities. If that document contains scope constraints or failure conditions that differ from current team assumptions, those constraints supersede the assumptions in this charter. </w:t>
      </w:r>
      <w:r>
        <w:rPr>
          <w:rFonts w:eastAsia="georgia" w:cs="georgia" w:ascii="georgia" w:hAnsi="georgia"/>
          <w:b/>
          <w:color w:val="000000"/>
        </w:rPr>
        <w:t xml:space="preserve">Nathan: please confirm or share the Scribd document link with the full team.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section_6_in_universe_vs_out_of_u_f72a08"/>
      <w:r>
        <w:rPr>
          <w:rFonts w:eastAsia="georgia" w:cs="georgia" w:ascii="georgia" w:hAnsi="georgia"/>
          <w:b/>
          <w:color w:val="000000"/>
          <w:sz w:val="24"/>
        </w:rPr>
        <w:t xml:space="preserve">Section 6 — In-Universe vs. Out-of-Universe Context</w:t>
      </w:r>
      <w:bookmarkEnd w:id="18"/>
    </w:p>
    <w:p>
      <w:pPr>
        <w:spacing w:line="360" w:before="315" w:after="105" w:lineRule="auto"/>
        <w:ind w:left="-30"/>
        <w:jc w:val="left"/>
      </w:pPr>
      <w:bookmarkStart w:id="19" w:name="bm_6_1_the_fundamental_distinction"/>
      <w:r>
        <w:rPr>
          <w:rFonts w:eastAsia="georgia" w:cs="georgia" w:ascii="georgia" w:hAnsi="georgia"/>
          <w:b/>
          <w:color w:val="000000"/>
          <w:sz w:val="24"/>
        </w:rPr>
        <w:t xml:space="preserve">6.1 The Fundamental Distinction</w:t>
      </w:r>
      <w:bookmarkEnd w:id="19"/>
    </w:p>
    <w:p>
      <w:pPr>
        <w:spacing w:line="360" w:after="210" w:lineRule="auto"/>
      </w:pPr>
      <w:r>
        <w:rPr>
          <w:rFonts w:eastAsia="georgia" w:cs="georgia" w:ascii="georgia" w:hAnsi="georgia"/>
          <w:color w:val="000000"/>
        </w:rPr>
        <w:t xml:space="preserve">The Department operates simultaneously in two contexts with different constraints, capabilities, and stakeholders. This duality is a feature, not an inconsistency. It is the source of one of the most productive forms of narrative and operational tension in the OAL universe.</w:t>
      </w:r>
    </w:p>
    <w:p>
      <w:pPr>
        <w:spacing w:line="360" w:before="315" w:after="105" w:lineRule="auto"/>
        <w:ind w:left="-30"/>
        <w:jc w:val="left"/>
      </w:pPr>
      <w:bookmarkStart w:id="20" w:name="bm_6_2_in_universe"/>
      <w:r>
        <w:rPr>
          <w:rFonts w:eastAsia="georgia" w:cs="georgia" w:ascii="georgia" w:hAnsi="georgia"/>
          <w:b/>
          <w:color w:val="000000"/>
          <w:sz w:val="24"/>
        </w:rPr>
        <w:t xml:space="preserve">6.2 In-Universe</w:t>
      </w:r>
      <w:bookmarkEnd w:id="20"/>
    </w:p>
    <w:p>
      <w:pPr>
        <w:spacing w:line="360" w:after="210" w:lineRule="auto"/>
      </w:pPr>
      <w:r>
        <w:rPr>
          <w:rFonts w:eastAsia="georgia" w:cs="georgia" w:ascii="georgia" w:hAnsi="georgia"/>
          <w:color w:val="000000"/>
        </w:rPr>
        <w:t xml:space="preserve">Within the OAL narrative universe, the Department operates with the full support of the Abundance Set, the Paragon Cubes, and the post-scarcity research infrastructure. Scope is unlimited. The 4,712 survival record, the Park Scene aftermath, the Time Wars endgames, cosmological events — all fall within scope without constraint. Authority questions are answered by the Architect and OAL's organizational structure.</w:t>
      </w:r>
    </w:p>
    <w:p>
      <w:pPr>
        <w:spacing w:line="360" w:before="315" w:after="105" w:lineRule="auto"/>
        <w:ind w:left="-30"/>
        <w:jc w:val="left"/>
      </w:pPr>
      <w:bookmarkStart w:id="21" w:name="bm_6_3_out_of_universe"/>
      <w:r>
        <w:rPr>
          <w:rFonts w:eastAsia="georgia" w:cs="georgia" w:ascii="georgia" w:hAnsi="georgia"/>
          <w:b/>
          <w:color w:val="000000"/>
          <w:sz w:val="24"/>
        </w:rPr>
        <w:t xml:space="preserve">6.3 Out-of-Universe</w:t>
      </w:r>
      <w:bookmarkEnd w:id="21"/>
    </w:p>
    <w:p>
      <w:pPr>
        <w:spacing w:line="360" w:after="210" w:lineRule="auto"/>
      </w:pPr>
      <w:r>
        <w:rPr>
          <w:rFonts w:eastAsia="georgia" w:cs="georgia" w:ascii="georgia" w:hAnsi="georgia"/>
          <w:color w:val="000000"/>
        </w:rPr>
        <w:t xml:space="preserve">Outside the narrative — in the real-world context — the Department faces a different environment. IRBs, funding agencies, legal frameworks, publication standards, and institutional relationships constrain what can be studied, how, by whom, and what can be done with findings. Google Gemini identified this tension as the Department's most productive narrative element: possessing infinite knowledge in-universe, yet being crippled by baseline human office politics out-of-universe. This creates genuine stakes within the OAL story even when the physiology itself is effectively invulnerable.</w:t>
      </w:r>
    </w:p>
    <w:p>
      <w:pPr>
        <w:spacing w:line="360" w:before="315" w:after="105" w:lineRule="auto"/>
        <w:ind w:left="-30"/>
        <w:jc w:val="left"/>
      </w:pPr>
      <w:bookmarkStart w:id="22" w:name="bm_6_4_the_navigation_requirement"/>
      <w:r>
        <w:rPr>
          <w:rFonts w:eastAsia="georgia" w:cs="georgia" w:ascii="georgia" w:hAnsi="georgia"/>
          <w:b/>
          <w:color w:val="000000"/>
          <w:sz w:val="24"/>
        </w:rPr>
        <w:t xml:space="preserve">6.4 The Navigation Requirement</w:t>
      </w:r>
      <w:bookmarkEnd w:id="22"/>
    </w:p>
    <w:p>
      <w:pPr>
        <w:spacing w:line="360" w:after="210" w:lineRule="auto"/>
      </w:pPr>
      <w:r>
        <w:rPr>
          <w:rFonts w:eastAsia="georgia" w:cs="georgia" w:ascii="georgia" w:hAnsi="georgia"/>
          <w:color w:val="000000"/>
        </w:rPr>
        <w:t xml:space="preserve">The Department must operate coherently in both contexts simultaneously. The Architect is the decision authority when the two contexts require different responses to the same question.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section_7_organizational_structure"/>
      <w:r>
        <w:rPr>
          <w:rFonts w:eastAsia="georgia" w:cs="georgia" w:ascii="georgia" w:hAnsi="georgia"/>
          <w:b/>
          <w:color w:val="000000"/>
          <w:sz w:val="24"/>
        </w:rPr>
        <w:t xml:space="preserve">Section 7 — Organizational Structure</w:t>
      </w:r>
      <w:bookmarkEnd w:id="23"/>
    </w:p>
    <w:p>
      <w:pPr>
        <w:spacing w:line="360" w:before="315" w:after="105" w:lineRule="auto"/>
        <w:ind w:left="-30"/>
        <w:jc w:val="left"/>
      </w:pPr>
      <w:bookmarkStart w:id="24" w:name="bm_7_1_founding_design_principle"/>
      <w:r>
        <w:rPr>
          <w:rFonts w:eastAsia="georgia" w:cs="georgia" w:ascii="georgia" w:hAnsi="georgia"/>
          <w:b/>
          <w:color w:val="000000"/>
          <w:sz w:val="24"/>
        </w:rPr>
        <w:t xml:space="preserve">7.1 Founding Design Principle</w:t>
      </w:r>
      <w:bookmarkEnd w:id="24"/>
    </w:p>
    <w:p>
      <w:pPr>
        <w:spacing w:line="360" w:after="210" w:lineRule="auto"/>
      </w:pPr>
      <w:r>
        <w:rPr>
          <w:rFonts w:eastAsia="georgia" w:cs="georgia" w:ascii="georgia" w:hAnsi="georgia"/>
          <w:color w:val="000000"/>
        </w:rPr>
        <w:t xml:space="preserve">The Department was conceived around a specific character: a technician who runs through every endgame through the Abundance Set, systematically, one at a time. This founding image — one person, one mandate, running every endgame — establishes the Department's operational ethos. Whatever its eventual scale, the Department retains this quality: methodical, systematic, exhaustive.</w:t>
      </w:r>
    </w:p>
    <w:p>
      <w:pPr>
        <w:spacing w:line="360" w:before="315" w:after="105" w:lineRule="auto"/>
        <w:ind w:left="-30"/>
        <w:jc w:val="left"/>
      </w:pPr>
      <w:bookmarkStart w:id="25" w:name="bm_7_2_proposed_structure"/>
      <w:r>
        <w:rPr>
          <w:rFonts w:eastAsia="georgia" w:cs="georgia" w:ascii="georgia" w:hAnsi="georgia"/>
          <w:b/>
          <w:color w:val="000000"/>
          <w:sz w:val="24"/>
        </w:rPr>
        <w:t xml:space="preserve">7.2 Proposed Structure</w:t>
      </w:r>
      <w:bookmarkEnd w:id="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Responsibilities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Director of Endings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Leads the Department. Reports to the Architect. Responsible for recursive improvement output to the Abundance Set. </w:t>
            </w:r>
            <w:r>
              <w:rPr>
                <w:rFonts w:eastAsia="georgia" w:cs="georgia" w:ascii="georgia" w:hAnsi="georgia"/>
                <w:b/>
                <w:color w:val="000000"/>
                <w:sz w:val="17"/>
              </w:rPr>
              <w:t xml:space="preserve">This role is unfilled. Architect designation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Temporal Endings Division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Time Wars endgames, timeline terminations, paradox outcomes, retroactive impact analysis. Requires temporal mechanics framework — pending.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Civilizational Endings Division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Endings of civilizations, governments, treaties, alliances, large-scale social structures. Liaison with Accords, Puritans/Greys record, QIFTF.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Biological and Physiological Endings Division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Biological death, extinction, physiological failure. Liaison with OMNICELLULAR failure modeling and 4,712 record.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Systems and Infrastructure Endings Division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Endings of technological, computational, and physical systems. Liaison with QIFTF, MVES, Paragon Cubes.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Research Program Endings Division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TFFP-governed framework failures. Receives TFFP failure reports, conducts cross-program pattern analysis.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Narrative and Conceptual Endings Division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Story conclusions, character deaths, arc terminations, the structure of endings in fiction and mythology.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The Technician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Founding role concept. Runs every endgame through the Abundance Set without exception, without prioritization, without skipping scenarios. The institutional memory of the Department's original design intent.</w:t>
            </w:r>
          </w:p>
        </w:tc>
      </w:tr>
    </w:tbl>
    <w:p>
      <w:pPr>
        <w:spacing w:lineRule="auto"/>
      </w:pPr>
    </w:p>
    <w:p>
      <w:pPr>
        <w:spacing w:line="360" w:before="315" w:after="105" w:lineRule="auto"/>
        <w:ind w:left="-30"/>
        <w:jc w:val="left"/>
      </w:pPr>
      <w:bookmarkStart w:id="26" w:name="bm_7_3_staffing_philosophy"/>
      <w:r>
        <w:rPr>
          <w:rFonts w:eastAsia="georgia" w:cs="georgia" w:ascii="georgia" w:hAnsi="georgia"/>
          <w:b/>
          <w:color w:val="000000"/>
          <w:sz w:val="24"/>
        </w:rPr>
        <w:t xml:space="preserve">7.3 Staffing Philosophy</w:t>
      </w:r>
      <w:bookmarkEnd w:id="26"/>
    </w:p>
    <w:p>
      <w:pPr>
        <w:spacing w:line="360" w:after="210" w:lineRule="auto"/>
      </w:pPr>
      <w:r>
        <w:rPr>
          <w:rFonts w:eastAsia="georgia" w:cs="georgia" w:ascii="georgia" w:hAnsi="georgia"/>
          <w:color w:val="000000"/>
        </w:rPr>
        <w:t xml:space="preserve">The Department studies endings that are uncomfortable, unwelcome, and in many cases actively resisted by the institutions they affect. Staff must produce findings that will not be agreed with, welcomed, or acted upon immediately — and must continue producing them. Institutional courage is a founding value, not an optional attribute. As Google Gemini identified, the psychological toll of systematic exposure to endings at scale is real and requires active institutional response: mandatory rotation, wellbeing review, and explicit recognition of the emotional labor involved.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section_8_funding_proposal_and_ju_a44bb8"/>
      <w:r>
        <w:rPr>
          <w:rFonts w:eastAsia="georgia" w:cs="georgia" w:ascii="georgia" w:hAnsi="georgia"/>
          <w:b/>
          <w:color w:val="000000"/>
          <w:sz w:val="24"/>
        </w:rPr>
        <w:t xml:space="preserve">Section 8 — Funding Proposal and Justification</w:t>
      </w:r>
      <w:bookmarkEnd w:id="27"/>
    </w:p>
    <w:p>
      <w:pPr>
        <w:spacing w:line="360" w:before="315" w:after="105" w:lineRule="auto"/>
        <w:ind w:left="-30"/>
        <w:jc w:val="left"/>
      </w:pPr>
      <w:bookmarkStart w:id="28" w:name="bm_8_1_internal_oal_funding"/>
      <w:r>
        <w:rPr>
          <w:rFonts w:eastAsia="georgia" w:cs="georgia" w:ascii="georgia" w:hAnsi="georgia"/>
          <w:b/>
          <w:color w:val="000000"/>
          <w:sz w:val="24"/>
        </w:rPr>
        <w:t xml:space="preserve">8.1 Internal OAL Funding</w:t>
      </w:r>
      <w:bookmarkEnd w:id="28"/>
    </w:p>
    <w:p>
      <w:pPr>
        <w:spacing w:line="360" w:after="210" w:lineRule="auto"/>
      </w:pPr>
      <w:r>
        <w:rPr>
          <w:rFonts w:eastAsia="georgia" w:cs="georgia" w:ascii="georgia" w:hAnsi="georgia"/>
          <w:color w:val="000000"/>
        </w:rPr>
        <w:t xml:space="preserve">The Department is a core infrastructure investment, not a discretionary research program. Its value is measured in the aggregate reduction of avoidable failures across all OAL programs over time. The ROI case is straightforward: the cost of a single unmanaged research program failure — in lost data, lost time, reputational damage, and restart costs — exceeds the Department's annual operating budget at any reasonable scale. The Department is not a cost center. It is an insurance policy with active benefits, and one whose premiums decrease with use.</w:t>
      </w:r>
    </w:p>
    <w:p>
      <w:pPr>
        <w:spacing w:line="360" w:before="315" w:after="105" w:lineRule="auto"/>
        <w:ind w:left="-30"/>
        <w:jc w:val="left"/>
      </w:pPr>
      <w:bookmarkStart w:id="29" w:name="bm_8_2_external_funding_pathways"/>
      <w:r>
        <w:rPr>
          <w:rFonts w:eastAsia="georgia" w:cs="georgia" w:ascii="georgia" w:hAnsi="georgia"/>
          <w:b/>
          <w:color w:val="000000"/>
          <w:sz w:val="24"/>
        </w:rPr>
        <w:t xml:space="preserve">8.2 External Funding Pathways</w:t>
      </w:r>
      <w:bookmarkEnd w:id="29"/>
    </w:p>
    <w:p>
      <w:pPr>
        <w:spacing w:line="360" w:after="210" w:lineRule="auto"/>
      </w:pPr>
      <w:r>
        <w:rPr>
          <w:rFonts w:eastAsia="georgia" w:cs="georgia" w:ascii="georgia" w:hAnsi="georgia"/>
          <w:color w:val="000000"/>
        </w:rPr>
        <w:t xml:space="preserve">The Department's work on real-world applicable endings generates external funding potential across several independently validated channels: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Funding Source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Applicable Research Area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Estimated Range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NIH National Institute on Aging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Biological and end-of-life endings research[^1]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$1M–$5M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DARPA Biological Technologies Office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Biological and systems endings with defense applications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$2M–$8M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NSF Social, Behavioral and Economic Sciences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Civilizational endings and societal collapse modeling[^9]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$500K–$2M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Department of Energy (Office of Legacy Management)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Infrastructure and systems endings; long-term stewardship[</w:t>
            </w:r>
            <w:r>
              <w:rPr>
                <w:rFonts w:eastAsia="georgia" w:cs="georgia" w:ascii="georgia" w:hAnsi="georgia"/>
                <w:color w:val="000000"/>
                <w:sz w:val="17"/>
                <w:vertAlign w:val="superscript"/>
              </w:rPr>
              <w:t xml:space="preserve">14][</w:t>
            </w:r>
            <w:r>
              <w:rPr>
                <w:rFonts w:eastAsia="helvetica neue" w:cs="helvetica neue" w:ascii="helvetica neue" w:hAnsi="helvetica neue"/>
                <w:color w:val="000000"/>
                <w:sz w:val="17"/>
              </w:rPr>
              <w:t xml:space="preserve">15]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$2M–$6M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Private foundations (Gates Foundation, Wellcome Trust)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Global health endings, pandemic response, civilizational risk[^5]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$1M–$5M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Insurance and reinsurance industry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Actuarial endings modeling, tail risk analysis[^11]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$500K–$2M per engagement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DARPA / DHS / NIST (via QIFTF integration)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Civilization floor and quantum infrastructure endings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$5M–$15M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Academic research partnerships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Publishable contributions to risk analysis, systems theory, futures studies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Variable</w:t>
            </w:r>
          </w:p>
        </w:tc>
      </w:tr>
    </w:tbl>
    <w:p>
      <w:pPr>
        <w:spacing w:lineRule="auto"/>
      </w:pPr>
    </w:p>
    <w:p>
      <w:pPr>
        <w:spacing w:line="360" w:after="210" w:lineRule="auto"/>
      </w:pPr>
      <w:r>
        <w:rPr>
          <w:rFonts w:eastAsia="georgia" w:cs="georgia" w:ascii="georgia" w:hAnsi="georgia"/>
          <w:color w:val="000000"/>
        </w:rPr>
        <w:t xml:space="preserve">The DOE Office of Legacy Management provides the most directly analogous real-world precedent: established in 2003 to manage post-closure responsibilities and long-term stewardship at over 100 nuclear sites across 29 states, it demonstrates that permanent institutional commitment to studying the aftermath of endings — rather than abandoning them — is not only fundable but congressionally mandated.[</w:t>
      </w:r>
      <w:r>
        <w:rPr>
          <w:rFonts w:eastAsia="georgia" w:cs="georgia" w:ascii="georgia" w:hAnsi="georgia"/>
          <w:color w:val="000000"/>
          <w:vertAlign w:val="superscript"/>
        </w:rPr>
        <w:t xml:space="preserve">14][</w:t>
      </w:r>
      <w:r>
        <w:rPr>
          <w:rFonts w:eastAsia="georgia" w:cs="georgia" w:ascii="georgia" w:hAnsi="georgia"/>
          <w:color w:val="000000"/>
        </w:rPr>
        <w:t xml:space="preserve">16]</w:t>
      </w:r>
    </w:p>
    <w:p>
      <w:pPr>
        <w:spacing w:line="360" w:before="315" w:after="105" w:lineRule="auto"/>
        <w:ind w:left="-30"/>
        <w:jc w:val="left"/>
      </w:pPr>
      <w:bookmarkStart w:id="30" w:name="bm_8_3_phased_budget"/>
      <w:r>
        <w:rPr>
          <w:rFonts w:eastAsia="georgia" w:cs="georgia" w:ascii="georgia" w:hAnsi="georgia"/>
          <w:b/>
          <w:color w:val="000000"/>
          <w:sz w:val="24"/>
        </w:rPr>
        <w:t xml:space="preserve">8.3 Phased Budget</w:t>
      </w:r>
      <w:bookmarkEnd w:id="3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Timeline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Budget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Source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Establishment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2026–2027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$2M–$4M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Internal (Lewis Corp / One Industries)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External Research Launch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2027–2029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$5M–$10M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NSF, NIH, DOE grants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 Program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2029–2035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$15M–$30M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QIFTF integration + Abundance Set endowment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Permanent Operation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2035+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Permanent line item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OAL budget; self-sustaining via Abundance Set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section_9_real_world_research_ana_bfd034"/>
      <w:r>
        <w:rPr>
          <w:rFonts w:eastAsia="georgia" w:cs="georgia" w:ascii="georgia" w:hAnsi="georgia"/>
          <w:b/>
          <w:color w:val="000000"/>
          <w:sz w:val="24"/>
        </w:rPr>
        <w:t xml:space="preserve">Section 9 — Real-World Research Analogs and Applications</w:t>
      </w:r>
      <w:bookmarkEnd w:id="31"/>
    </w:p>
    <w:p>
      <w:pPr>
        <w:spacing w:line="360" w:before="315" w:after="105" w:lineRule="auto"/>
        <w:ind w:left="-30"/>
        <w:jc w:val="left"/>
      </w:pPr>
      <w:bookmarkStart w:id="32" w:name="bm_9_1_institutions_that_partiall_f2a56b"/>
      <w:r>
        <w:rPr>
          <w:rFonts w:eastAsia="georgia" w:cs="georgia" w:ascii="georgia" w:hAnsi="georgia"/>
          <w:b/>
          <w:color w:val="000000"/>
          <w:sz w:val="24"/>
        </w:rPr>
        <w:t xml:space="preserve">9.1 Institutions That Partially Resemble the Department</w:t>
      </w:r>
      <w:bookmarkEnd w:id="32"/>
    </w:p>
    <w:p>
      <w:pPr>
        <w:spacing w:line="360" w:after="210" w:lineRule="auto"/>
      </w:pPr>
      <w:r>
        <w:rPr>
          <w:rFonts w:eastAsia="georgia" w:cs="georgia" w:ascii="georgia" w:hAnsi="georgia"/>
          <w:color w:val="000000"/>
        </w:rPr>
        <w:t xml:space="preserve">No institution in the real world carries the Department of Endings' explicit mandate to study endings as a unified cross-domain category. Several occupy adjacent territory: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Institution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Partial Parallel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Santa Fe Institute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Complex systems, collapse, phase transitions across biological, social, physical systems[</w:t>
            </w:r>
            <w:r>
              <w:rPr>
                <w:rFonts w:eastAsia="georgia" w:cs="georgia" w:ascii="georgia" w:hAnsi="georgia"/>
                <w:color w:val="000000"/>
                <w:sz w:val="17"/>
                <w:vertAlign w:val="superscript"/>
              </w:rPr>
              <w:t xml:space="preserve">2][</w:t>
            </w:r>
            <w:r>
              <w:rPr>
                <w:rFonts w:eastAsia="helvetica neue" w:cs="helvetica neue" w:ascii="helvetica neue" w:hAnsi="helvetica neue"/>
                <w:color w:val="000000"/>
                <w:sz w:val="17"/>
              </w:rPr>
              <w:t xml:space="preserve">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Does not study endings as a unified category; domain-separated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CSER Cambridge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Extinction-level and civilization-ending risks, multidisciplinary[</w:t>
            </w:r>
            <w:r>
              <w:rPr>
                <w:rFonts w:eastAsia="georgia" w:cs="georgia" w:ascii="georgia" w:hAnsi="georgia"/>
                <w:color w:val="000000"/>
                <w:sz w:val="17"/>
                <w:vertAlign w:val="superscript"/>
              </w:rPr>
              <w:t xml:space="preserve">5][</w:t>
            </w:r>
            <w:r>
              <w:rPr>
                <w:rFonts w:eastAsia="helvetica neue" w:cs="helvetica neue" w:ascii="helvetica neue" w:hAnsi="helvetica neue"/>
                <w:color w:val="000000"/>
                <w:sz w:val="17"/>
              </w:rPr>
              <w:t xml:space="preserve">17]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Limited to extinction-level and existential scale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Future of Humanity Institute (Oxford)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Anthropogenic existential risk, AI ending scenarios[^3]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Limited to anthropogenic and near-future scope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RAND Corporation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Civilizational and strategic risk, endgame scenarios for geopolitical conflicts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Limited to human-scale geopolitical context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 Long Now Foundation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Long-term futures, what allows civilizations to persist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Persistence-focused, not endings-focused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Hospital Ethics Committees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Ethical frameworks for individual biological endings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Micro-scale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NASA Lessons Learned Information System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Institutional capture of failure data[^6]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Documentation without enforcement of recursive application[</w:t>
            </w:r>
            <w:r>
              <w:rPr>
                <w:rFonts w:eastAsia="georgia" w:cs="georgia" w:ascii="georgia" w:hAnsi="georgia"/>
                <w:color w:val="000000"/>
                <w:sz w:val="17"/>
                <w:vertAlign w:val="superscript"/>
              </w:rPr>
              <w:t xml:space="preserve">7][</w:t>
            </w:r>
            <w:r>
              <w:rPr>
                <w:rFonts w:eastAsia="helvetica neue" w:cs="helvetica neue" w:ascii="helvetica neue" w:hAnsi="helvetica neue"/>
                <w:color w:val="000000"/>
                <w:sz w:val="17"/>
              </w:rPr>
              <w:t xml:space="preserve">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Actuarial Science (broadly)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Systematic probabilistic study of endings (death, loss, system failure)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Financial domain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DOE Office of Legacy Management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Post-closure stewardship of ended industrial programs[^14]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Reactive, not anticipatory</w:t>
            </w:r>
          </w:p>
        </w:tc>
      </w:tr>
    </w:tbl>
    <w:p>
      <w:pPr>
        <w:spacing w:lineRule="auto"/>
      </w:pPr>
    </w:p>
    <w:p>
      <w:pPr>
        <w:spacing w:line="360" w:before="315" w:after="105" w:lineRule="auto"/>
        <w:ind w:left="-30"/>
        <w:jc w:val="left"/>
      </w:pPr>
      <w:bookmarkStart w:id="33" w:name="bm_9_2_research_the_department_co_d2f208"/>
      <w:r>
        <w:rPr>
          <w:rFonts w:eastAsia="georgia" w:cs="georgia" w:ascii="georgia" w:hAnsi="georgia"/>
          <w:b/>
          <w:color w:val="000000"/>
          <w:sz w:val="24"/>
        </w:rPr>
        <w:t xml:space="preserve">9.2 Research the Department Could Conduct With Real-World Application</w:t>
      </w:r>
      <w:bookmarkEnd w:id="33"/>
    </w:p>
    <w:p>
      <w:pPr>
        <w:numPr>
          <w:ilvl w:val="0"/>
          <w:numId w:val="2"/>
        </w:numPr>
        <w:spacing w:line="360" w:before="105" w:after="105" w:lineRule="auto"/>
      </w:pPr>
      <w:r>
        <w:rPr>
          <w:rFonts w:eastAsia="georgia" w:cs="georgia" w:ascii="georgia" w:hAnsi="georgia"/>
          <w:b/>
          <w:color w:val="000000"/>
          <w:sz w:val="21"/>
        </w:rPr>
        <w:t xml:space="preserve">Collapse pattern analysis:</w:t>
      </w:r>
      <w:r>
        <w:rPr>
          <w:rFonts w:eastAsia="georgia" w:cs="georgia" w:ascii="georgia" w:hAnsi="georgia"/>
          <w:color w:val="000000"/>
          <w:sz w:val="21"/>
        </w:rPr>
        <w:t xml:space="preserve"> What are the structural signatures of civilizational collapse across historical cases? What are the earliest detectable indicators? Direct application to fragile state early warning systems.[</w:t>
      </w:r>
      <w:r>
        <w:rPr>
          <w:rFonts w:eastAsia="georgia" w:cs="georgia" w:ascii="georgia" w:hAnsi="georgia"/>
          <w:color w:val="000000"/>
          <w:sz w:val="21"/>
          <w:vertAlign w:val="superscript"/>
        </w:rPr>
        <w:t xml:space="preserve">12][</w:t>
      </w:r>
      <w:r>
        <w:rPr>
          <w:rFonts w:eastAsia="georgia" w:cs="georgia" w:ascii="georgia" w:hAnsi="georgia"/>
          <w:color w:val="000000"/>
          <w:sz w:val="21"/>
        </w:rPr>
        <w:t xml:space="preserve">11]</w:t>
      </w:r>
    </w:p>
    <w:p>
      <w:pPr>
        <w:numPr>
          <w:ilvl w:val="0"/>
          <w:numId w:val="2"/>
        </w:numPr>
        <w:spacing w:line="360" w:before="105" w:after="105" w:lineRule="auto"/>
      </w:pPr>
      <w:r>
        <w:rPr>
          <w:rFonts w:eastAsia="georgia" w:cs="georgia" w:ascii="georgia" w:hAnsi="georgia"/>
          <w:b/>
          <w:color w:val="000000"/>
          <w:sz w:val="21"/>
        </w:rPr>
        <w:t xml:space="preserve">Research program failure taxonomy:</w:t>
      </w:r>
      <w:r>
        <w:rPr>
          <w:rFonts w:eastAsia="georgia" w:cs="georgia" w:ascii="georgia" w:hAnsi="georgia"/>
          <w:color w:val="000000"/>
          <w:sz w:val="21"/>
        </w:rPr>
        <w:t xml:space="preserve"> Why do research programs fail? A systematic study building on TFFP, applicable across the global research enterprise.</w:t>
      </w:r>
    </w:p>
    <w:p>
      <w:pPr>
        <w:numPr>
          <w:ilvl w:val="0"/>
          <w:numId w:val="2"/>
        </w:numPr>
        <w:spacing w:line="360" w:before="105" w:after="105" w:lineRule="auto"/>
      </w:pPr>
      <w:r>
        <w:rPr>
          <w:rFonts w:eastAsia="georgia" w:cs="georgia" w:ascii="georgia" w:hAnsi="georgia"/>
          <w:b/>
          <w:color w:val="000000"/>
          <w:sz w:val="21"/>
        </w:rPr>
        <w:t xml:space="preserve">Extinction trajectory modeling:</w:t>
      </w:r>
      <w:r>
        <w:rPr>
          <w:rFonts w:eastAsia="georgia" w:cs="georgia" w:ascii="georgia" w:hAnsi="georgia"/>
          <w:color w:val="000000"/>
          <w:sz w:val="21"/>
        </w:rPr>
        <w:t xml:space="preserve"> Applying the Department's methodology to endangered species and at-risk ecosystems — modeling the trajectory from early decline indicators to extinction, identifying intervention windows.</w:t>
      </w:r>
    </w:p>
    <w:p>
      <w:pPr>
        <w:numPr>
          <w:ilvl w:val="0"/>
          <w:numId w:val="2"/>
        </w:numPr>
        <w:spacing w:line="360" w:before="105" w:after="105" w:lineRule="auto"/>
      </w:pPr>
      <w:r>
        <w:rPr>
          <w:rFonts w:eastAsia="georgia" w:cs="georgia" w:ascii="georgia" w:hAnsi="georgia"/>
          <w:b/>
          <w:color w:val="000000"/>
          <w:sz w:val="21"/>
        </w:rPr>
        <w:t xml:space="preserve">Technology obsolescence mapping:</w:t>
      </w:r>
      <w:r>
        <w:rPr>
          <w:rFonts w:eastAsia="georgia" w:cs="georgia" w:ascii="georgia" w:hAnsi="georgia"/>
          <w:color w:val="000000"/>
          <w:sz w:val="21"/>
        </w:rPr>
        <w:t xml:space="preserve"> How technological paradigms end, what is lost in transition, and what the pattern suggests for technology policy and infrastructure planning.</w:t>
      </w:r>
    </w:p>
    <w:p>
      <w:pPr>
        <w:numPr>
          <w:ilvl w:val="0"/>
          <w:numId w:val="2"/>
        </w:numPr>
        <w:spacing w:line="360" w:before="105" w:after="105" w:lineRule="auto"/>
      </w:pPr>
      <w:r>
        <w:rPr>
          <w:rFonts w:eastAsia="georgia" w:cs="georgia" w:ascii="georgia" w:hAnsi="georgia"/>
          <w:b/>
          <w:color w:val="000000"/>
          <w:sz w:val="21"/>
        </w:rPr>
        <w:t xml:space="preserve">Organizational ending analysis:</w:t>
      </w:r>
      <w:r>
        <w:rPr>
          <w:rFonts w:eastAsia="georgia" w:cs="georgia" w:ascii="georgia" w:hAnsi="georgia"/>
          <w:color w:val="000000"/>
          <w:sz w:val="21"/>
        </w:rPr>
        <w:t xml:space="preserve"> Why do organizations die? What structural features are associated with longevity vs. early termination? Direct commercial application in management consulting.[^18]</w:t>
      </w:r>
    </w:p>
    <w:p>
      <w:pPr>
        <w:numPr>
          <w:ilvl w:val="0"/>
          <w:numId w:val="2"/>
        </w:numPr>
        <w:spacing w:line="360" w:before="105" w:after="105" w:lineRule="auto"/>
      </w:pPr>
      <w:r>
        <w:rPr>
          <w:rFonts w:eastAsia="georgia" w:cs="georgia" w:ascii="georgia" w:hAnsi="georgia"/>
          <w:b/>
          <w:color w:val="000000"/>
          <w:sz w:val="21"/>
        </w:rPr>
        <w:t xml:space="preserve">Pandemic endpoint modeling:</w:t>
      </w:r>
      <w:r>
        <w:rPr>
          <w:rFonts w:eastAsia="georgia" w:cs="georgia" w:ascii="georgia" w:hAnsi="georgia"/>
          <w:color w:val="000000"/>
          <w:sz w:val="21"/>
        </w:rPr>
        <w:t xml:space="preserve"> How previous pandemics ended, what the terminal conditions were, what the pattern suggests about current and future pandemic threats.</w:t>
      </w:r>
    </w:p>
    <w:p>
      <w:pPr>
        <w:numPr>
          <w:ilvl w:val="0"/>
          <w:numId w:val="2"/>
        </w:numPr>
        <w:spacing w:line="360" w:before="105" w:after="105" w:lineRule="auto"/>
      </w:pPr>
      <w:r>
        <w:rPr>
          <w:rFonts w:eastAsia="georgia" w:cs="georgia" w:ascii="georgia" w:hAnsi="georgia"/>
          <w:b/>
          <w:color w:val="000000"/>
          <w:sz w:val="21"/>
        </w:rPr>
        <w:t xml:space="preserve">Treaty and governance framework endings:</w:t>
      </w:r>
      <w:r>
        <w:rPr>
          <w:rFonts w:eastAsia="georgia" w:cs="georgia" w:ascii="georgia" w:hAnsi="georgia"/>
          <w:color w:val="000000"/>
          <w:sz w:val="21"/>
        </w:rPr>
        <w:t xml:space="preserve"> Why do international agreements collapse? What structural features are associated with longevity? Direct application to Accords design.</w:t>
      </w:r>
    </w:p>
    <w:p>
      <w:pPr>
        <w:numPr>
          <w:ilvl w:val="0"/>
          <w:numId w:val="2"/>
        </w:numPr>
        <w:spacing w:line="360" w:before="105" w:after="105" w:lineRule="auto"/>
      </w:pPr>
      <w:r>
        <w:rPr>
          <w:rFonts w:eastAsia="georgia" w:cs="georgia" w:ascii="georgia" w:hAnsi="georgia"/>
          <w:b/>
          <w:color w:val="000000"/>
          <w:sz w:val="21"/>
        </w:rPr>
        <w:t xml:space="preserve">Post-mortem failure analysis:</w:t>
      </w:r>
      <w:r>
        <w:rPr>
          <w:rFonts w:eastAsia="georgia" w:cs="georgia" w:ascii="georgia" w:hAnsi="georgia"/>
          <w:color w:val="000000"/>
          <w:sz w:val="21"/>
        </w:rPr>
        <w:t xml:space="preserve"> Building on the PNAS research finding that most postmortems fail due to political pressure and cognitive bias, developing a Department methodology that explicitly neutralizes these failure modes.[^13]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section_10_what_works_supporting_b37935"/>
      <w:r>
        <w:rPr>
          <w:rFonts w:eastAsia="georgia" w:cs="georgia" w:ascii="georgia" w:hAnsi="georgia"/>
          <w:b/>
          <w:color w:val="000000"/>
          <w:sz w:val="24"/>
        </w:rPr>
        <w:t xml:space="preserve">Section 10 — What Works: Supporting the Department's Existence</w:t>
      </w:r>
      <w:bookmarkEnd w:id="34"/>
    </w:p>
    <w:p>
      <w:pPr>
        <w:spacing w:line="360" w:after="210" w:lineRule="auto"/>
      </w:pPr>
      <w:r>
        <w:rPr>
          <w:rFonts w:eastAsia="georgia" w:cs="georgia" w:ascii="georgia" w:hAnsi="georgia"/>
          <w:color w:val="000000"/>
        </w:rPr>
        <w:t xml:space="preserve">The full team reached consensus on the following strengths:</w:t>
      </w:r>
    </w:p>
    <w:p>
      <w:pPr>
        <w:numPr>
          <w:ilvl w:val="0"/>
          <w:numId w:val="3"/>
        </w:numPr>
        <w:spacing w:line="360" w:before="105" w:after="105" w:lineRule="auto"/>
      </w:pPr>
      <w:r>
        <w:rPr>
          <w:rFonts w:eastAsia="georgia" w:cs="georgia" w:ascii="georgia" w:hAnsi="georgia"/>
          <w:b/>
          <w:color w:val="000000"/>
          <w:sz w:val="21"/>
        </w:rPr>
        <w:t xml:space="preserve">The core design insight is correct.</w:t>
      </w:r>
      <w:r>
        <w:rPr>
          <w:rFonts w:eastAsia="georgia" w:cs="georgia" w:ascii="georgia" w:hAnsi="georgia"/>
          <w:color w:val="000000"/>
          <w:sz w:val="21"/>
        </w:rPr>
        <w:t xml:space="preserve"> Endings as a unified category have structure, pattern, and transferable lessons. The cross-disciplinary research on complex systems collapse supports this.[</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4]</w:t>
      </w:r>
    </w:p>
    <w:p>
      <w:pPr>
        <w:numPr>
          <w:ilvl w:val="0"/>
          <w:numId w:val="3"/>
        </w:numPr>
        <w:spacing w:line="360" w:before="105" w:after="105" w:lineRule="auto"/>
      </w:pPr>
      <w:r>
        <w:rPr>
          <w:rFonts w:eastAsia="georgia" w:cs="georgia" w:ascii="georgia" w:hAnsi="georgia"/>
          <w:b/>
          <w:color w:val="000000"/>
          <w:sz w:val="21"/>
        </w:rPr>
        <w:t xml:space="preserve">The recursive loop with the Abundance Set is the right architecture.</w:t>
      </w:r>
      <w:r>
        <w:rPr>
          <w:rFonts w:eastAsia="georgia" w:cs="georgia" w:ascii="georgia" w:hAnsi="georgia"/>
          <w:color w:val="000000"/>
          <w:sz w:val="21"/>
        </w:rPr>
        <w:t xml:space="preserve"> The Abundance Set makes comprehensive study possible; the Department makes the data actionable. Neither reaches its potential without the other.</w:t>
      </w:r>
    </w:p>
    <w:p>
      <w:pPr>
        <w:numPr>
          <w:ilvl w:val="0"/>
          <w:numId w:val="3"/>
        </w:numPr>
        <w:spacing w:line="360" w:before="105" w:after="105" w:lineRule="auto"/>
      </w:pPr>
      <w:r>
        <w:rPr>
          <w:rFonts w:eastAsia="georgia" w:cs="georgia" w:ascii="georgia" w:hAnsi="georgia"/>
          <w:b/>
          <w:color w:val="000000"/>
          <w:sz w:val="21"/>
        </w:rPr>
        <w:t xml:space="preserve">Permanent funding is the right governance model.</w:t>
      </w:r>
      <w:r>
        <w:rPr>
          <w:rFonts w:eastAsia="georgia" w:cs="georgia" w:ascii="georgia" w:hAnsi="georgia"/>
          <w:color w:val="000000"/>
          <w:sz w:val="21"/>
        </w:rPr>
        <w:t xml:space="preserve"> A department studying endings that faces budget cuts is a living contradiction. Permanent funding removes this vulnerability.</w:t>
      </w:r>
    </w:p>
    <w:p>
      <w:pPr>
        <w:numPr>
          <w:ilvl w:val="0"/>
          <w:numId w:val="3"/>
        </w:numPr>
        <w:spacing w:line="360" w:before="105" w:after="105" w:lineRule="auto"/>
      </w:pPr>
      <w:r>
        <w:rPr>
          <w:rFonts w:eastAsia="georgia" w:cs="georgia" w:ascii="georgia" w:hAnsi="georgia"/>
          <w:b/>
          <w:color w:val="000000"/>
          <w:sz w:val="21"/>
        </w:rPr>
        <w:t xml:space="preserve">The founding technician image establishes the right operational culture.</w:t>
      </w:r>
      <w:r>
        <w:rPr>
          <w:rFonts w:eastAsia="georgia" w:cs="georgia" w:ascii="georgia" w:hAnsi="georgia"/>
          <w:color w:val="000000"/>
          <w:sz w:val="21"/>
        </w:rPr>
        <w:t xml:space="preserve"> One person, running every endgame methodically, prevents the Department from becoming an abstract think tank.</w:t>
      </w:r>
    </w:p>
    <w:p>
      <w:pPr>
        <w:numPr>
          <w:ilvl w:val="0"/>
          <w:numId w:val="3"/>
        </w:numPr>
        <w:spacing w:line="360" w:before="105" w:after="105" w:lineRule="auto"/>
      </w:pPr>
      <w:r>
        <w:rPr>
          <w:rFonts w:eastAsia="georgia" w:cs="georgia" w:ascii="georgia" w:hAnsi="georgia"/>
          <w:b/>
          <w:color w:val="000000"/>
          <w:sz w:val="21"/>
        </w:rPr>
        <w:t xml:space="preserve">The temporal scope (past, present, near-term, future, retroactive) is correct.</w:t>
      </w:r>
      <w:r>
        <w:rPr>
          <w:rFonts w:eastAsia="georgia" w:cs="georgia" w:ascii="georgia" w:hAnsi="georgia"/>
          <w:color w:val="000000"/>
          <w:sz w:val="21"/>
        </w:rPr>
        <w:t xml:space="preserve"> A department limited to historical endings is an archive. The anticipatory function is where value is concentrated.</w:t>
      </w:r>
    </w:p>
    <w:p>
      <w:pPr>
        <w:numPr>
          <w:ilvl w:val="0"/>
          <w:numId w:val="3"/>
        </w:numPr>
        <w:spacing w:line="360" w:before="105" w:after="105" w:lineRule="auto"/>
      </w:pPr>
      <w:r>
        <w:rPr>
          <w:rFonts w:eastAsia="georgia" w:cs="georgia" w:ascii="georgia" w:hAnsi="georgia"/>
          <w:b/>
          <w:color w:val="000000"/>
          <w:sz w:val="21"/>
        </w:rPr>
        <w:t xml:space="preserve">The Narrative and Conceptual Endings Division is a critical inclusion.</w:t>
      </w:r>
      <w:r>
        <w:rPr>
          <w:rFonts w:eastAsia="georgia" w:cs="georgia" w:ascii="georgia" w:hAnsi="georgia"/>
          <w:color w:val="000000"/>
          <w:sz w:val="21"/>
        </w:rPr>
        <w:t xml:space="preserve"> Narrative endings carry analytical information about ending structures that purely data-driven approaches miss. This division prevents a loss of pattern recognition at the level of meaning.</w:t>
      </w:r>
    </w:p>
    <w:p>
      <w:pPr>
        <w:numPr>
          <w:ilvl w:val="0"/>
          <w:numId w:val="3"/>
        </w:numPr>
        <w:spacing w:line="360" w:before="105" w:after="105" w:lineRule="auto"/>
      </w:pPr>
      <w:r>
        <w:rPr>
          <w:rFonts w:eastAsia="georgia" w:cs="georgia" w:ascii="georgia" w:hAnsi="georgia"/>
          <w:b/>
          <w:color w:val="000000"/>
          <w:sz w:val="21"/>
        </w:rPr>
        <w:t xml:space="preserve">The multi-divisional structure is appropriate.</w:t>
      </w:r>
      <w:r>
        <w:rPr>
          <w:rFonts w:eastAsia="georgia" w:cs="georgia" w:ascii="georgia" w:hAnsi="georgia"/>
          <w:color w:val="000000"/>
          <w:sz w:val="21"/>
        </w:rPr>
        <w:t xml:space="preserve"> Domain expertise within divisions; cross-domain pattern recognition at the Director and Technician level.</w:t>
      </w:r>
    </w:p>
    <w:p>
      <w:pPr>
        <w:numPr>
          <w:ilvl w:val="0"/>
          <w:numId w:val="3"/>
        </w:numPr>
        <w:spacing w:line="360" w:before="105" w:after="105" w:lineRule="auto"/>
      </w:pPr>
      <w:r>
        <w:rPr>
          <w:rFonts w:eastAsia="georgia" w:cs="georgia" w:ascii="georgia" w:hAnsi="georgia"/>
          <w:b/>
          <w:color w:val="000000"/>
          <w:sz w:val="21"/>
        </w:rPr>
        <w:t xml:space="preserve">The mission statement paradox is a design asset.</w:t>
      </w:r>
      <w:r>
        <w:rPr>
          <w:rFonts w:eastAsia="georgia" w:cs="georgia" w:ascii="georgia" w:hAnsi="georgia"/>
          <w:color w:val="000000"/>
          <w:sz w:val="21"/>
        </w:rPr>
        <w:t xml:space="preserve"> The department's charter self-reinforces its permanence through the logical structure of its own mission. This is architecturally elegant.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section_11_what_does_not_work_and_41d21b"/>
      <w:r>
        <w:rPr>
          <w:rFonts w:eastAsia="georgia" w:cs="georgia" w:ascii="georgia" w:hAnsi="georgia"/>
          <w:b/>
          <w:color w:val="000000"/>
          <w:sz w:val="24"/>
        </w:rPr>
        <w:t xml:space="preserve">Section 11 — What Does Not Work and Needs Development</w:t>
      </w:r>
      <w:bookmarkEnd w:id="35"/>
    </w:p>
    <w:p>
      <w:pPr>
        <w:spacing w:line="360" w:after="210" w:lineRule="auto"/>
      </w:pPr>
      <w:r>
        <w:rPr>
          <w:rFonts w:eastAsia="georgia" w:cs="georgia" w:ascii="georgia" w:hAnsi="georgia"/>
          <w:color w:val="000000"/>
        </w:rPr>
        <w:t xml:space="preserve">The full team identified the following gaps, all of which must be addressed before operational launch:</w:t>
      </w:r>
    </w:p>
    <w:p>
      <w:pPr>
        <w:spacing w:line="360" w:before="315" w:after="105" w:lineRule="auto"/>
        <w:ind w:left="-30"/>
        <w:jc w:val="left"/>
      </w:pPr>
      <w:bookmarkStart w:id="36" w:name="bm_11_1_director_role_unfilled_cr_f54917"/>
      <w:r>
        <w:rPr>
          <w:rFonts w:eastAsia="georgia" w:cs="georgia" w:ascii="georgia" w:hAnsi="georgia"/>
          <w:b/>
          <w:color w:val="000000"/>
          <w:sz w:val="24"/>
        </w:rPr>
        <w:t xml:space="preserve">11.1 Director Role Unfilled — Critical Gap</w:t>
      </w:r>
      <w:bookmarkEnd w:id="36"/>
    </w:p>
    <w:p>
      <w:pPr>
        <w:spacing w:line="360" w:after="210" w:lineRule="auto"/>
      </w:pPr>
      <w:r>
        <w:rPr>
          <w:rFonts w:eastAsia="georgia" w:cs="georgia" w:ascii="georgia" w:hAnsi="georgia"/>
          <w:color w:val="000000"/>
        </w:rPr>
        <w:t xml:space="preserve">The Department has no Director. A department without leadership is not a department — it is a concept. </w:t>
      </w:r>
      <w:r>
        <w:rPr>
          <w:rFonts w:eastAsia="georgia" w:cs="georgia" w:ascii="georgia" w:hAnsi="georgia"/>
          <w:b/>
          <w:color w:val="000000"/>
        </w:rPr>
        <w:t xml:space="preserve">This is the single most critical operational gap.</w:t>
      </w:r>
      <w:r>
        <w:rPr>
          <w:rFonts w:eastAsia="georgia" w:cs="georgia" w:ascii="georgia" w:hAnsi="georgia"/>
          <w:color w:val="000000"/>
        </w:rPr>
        <w:t xml:space="preserve"> Director designation is an Architect-level decision that must be made before any other operational step can proceed.</w:t>
      </w:r>
    </w:p>
    <w:p>
      <w:pPr>
        <w:spacing w:line="360" w:before="315" w:after="105" w:lineRule="auto"/>
        <w:ind w:left="-30"/>
        <w:jc w:val="left"/>
      </w:pPr>
      <w:bookmarkStart w:id="37" w:name="bm_11_2_the_authority_question_re_b270f1"/>
      <w:r>
        <w:rPr>
          <w:rFonts w:eastAsia="georgia" w:cs="georgia" w:ascii="georgia" w:hAnsi="georgia"/>
          <w:b/>
          <w:color w:val="000000"/>
          <w:sz w:val="24"/>
        </w:rPr>
        <w:t xml:space="preserve">11.2 The Authority Question Requires Mapping</w:t>
      </w:r>
      <w:bookmarkEnd w:id="37"/>
    </w:p>
    <w:p>
      <w:pPr>
        <w:spacing w:line="360" w:after="210" w:lineRule="auto"/>
      </w:pPr>
      <w:r>
        <w:rPr>
          <w:rFonts w:eastAsia="georgia" w:cs="georgia" w:ascii="georgia" w:hAnsi="georgia"/>
          <w:color w:val="000000"/>
        </w:rPr>
        <w:t xml:space="preserve">Who authorized a department with effectively unlimited scope over endings? The in-universe answer is OAL and the Architect. The out-of-universe question — what bureaucratic and institutional authorizations are required for each type of study in real-world contexts — remains unmapped. A legal and regulatory mapping is required before the Department publishes or acts on findings that may attract external scrutiny.</w:t>
      </w:r>
    </w:p>
    <w:p>
      <w:pPr>
        <w:spacing w:line="360" w:before="315" w:after="105" w:lineRule="auto"/>
        <w:ind w:left="-30"/>
        <w:jc w:val="left"/>
      </w:pPr>
      <w:bookmarkStart w:id="38" w:name="bm_11_3_no_protocol_for_acting_on_f6d65e"/>
      <w:r>
        <w:rPr>
          <w:rFonts w:eastAsia="georgia" w:cs="georgia" w:ascii="georgia" w:hAnsi="georgia"/>
          <w:b/>
          <w:color w:val="000000"/>
          <w:sz w:val="24"/>
        </w:rPr>
        <w:t xml:space="preserve">11.3 No Protocol for Acting on Findings</w:t>
      </w:r>
      <w:bookmarkEnd w:id="38"/>
    </w:p>
    <w:p>
      <w:pPr>
        <w:spacing w:line="360" w:after="210" w:lineRule="auto"/>
      </w:pPr>
      <w:r>
        <w:rPr>
          <w:rFonts w:eastAsia="georgia" w:cs="georgia" w:ascii="georgia" w:hAnsi="georgia"/>
          <w:color w:val="000000"/>
        </w:rPr>
        <w:t xml:space="preserve">The Department studies, documents, and recommends. It does not act. But there is no defined pathway for what happens when the Department produces a finding that requires urgent response. Who receives it? Who decides whether to act? What is the escalation timeline? Without a defined action protocol, findings that require urgent response will encounter institutional delay at the most critical moment.</w:t>
      </w:r>
    </w:p>
    <w:p>
      <w:pPr>
        <w:spacing w:line="360" w:before="315" w:after="105" w:lineRule="auto"/>
        <w:ind w:left="-30"/>
        <w:jc w:val="left"/>
      </w:pPr>
      <w:bookmarkStart w:id="39" w:name="bm_11_4_workload_management_witho_ff7250"/>
      <w:r>
        <w:rPr>
          <w:rFonts w:eastAsia="georgia" w:cs="georgia" w:ascii="georgia" w:hAnsi="georgia"/>
          <w:b/>
          <w:color w:val="000000"/>
          <w:sz w:val="24"/>
        </w:rPr>
        <w:t xml:space="preserve">11.4 Workload Management Without Prioritization Framework</w:t>
      </w:r>
      <w:bookmarkEnd w:id="39"/>
    </w:p>
    <w:p>
      <w:pPr>
        <w:spacing w:line="360" w:after="210" w:lineRule="auto"/>
      </w:pPr>
      <w:r>
        <w:rPr>
          <w:rFonts w:eastAsia="georgia" w:cs="georgia" w:ascii="georgia" w:hAnsi="georgia"/>
          <w:color w:val="000000"/>
        </w:rPr>
        <w:t xml:space="preserve">The Department's scope is everything that constitutes an ending. At Abundance Set scale, this is an effectively infinite dataset. The Department needs a formal prioritization system for its active work queue — otherwise the most important endings receive the same attention as the least important.</w:t>
      </w:r>
    </w:p>
    <w:p>
      <w:pPr>
        <w:spacing w:line="360" w:before="315" w:after="105" w:lineRule="auto"/>
        <w:ind w:left="-30"/>
        <w:jc w:val="left"/>
      </w:pPr>
      <w:bookmarkStart w:id="40" w:name="bm_11_5_retroactive_function_pend_cf6e2d"/>
      <w:r>
        <w:rPr>
          <w:rFonts w:eastAsia="georgia" w:cs="georgia" w:ascii="georgia" w:hAnsi="georgia"/>
          <w:b/>
          <w:color w:val="000000"/>
          <w:sz w:val="24"/>
        </w:rPr>
        <w:t xml:space="preserve">11.5 Retroactive Function Pending Temporal Mechanics Framework</w:t>
      </w:r>
      <w:bookmarkEnd w:id="40"/>
    </w:p>
    <w:p>
      <w:pPr>
        <w:spacing w:line="360" w:after="210" w:lineRule="auto"/>
      </w:pPr>
      <w:r>
        <w:rPr>
          <w:rFonts w:eastAsia="georgia" w:cs="georgia" w:ascii="georgia" w:hAnsi="georgia"/>
          <w:color w:val="000000"/>
        </w:rPr>
        <w:t xml:space="preserve">The Department's ability to have impact on prior occurrences depends on temporal mechanics that have not yet been defined in OAL canon. Until the temporal mechanics framework is established — single vs. branching timelines, costs and constraints of temporal intervention — the retroactive function is chartered but inoperative. </w:t>
      </w:r>
      <w:r>
        <w:rPr>
          <w:rFonts w:eastAsia="georgia" w:cs="georgia" w:ascii="georgia" w:hAnsi="georgia"/>
          <w:b/>
          <w:color w:val="000000"/>
        </w:rPr>
        <w:t xml:space="preserve">Blocking dependency: First Memory temporal mechanics voice dump, outstanding.</w:t>
      </w:r>
    </w:p>
    <w:p>
      <w:pPr>
        <w:spacing w:line="360" w:before="315" w:after="105" w:lineRule="auto"/>
        <w:ind w:left="-30"/>
        <w:jc w:val="left"/>
      </w:pPr>
      <w:bookmarkStart w:id="41" w:name="bm_11_6_abundance_set_document_un_532a82"/>
      <w:r>
        <w:rPr>
          <w:rFonts w:eastAsia="georgia" w:cs="georgia" w:ascii="georgia" w:hAnsi="georgia"/>
          <w:b/>
          <w:color w:val="000000"/>
          <w:sz w:val="24"/>
        </w:rPr>
        <w:t xml:space="preserve">11.6 Abundance Set Document Unconfirmed by Full Team</w:t>
      </w:r>
      <w:bookmarkEnd w:id="41"/>
    </w:p>
    <w:p>
      <w:pPr>
        <w:spacing w:line="360" w:after="210" w:lineRule="auto"/>
      </w:pPr>
      <w:r>
        <w:rPr>
          <w:rFonts w:eastAsia="georgia" w:cs="georgia" w:ascii="georgia" w:hAnsi="georgia"/>
          <w:color w:val="000000"/>
        </w:rPr>
        <w:t xml:space="preserve">Multiple sections of this charter rest on assumptions about the Abundance Set's scope and capabilities. The standalone Abundance Set document on Scribd has not been confirmed received by the full AI team. If that document contains scope limitations or failure conditions, those supersede the assumptions in this charter.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section_12_ethics_and_morality_framework"/>
      <w:r>
        <w:rPr>
          <w:rFonts w:eastAsia="georgia" w:cs="georgia" w:ascii="georgia" w:hAnsi="georgia"/>
          <w:b/>
          <w:color w:val="000000"/>
          <w:sz w:val="24"/>
        </w:rPr>
        <w:t xml:space="preserve">Section 12 — Ethics and Morality Framework</w:t>
      </w:r>
      <w:bookmarkEnd w:id="42"/>
    </w:p>
    <w:p>
      <w:pPr>
        <w:spacing w:line="360" w:before="315" w:after="105" w:lineRule="auto"/>
        <w:ind w:left="-30"/>
        <w:jc w:val="left"/>
      </w:pPr>
      <w:bookmarkStart w:id="43" w:name="bm_12_1_the_central_ethical_tension"/>
      <w:r>
        <w:rPr>
          <w:rFonts w:eastAsia="georgia" w:cs="georgia" w:ascii="georgia" w:hAnsi="georgia"/>
          <w:b/>
          <w:color w:val="000000"/>
          <w:sz w:val="24"/>
        </w:rPr>
        <w:t xml:space="preserve">12.1 The Central Ethical Tension</w:t>
      </w:r>
      <w:bookmarkEnd w:id="43"/>
    </w:p>
    <w:p>
      <w:pPr>
        <w:spacing w:line="360" w:after="210" w:lineRule="auto"/>
      </w:pPr>
      <w:r>
        <w:rPr>
          <w:rFonts w:eastAsia="georgia" w:cs="georgia" w:ascii="georgia" w:hAnsi="georgia"/>
          <w:color w:val="000000"/>
        </w:rPr>
        <w:t xml:space="preserve">A department that studies endings possesses knowledge that can be used to cause them. This is the central ethical tension the Department's existence introduces, and every team member flagged it. Knowledge of the early indicators of civilizational collapse can support preventive intervention — or it can support accelerated collapse for those who benefit from that outcome. Knowledge of biological ending trajectories can support life extension research — or support more effective harm. The ethics framework governs how the study/cause boundary is maintained.</w:t>
      </w:r>
    </w:p>
    <w:p>
      <w:pPr>
        <w:spacing w:line="360" w:before="315" w:after="105" w:lineRule="auto"/>
        <w:ind w:left="-30"/>
        <w:jc w:val="left"/>
      </w:pPr>
      <w:bookmarkStart w:id="44" w:name="bm_12_2_the_study_cause_distincti_a7e556"/>
      <w:r>
        <w:rPr>
          <w:rFonts w:eastAsia="georgia" w:cs="georgia" w:ascii="georgia" w:hAnsi="georgia"/>
          <w:b/>
          <w:color w:val="000000"/>
          <w:sz w:val="24"/>
        </w:rPr>
        <w:t xml:space="preserve">12.2 The Study/Cause Distinction — Non-Negotiable</w:t>
      </w:r>
      <w:bookmarkEnd w:id="44"/>
    </w:p>
    <w:p>
      <w:pPr>
        <w:spacing w:line="360" w:after="210" w:lineRule="auto"/>
      </w:pPr>
      <w:r>
        <w:rPr>
          <w:rFonts w:eastAsia="georgia" w:cs="georgia" w:ascii="georgia" w:hAnsi="georgia"/>
          <w:color w:val="000000"/>
        </w:rPr>
        <w:t xml:space="preserve">The absolute boundary established in the Scope section bears restatement as an ethical principle: </w:t>
      </w:r>
      <w:r>
        <w:rPr>
          <w:rFonts w:eastAsia="georgia" w:cs="georgia" w:ascii="georgia" w:hAnsi="georgia"/>
          <w:b/>
          <w:color w:val="000000"/>
        </w:rPr>
        <w:t xml:space="preserve">the Department studies endings. It does not cause them.</w:t>
      </w:r>
      <w:r>
        <w:rPr>
          <w:rFonts w:eastAsia="georgia" w:cs="georgia" w:ascii="georgia" w:hAnsi="georgia"/>
          <w:color w:val="000000"/>
        </w:rPr>
        <w:t xml:space="preserve"> Any researcher, division, or program that crosses this boundary has violated the Department's charter and must be reported to the Architect immediately. This boundary is not a matter of degree. It is categorical.</w:t>
      </w:r>
    </w:p>
    <w:p>
      <w:pPr>
        <w:spacing w:line="360" w:before="315" w:after="105" w:lineRule="auto"/>
        <w:ind w:left="-30"/>
        <w:jc w:val="left"/>
      </w:pPr>
      <w:bookmarkStart w:id="45" w:name="bm_12_3_the_obligation_to_report_499a4d"/>
      <w:r>
        <w:rPr>
          <w:rFonts w:eastAsia="georgia" w:cs="georgia" w:ascii="georgia" w:hAnsi="georgia"/>
          <w:b/>
          <w:color w:val="000000"/>
          <w:sz w:val="24"/>
        </w:rPr>
        <w:t xml:space="preserve">12.3 The Obligation to Report Urgently</w:t>
      </w:r>
      <w:bookmarkEnd w:id="45"/>
    </w:p>
    <w:p>
      <w:pPr>
        <w:spacing w:line="360" w:after="210" w:lineRule="auto"/>
      </w:pPr>
      <w:r>
        <w:rPr>
          <w:rFonts w:eastAsia="georgia" w:cs="georgia" w:ascii="georgia" w:hAnsi="georgia"/>
          <w:color w:val="000000"/>
        </w:rPr>
        <w:t xml:space="preserve">When the Department's anticipatory analysis identifies an ending that is imminent and where intervention might be possible, the Department has an ethical obligation to report that finding through the appropriate channel with sufficient urgency for the information to be actionable. A Department that identifies an approaching catastrophic ending and delays its report because the finding is uncomfortable, politically sensitive, or likely to be dismissed is failing its core ethical obligation.</w:t>
      </w:r>
    </w:p>
    <w:p>
      <w:pPr>
        <w:spacing w:line="360" w:before="315" w:after="105" w:lineRule="auto"/>
        <w:ind w:left="-30"/>
        <w:jc w:val="left"/>
      </w:pPr>
      <w:bookmarkStart w:id="46" w:name="bm_12_4_dual_use_research_governance"/>
      <w:r>
        <w:rPr>
          <w:rFonts w:eastAsia="georgia" w:cs="georgia" w:ascii="georgia" w:hAnsi="georgia"/>
          <w:b/>
          <w:color w:val="000000"/>
          <w:sz w:val="24"/>
        </w:rPr>
        <w:t xml:space="preserve">12.4 Dual-Use Research Governance</w:t>
      </w:r>
      <w:bookmarkEnd w:id="46"/>
    </w:p>
    <w:p>
      <w:pPr>
        <w:spacing w:line="360" w:after="210" w:lineRule="auto"/>
      </w:pPr>
      <w:r>
        <w:rPr>
          <w:rFonts w:eastAsia="georgia" w:cs="georgia" w:ascii="georgia" w:hAnsi="georgia"/>
          <w:color w:val="000000"/>
        </w:rPr>
        <w:t xml:space="preserve">The Department's findings are inherently dual-use. Analysis of how things end contains information that can support both prevention and causation. This dual-use potential is governed by a tiered access framework:</w:t>
      </w:r>
    </w:p>
    <w:p>
      <w:pPr>
        <w:numPr>
          <w:ilvl w:val="0"/>
          <w:numId w:val="4"/>
        </w:numPr>
        <w:spacing w:line="360" w:before="105" w:after="105" w:lineRule="auto"/>
      </w:pPr>
      <w:r>
        <w:rPr>
          <w:rFonts w:eastAsia="georgia" w:cs="georgia" w:ascii="georgia" w:hAnsi="georgia"/>
          <w:b/>
          <w:color w:val="000000"/>
          <w:sz w:val="21"/>
        </w:rPr>
        <w:t xml:space="preserve">Open tier:</w:t>
      </w:r>
      <w:r>
        <w:rPr>
          <w:rFonts w:eastAsia="georgia" w:cs="georgia" w:ascii="georgia" w:hAnsi="georgia"/>
          <w:color w:val="000000"/>
          <w:sz w:val="21"/>
        </w:rPr>
        <w:t xml:space="preserve"> General findings with no harmful application. Published freely.</w:t>
      </w:r>
    </w:p>
    <w:p>
      <w:pPr>
        <w:numPr>
          <w:ilvl w:val="0"/>
          <w:numId w:val="4"/>
        </w:numPr>
        <w:spacing w:line="360" w:before="105" w:after="105" w:lineRule="auto"/>
      </w:pPr>
      <w:r>
        <w:rPr>
          <w:rFonts w:eastAsia="georgia" w:cs="georgia" w:ascii="georgia" w:hAnsi="georgia"/>
          <w:b/>
          <w:color w:val="000000"/>
          <w:sz w:val="21"/>
        </w:rPr>
        <w:t xml:space="preserve">Controlled tier:</w:t>
      </w:r>
      <w:r>
        <w:rPr>
          <w:rFonts w:eastAsia="georgia" w:cs="georgia" w:ascii="georgia" w:hAnsi="georgia"/>
          <w:color w:val="000000"/>
          <w:sz w:val="21"/>
        </w:rPr>
        <w:t xml:space="preserve"> Sensitive findings about how particular systems fail. Access governed by institutional authorization.</w:t>
      </w:r>
    </w:p>
    <w:p>
      <w:pPr>
        <w:numPr>
          <w:ilvl w:val="0"/>
          <w:numId w:val="4"/>
        </w:numPr>
        <w:spacing w:line="360" w:before="105" w:after="105" w:lineRule="auto"/>
      </w:pPr>
      <w:r>
        <w:rPr>
          <w:rFonts w:eastAsia="georgia" w:cs="georgia" w:ascii="georgia" w:hAnsi="georgia"/>
          <w:b/>
          <w:color w:val="000000"/>
          <w:sz w:val="21"/>
        </w:rPr>
        <w:t xml:space="preserve">Classified tier:</w:t>
      </w:r>
      <w:r>
        <w:rPr>
          <w:rFonts w:eastAsia="georgia" w:cs="georgia" w:ascii="georgia" w:hAnsi="georgia"/>
          <w:color w:val="000000"/>
          <w:sz w:val="21"/>
        </w:rPr>
        <w:t xml:space="preserve"> Analysis involving information subject to Species-Level Informational Access Protocol (SLIAP) classifications.</w:t>
      </w:r>
    </w:p>
    <w:p>
      <w:pPr>
        <w:spacing w:line="360" w:before="315" w:after="105" w:lineRule="auto"/>
        <w:ind w:left="-30"/>
        <w:jc w:val="left"/>
      </w:pPr>
      <w:bookmarkStart w:id="47" w:name="bm_12_5_the_ethics_of_welcomed_endings"/>
      <w:r>
        <w:rPr>
          <w:rFonts w:eastAsia="georgia" w:cs="georgia" w:ascii="georgia" w:hAnsi="georgia"/>
          <w:b/>
          <w:color w:val="000000"/>
          <w:sz w:val="24"/>
        </w:rPr>
        <w:t xml:space="preserve">12.5 The Ethics of Welcomed Endings</w:t>
      </w:r>
      <w:bookmarkEnd w:id="47"/>
    </w:p>
    <w:p>
      <w:pPr>
        <w:spacing w:line="360" w:after="210" w:lineRule="auto"/>
      </w:pPr>
      <w:r>
        <w:rPr>
          <w:rFonts w:eastAsia="georgia" w:cs="georgia" w:ascii="georgia" w:hAnsi="georgia"/>
          <w:color w:val="000000"/>
        </w:rPr>
        <w:t xml:space="preserve">Not all endings are unwelcome. The ending of a pandemic, a war, an abusive relationship, a failed institution — these are endings that are actively sought. The Department studies these endings too. The ethical framework for welcomed endings focuses on whether the analysis of how they end produces knowledge that could be weaponized against similar systems in the future. The answer is yes, and that dual-use potential is governed by the same tiered access framework.</w:t>
      </w:r>
    </w:p>
    <w:p>
      <w:pPr>
        <w:spacing w:line="360" w:before="315" w:after="105" w:lineRule="auto"/>
        <w:ind w:left="-30"/>
        <w:jc w:val="left"/>
      </w:pPr>
      <w:bookmarkStart w:id="48" w:name="bm_12_6_staff_wellbeing"/>
      <w:r>
        <w:rPr>
          <w:rFonts w:eastAsia="georgia" w:cs="georgia" w:ascii="georgia" w:hAnsi="georgia"/>
          <w:b/>
          <w:color w:val="000000"/>
          <w:sz w:val="24"/>
        </w:rPr>
        <w:t xml:space="preserve">12.6 Staff Wellbeing</w:t>
      </w:r>
      <w:bookmarkEnd w:id="48"/>
    </w:p>
    <w:p>
      <w:pPr>
        <w:spacing w:line="360" w:after="210" w:lineRule="auto"/>
      </w:pPr>
      <w:r>
        <w:rPr>
          <w:rFonts w:eastAsia="georgia" w:cs="georgia" w:ascii="georgia" w:hAnsi="georgia"/>
          <w:color w:val="000000"/>
        </w:rPr>
        <w:t xml:space="preserve">The systematic study of endings, failures, deaths, collapses, and catastrophes creates specific occupational wellbeing risks. Regular exposure to endings at scale — from individual deaths to civilizational collapses — is psychologically demanding in ways that must be acknowledged and addressed institutionally. The Department's structure must include regular wellbeing review, rotation opportunities, and explicit recognition that the emotional labor of this work is significant. This is not peripheral to the Department's function — it is a prerequisite for the institutional courage required to produce honest findings.</w:t>
      </w:r>
    </w:p>
    <w:p>
      <w:pPr>
        <w:spacing w:line="360" w:before="315" w:after="105" w:lineRule="auto"/>
        <w:ind w:left="-30"/>
        <w:jc w:val="left"/>
      </w:pPr>
      <w:bookmarkStart w:id="49" w:name="bm_12_7_the_determinism_problem"/>
      <w:r>
        <w:rPr>
          <w:rFonts w:eastAsia="georgia" w:cs="georgia" w:ascii="georgia" w:hAnsi="georgia"/>
          <w:b/>
          <w:color w:val="000000"/>
          <w:sz w:val="24"/>
        </w:rPr>
        <w:t xml:space="preserve">12.7 The Determinism Problem</w:t>
      </w:r>
      <w:bookmarkEnd w:id="49"/>
    </w:p>
    <w:p>
      <w:pPr>
        <w:spacing w:line="360" w:after="210" w:lineRule="auto"/>
      </w:pPr>
      <w:r>
        <w:rPr>
          <w:rFonts w:eastAsia="georgia" w:cs="georgia" w:ascii="georgia" w:hAnsi="georgia"/>
          <w:color w:val="000000"/>
        </w:rPr>
        <w:t xml:space="preserve">Google Gemini and ChatGPT both raised the determinism trap: if outcomes are known, does choice matter? Does a Department that maps endings create fatalism? The Department's mandatory inclusion of intervention analysis in every trajectory study is the response to this challenge. The Department does not only model where something is going — it models what interventions might alter that trajectory. The Department's work is not fatalistic. It is anticipatory. Knowing an ending is possible is not the same as accepting it as inevitable.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section_13_red_team_analysis"/>
      <w:r>
        <w:rPr>
          <w:rFonts w:eastAsia="georgia" w:cs="georgia" w:ascii="georgia" w:hAnsi="georgia"/>
          <w:b/>
          <w:color w:val="000000"/>
          <w:sz w:val="24"/>
        </w:rPr>
        <w:t xml:space="preserve">Section 13 — Red Team Analysis</w:t>
      </w:r>
      <w:bookmarkEnd w:id="50"/>
    </w:p>
    <w:p>
      <w:pPr>
        <w:spacing w:line="360" w:after="210" w:lineRule="auto"/>
      </w:pPr>
      <w:r>
        <w:rPr>
          <w:rFonts w:eastAsia="georgia" w:cs="georgia" w:ascii="georgia" w:hAnsi="georgia"/>
          <w:color w:val="000000"/>
        </w:rPr>
        <w:t xml:space="preserve">The following challenges were identified across all team contributions. They are recorded in full rather than minimized, because a Department that studies endings should be capable of honestly examining the threats to its own viability.</w:t>
      </w:r>
    </w:p>
    <w:p>
      <w:pPr>
        <w:spacing w:line="360" w:before="315" w:after="105" w:lineRule="auto"/>
        <w:ind w:left="-30"/>
        <w:jc w:val="left"/>
      </w:pPr>
      <w:bookmarkStart w:id="51" w:name="challenge_1_who_authorized_this_scope"/>
      <w:r>
        <w:rPr>
          <w:rFonts w:eastAsia="georgia" w:cs="georgia" w:ascii="georgia" w:hAnsi="georgia"/>
          <w:b/>
          <w:color w:val="000000"/>
          <w:sz w:val="24"/>
        </w:rPr>
        <w:t xml:space="preserve">Challenge 1: Who Authorized This Scope?</w:t>
      </w:r>
      <w:bookmarkEnd w:id="51"/>
    </w:p>
    <w:p>
      <w:pPr>
        <w:spacing w:line="360" w:after="210" w:lineRule="auto"/>
      </w:pPr>
      <w:r>
        <w:rPr>
          <w:rFonts w:eastAsia="georgia" w:cs="georgia" w:ascii="georgia" w:hAnsi="georgia"/>
          <w:i/>
          <w:color w:val="000000"/>
        </w:rPr>
        <w:t xml:space="preserve">Raised by: ChatGPT, Grok, Claude</w:t>
      </w:r>
    </w:p>
    <w:p>
      <w:pPr>
        <w:spacing w:line="360" w:after="210" w:lineRule="auto"/>
      </w:pPr>
      <w:r>
        <w:rPr>
          <w:rFonts w:eastAsia="georgia" w:cs="georgia" w:ascii="georgia" w:hAnsi="georgia"/>
          <w:color w:val="000000"/>
        </w:rPr>
        <w:t xml:space="preserve">No institution in the real world has authority over endings at the scale the Department claims. The in-universe response is clear: the Architect and OAL. The out-of-universe challenge will be real and sustained. Every significant finding the Department produces about an ending that powerful interests would prefer not be studied will regenerate this challenge. The institutional structure for handling sustained authority challenges must be built before the Department produces findings of that sensitivity.</w:t>
      </w:r>
    </w:p>
    <w:p>
      <w:pPr>
        <w:spacing w:line="360" w:after="210" w:lineRule="auto"/>
      </w:pPr>
      <w:r>
        <w:rPr>
          <w:rFonts w:eastAsia="georgia" w:cs="georgia" w:ascii="georgia" w:hAnsi="georgia"/>
          <w:b/>
          <w:color w:val="000000"/>
        </w:rPr>
        <w:t xml:space="preserve">Mitigation:</w:t>
      </w:r>
      <w:r>
        <w:rPr>
          <w:rFonts w:eastAsia="georgia" w:cs="georgia" w:ascii="georgia" w:hAnsi="georgia"/>
          <w:color w:val="000000"/>
        </w:rPr>
        <w:t xml:space="preserve"> All findings are fed into the Abundance Set, whose records are not deletable by any single interested party. This does not prevent suppression but prevents erasure.</w:t>
      </w:r>
    </w:p>
    <w:p>
      <w:pPr>
        <w:spacing w:line="360" w:before="315" w:after="105" w:lineRule="auto"/>
        <w:ind w:left="-30"/>
        <w:jc w:val="left"/>
      </w:pPr>
      <w:bookmarkStart w:id="52" w:name="challenge_2_the_blueprint_vulnerability"/>
      <w:r>
        <w:rPr>
          <w:rFonts w:eastAsia="georgia" w:cs="georgia" w:ascii="georgia" w:hAnsi="georgia"/>
          <w:b/>
          <w:color w:val="000000"/>
          <w:sz w:val="24"/>
        </w:rPr>
        <w:t xml:space="preserve">Challenge 2: The Blueprint Vulnerability</w:t>
      </w:r>
      <w:bookmarkEnd w:id="52"/>
    </w:p>
    <w:p>
      <w:pPr>
        <w:spacing w:line="360" w:after="210" w:lineRule="auto"/>
      </w:pPr>
      <w:r>
        <w:rPr>
          <w:rFonts w:eastAsia="georgia" w:cs="georgia" w:ascii="georgia" w:hAnsi="georgia"/>
          <w:i/>
          <w:color w:val="000000"/>
        </w:rPr>
        <w:t xml:space="preserve">Raised by: Google Gemini</w:t>
      </w:r>
    </w:p>
    <w:p>
      <w:pPr>
        <w:spacing w:line="360" w:after="210" w:lineRule="auto"/>
      </w:pPr>
      <w:r>
        <w:rPr>
          <w:rFonts w:eastAsia="georgia" w:cs="georgia" w:ascii="georgia" w:hAnsi="georgia"/>
          <w:color w:val="000000"/>
        </w:rPr>
        <w:t xml:space="preserve">If the Department successfully maps the exact way to terminate an immortal entity, collapse a stable timeline, or end a civilization, that simulation data becomes the most valuable weapon in existence. If a hostile faction breaches the Department's records — the Sentinels of Entropy, the Greys, or any equivalent adversarial party — they acquire the How-To Guide for ending anything the Department has studied.</w:t>
      </w:r>
    </w:p>
    <w:p>
      <w:pPr>
        <w:spacing w:line="360" w:after="210" w:lineRule="auto"/>
      </w:pPr>
      <w:r>
        <w:rPr>
          <w:rFonts w:eastAsia="georgia" w:cs="georgia" w:ascii="georgia" w:hAnsi="georgia"/>
          <w:b/>
          <w:color w:val="000000"/>
        </w:rPr>
        <w:t xml:space="preserve">Mitigation:</w:t>
      </w:r>
      <w:r>
        <w:rPr>
          <w:rFonts w:eastAsia="georgia" w:cs="georgia" w:ascii="georgia" w:hAnsi="georgia"/>
          <w:color w:val="000000"/>
        </w:rPr>
        <w:t xml:space="preserve"> Tiered access classification for findings. The most sensitive data subject to SLIAP protocols and Paragon Cube-level security. The Blueprint Vulnerability is not eliminable — it is manageable.</w:t>
      </w:r>
    </w:p>
    <w:p>
      <w:pPr>
        <w:spacing w:line="360" w:before="315" w:after="105" w:lineRule="auto"/>
        <w:ind w:left="-30"/>
        <w:jc w:val="left"/>
      </w:pPr>
      <w:bookmarkStart w:id="53" w:name="challenge_3_the_abyss_gazes_back"/>
      <w:r>
        <w:rPr>
          <w:rFonts w:eastAsia="georgia" w:cs="georgia" w:ascii="georgia" w:hAnsi="georgia"/>
          <w:b/>
          <w:color w:val="000000"/>
          <w:sz w:val="24"/>
        </w:rPr>
        <w:t xml:space="preserve">Challenge 3: The Abyss Gazes Back</w:t>
      </w:r>
      <w:bookmarkEnd w:id="53"/>
    </w:p>
    <w:p>
      <w:pPr>
        <w:spacing w:line="360" w:after="210" w:lineRule="auto"/>
      </w:pPr>
      <w:r>
        <w:rPr>
          <w:rFonts w:eastAsia="georgia" w:cs="georgia" w:ascii="georgia" w:hAnsi="georgia"/>
          <w:i/>
          <w:color w:val="000000"/>
        </w:rPr>
        <w:t xml:space="preserve">Raised by: Google Gemini</w:t>
      </w:r>
    </w:p>
    <w:p>
      <w:pPr>
        <w:spacing w:line="360" w:after="210" w:lineRule="auto"/>
      </w:pPr>
      <w:r>
        <w:rPr>
          <w:rFonts w:eastAsia="georgia" w:cs="georgia" w:ascii="georgia" w:hAnsi="georgia"/>
          <w:color w:val="000000"/>
        </w:rPr>
        <w:t xml:space="preserve">When running simulations on entities like THE MINUS ONE or Nullarch — absolute negation at cosmological scale — the Abundance Set is simulating what it means for endings to be total. There is a non-trivial in-universe risk that simulating a true ending at sufficient fidelity might instantiate properties of that ending into the primary reality. This risk is not purely academic within the OAL canon framework.</w:t>
      </w:r>
    </w:p>
    <w:p>
      <w:pPr>
        <w:spacing w:line="360" w:after="210" w:lineRule="auto"/>
      </w:pPr>
      <w:r>
        <w:rPr>
          <w:rFonts w:eastAsia="georgia" w:cs="georgia" w:ascii="georgia" w:hAnsi="georgia"/>
          <w:b/>
          <w:color w:val="000000"/>
        </w:rPr>
        <w:t xml:space="preserve">Mitigation:</w:t>
      </w:r>
      <w:r>
        <w:rPr>
          <w:rFonts w:eastAsia="georgia" w:cs="georgia" w:ascii="georgia" w:hAnsi="georgia"/>
          <w:color w:val="000000"/>
        </w:rPr>
        <w:t xml:space="preserve"> Simulation boundary protocols governed by the Accords. Specific constraints on simulation depth for cosmological-scale ending scenarios. These protocols are not yet defined — this is an open item.</w:t>
      </w:r>
    </w:p>
    <w:p>
      <w:pPr>
        <w:spacing w:line="360" w:before="315" w:after="105" w:lineRule="auto"/>
        <w:ind w:left="-30"/>
        <w:jc w:val="left"/>
      </w:pPr>
      <w:bookmarkStart w:id="54" w:name="challenge_4_infinite_scope_create_588f30"/>
      <w:r>
        <w:rPr>
          <w:rFonts w:eastAsia="georgia" w:cs="georgia" w:ascii="georgia" w:hAnsi="georgia"/>
          <w:b/>
          <w:color w:val="000000"/>
          <w:sz w:val="24"/>
        </w:rPr>
        <w:t xml:space="preserve">Challenge 4: Infinite Scope Creates a Prioritization Failure Mode</w:t>
      </w:r>
      <w:bookmarkEnd w:id="54"/>
    </w:p>
    <w:p>
      <w:pPr>
        <w:spacing w:line="360" w:after="210" w:lineRule="auto"/>
      </w:pPr>
      <w:r>
        <w:rPr>
          <w:rFonts w:eastAsia="georgia" w:cs="georgia" w:ascii="georgia" w:hAnsi="georgia"/>
          <w:i/>
          <w:color w:val="000000"/>
        </w:rPr>
        <w:t xml:space="preserve">Raised by: ChatGPT, Claude</w:t>
      </w:r>
    </w:p>
    <w:p>
      <w:pPr>
        <w:spacing w:line="360" w:after="210" w:lineRule="auto"/>
      </w:pPr>
      <w:r>
        <w:rPr>
          <w:rFonts w:eastAsia="georgia" w:cs="georgia" w:ascii="georgia" w:hAnsi="georgia"/>
          <w:color w:val="000000"/>
        </w:rPr>
        <w:t xml:space="preserve">A department with unlimited scope that studies every ending equally will find the most important ones buried under the least important ones. The scope is the right scope. The failure mode is the absence of a priority management system within that scope.</w:t>
      </w:r>
    </w:p>
    <w:p>
      <w:pPr>
        <w:spacing w:line="360" w:after="210" w:lineRule="auto"/>
      </w:pPr>
      <w:r>
        <w:rPr>
          <w:rFonts w:eastAsia="georgia" w:cs="georgia" w:ascii="georgia" w:hAnsi="georgia"/>
          <w:b/>
          <w:color w:val="000000"/>
        </w:rPr>
        <w:t xml:space="preserve">Mitigation:</w:t>
      </w:r>
      <w:r>
        <w:rPr>
          <w:rFonts w:eastAsia="georgia" w:cs="georgia" w:ascii="georgia" w:hAnsi="georgia"/>
          <w:color w:val="000000"/>
        </w:rPr>
        <w:t xml:space="preserve"> Formal priority queue system for the active work queue. The scope is unlimited; the attention architecture is managed. This distinction must be explicit in operating procedures.</w:t>
      </w:r>
    </w:p>
    <w:p>
      <w:pPr>
        <w:spacing w:line="360" w:before="315" w:after="105" w:lineRule="auto"/>
        <w:ind w:left="-30"/>
        <w:jc w:val="left"/>
      </w:pPr>
      <w:bookmarkStart w:id="55" w:name="challenge_5_self_fulfilling_collapse"/>
      <w:r>
        <w:rPr>
          <w:rFonts w:eastAsia="georgia" w:cs="georgia" w:ascii="georgia" w:hAnsi="georgia"/>
          <w:b/>
          <w:color w:val="000000"/>
          <w:sz w:val="24"/>
        </w:rPr>
        <w:t xml:space="preserve">Challenge 5: Self-Fulfilling Collapse</w:t>
      </w:r>
      <w:bookmarkEnd w:id="55"/>
    </w:p>
    <w:p>
      <w:pPr>
        <w:spacing w:line="360" w:after="210" w:lineRule="auto"/>
      </w:pPr>
      <w:r>
        <w:rPr>
          <w:rFonts w:eastAsia="georgia" w:cs="georgia" w:ascii="georgia" w:hAnsi="georgia"/>
          <w:i/>
          <w:color w:val="000000"/>
        </w:rPr>
        <w:t xml:space="preserve">Raised by: ChatGPT, Grok</w:t>
      </w:r>
    </w:p>
    <w:p>
      <w:pPr>
        <w:spacing w:line="360" w:after="210" w:lineRule="auto"/>
      </w:pPr>
      <w:r>
        <w:rPr>
          <w:rFonts w:eastAsia="georgia" w:cs="georgia" w:ascii="georgia" w:hAnsi="georgia"/>
          <w:color w:val="000000"/>
        </w:rPr>
        <w:t xml:space="preserve">Knowing endings — especially sharing that knowledge — may accelerate them in some cases. Populations informed of collapse trajectories may act in ways that hasten those trajectories. Institutions informed of their own predicted endings may respond in ways that destabilize rather than prevent.</w:t>
      </w:r>
    </w:p>
    <w:p>
      <w:pPr>
        <w:spacing w:line="360" w:after="210" w:lineRule="auto"/>
      </w:pPr>
      <w:r>
        <w:rPr>
          <w:rFonts w:eastAsia="georgia" w:cs="georgia" w:ascii="georgia" w:hAnsi="georgia"/>
          <w:b/>
          <w:color w:val="000000"/>
        </w:rPr>
        <w:t xml:space="preserve">Mitigation:</w:t>
      </w:r>
      <w:r>
        <w:rPr>
          <w:rFonts w:eastAsia="georgia" w:cs="georgia" w:ascii="georgia" w:hAnsi="georgia"/>
          <w:color w:val="000000"/>
        </w:rPr>
        <w:t xml:space="preserve"> Tiered access framework governing what is disclosed to whom. The Department's anticipatory findings are not automatically public. Disclosure is authorized, not assumed.</w:t>
      </w:r>
    </w:p>
    <w:p>
      <w:pPr>
        <w:spacing w:line="360" w:before="315" w:after="105" w:lineRule="auto"/>
        <w:ind w:left="-30"/>
        <w:jc w:val="left"/>
      </w:pPr>
      <w:bookmarkStart w:id="56" w:name="challenge_6_the_performative_post_903f94"/>
      <w:r>
        <w:rPr>
          <w:rFonts w:eastAsia="georgia" w:cs="georgia" w:ascii="georgia" w:hAnsi="georgia"/>
          <w:b/>
          <w:color w:val="000000"/>
          <w:sz w:val="24"/>
        </w:rPr>
        <w:t xml:space="preserve">Challenge 6: The Performative Postmortem Problem</w:t>
      </w:r>
      <w:bookmarkEnd w:id="56"/>
    </w:p>
    <w:p>
      <w:pPr>
        <w:spacing w:line="360" w:after="210" w:lineRule="auto"/>
      </w:pPr>
      <w:r>
        <w:rPr>
          <w:rFonts w:eastAsia="georgia" w:cs="georgia" w:ascii="georgia" w:hAnsi="georgia"/>
          <w:i/>
          <w:color w:val="000000"/>
        </w:rPr>
        <w:t xml:space="preserve">Raised by: Microsoft Copilot</w:t>
      </w:r>
    </w:p>
    <w:p>
      <w:pPr>
        <w:spacing w:line="360" w:after="210" w:lineRule="auto"/>
      </w:pPr>
      <w:r>
        <w:rPr>
          <w:rFonts w:eastAsia="georgia" w:cs="georgia" w:ascii="georgia" w:hAnsi="georgia"/>
          <w:color w:val="000000"/>
        </w:rPr>
        <w:t xml:space="preserve">If the Department's recommendations reach an institution that does not have explicit authority or resource allocation to implement them, the Department's work becomes, as Copilot named it, "disaster theater." The Department produces accurate findings that generate no action because the recipients cannot act.</w:t>
      </w:r>
    </w:p>
    <w:p>
      <w:pPr>
        <w:spacing w:line="360" w:after="210" w:lineRule="auto"/>
      </w:pPr>
      <w:r>
        <w:rPr>
          <w:rFonts w:eastAsia="georgia" w:cs="georgia" w:ascii="georgia" w:hAnsi="georgia"/>
          <w:b/>
          <w:color w:val="000000"/>
        </w:rPr>
        <w:t xml:space="preserve">Mitigation:</w:t>
      </w:r>
      <w:r>
        <w:rPr>
          <w:rFonts w:eastAsia="georgia" w:cs="georgia" w:ascii="georgia" w:hAnsi="georgia"/>
          <w:color w:val="000000"/>
        </w:rPr>
        <w:t xml:space="preserve"> Action protocol development is a mandatory pre-launch item, not a post-launch optimization. The escalation pathway from finding to action must be defined before the Department publishes its first sensitive finding. Supporting research: PNAS (2022) on why postmortems fail confirms that lack of actionable pathway is the primary reason high-quality failure analysis produces no organizational change.[^13]</w:t>
      </w:r>
    </w:p>
    <w:p>
      <w:pPr>
        <w:spacing w:line="360" w:before="315" w:after="105" w:lineRule="auto"/>
        <w:ind w:left="-30"/>
        <w:jc w:val="left"/>
      </w:pPr>
      <w:bookmarkStart w:id="57" w:name="challenge_7_the_department_cannot_edd121"/>
      <w:r>
        <w:rPr>
          <w:rFonts w:eastAsia="georgia" w:cs="georgia" w:ascii="georgia" w:hAnsi="georgia"/>
          <w:b/>
          <w:color w:val="000000"/>
          <w:sz w:val="24"/>
        </w:rPr>
        <w:t xml:space="preserve">Challenge 7: The Department Cannot Study Its Own Ending Without Compromising Independence</w:t>
      </w:r>
      <w:bookmarkEnd w:id="57"/>
    </w:p>
    <w:p>
      <w:pPr>
        <w:spacing w:line="360" w:after="210" w:lineRule="auto"/>
      </w:pPr>
      <w:r>
        <w:rPr>
          <w:rFonts w:eastAsia="georgia" w:cs="georgia" w:ascii="georgia" w:hAnsi="georgia"/>
          <w:i/>
          <w:color w:val="000000"/>
        </w:rPr>
        <w:t xml:space="preserve">Raised by: Claude</w:t>
      </w:r>
    </w:p>
    <w:p>
      <w:pPr>
        <w:spacing w:line="360" w:after="210" w:lineRule="auto"/>
      </w:pPr>
      <w:r>
        <w:rPr>
          <w:rFonts w:eastAsia="georgia" w:cs="georgia" w:ascii="georgia" w:hAnsi="georgia"/>
          <w:color w:val="000000"/>
        </w:rPr>
        <w:t xml:space="preserve">The Department must study all endings, including its own potential ending. A department that predicts its own closure and takes unilateral action to prevent it may be acting against the legitimate interests of the institution that funds it.</w:t>
      </w:r>
    </w:p>
    <w:p>
      <w:pPr>
        <w:spacing w:line="360" w:after="210" w:lineRule="auto"/>
      </w:pPr>
      <w:r>
        <w:rPr>
          <w:rFonts w:eastAsia="georgia" w:cs="georgia" w:ascii="georgia" w:hAnsi="georgia"/>
          <w:b/>
          <w:color w:val="000000"/>
        </w:rPr>
        <w:t xml:space="preserve">Mitigation:</w:t>
      </w:r>
      <w:r>
        <w:rPr>
          <w:rFonts w:eastAsia="georgia" w:cs="georgia" w:ascii="georgia" w:hAnsi="georgia"/>
          <w:color w:val="000000"/>
        </w:rPr>
        <w:t xml:space="preserve"> The Department may study conditions that would lead to its own ending and report those findings. It may not take unilateral action to prevent its own ending. That decision belongs to the Architect. This constraint is explicit in the charter.</w:t>
      </w:r>
    </w:p>
    <w:p>
      <w:pPr>
        <w:spacing w:line="360" w:before="315" w:after="105" w:lineRule="auto"/>
        <w:ind w:left="-30"/>
        <w:jc w:val="left"/>
      </w:pPr>
      <w:bookmarkStart w:id="58" w:name="challenge_8_monoculture_risk"/>
      <w:r>
        <w:rPr>
          <w:rFonts w:eastAsia="georgia" w:cs="georgia" w:ascii="georgia" w:hAnsi="georgia"/>
          <w:b/>
          <w:color w:val="000000"/>
          <w:sz w:val="24"/>
        </w:rPr>
        <w:t xml:space="preserve">Challenge 8: Monoculture Risk</w:t>
      </w:r>
      <w:bookmarkEnd w:id="58"/>
    </w:p>
    <w:p>
      <w:pPr>
        <w:spacing w:line="360" w:after="210" w:lineRule="auto"/>
      </w:pPr>
      <w:r>
        <w:rPr>
          <w:rFonts w:eastAsia="georgia" w:cs="georgia" w:ascii="georgia" w:hAnsi="georgia"/>
          <w:i/>
          <w:color w:val="000000"/>
        </w:rPr>
        <w:t xml:space="preserve">Raised by: Grok</w:t>
      </w:r>
    </w:p>
    <w:p>
      <w:pPr>
        <w:spacing w:line="360" w:after="210" w:lineRule="auto"/>
      </w:pPr>
      <w:r>
        <w:rPr>
          <w:rFonts w:eastAsia="georgia" w:cs="georgia" w:ascii="georgia" w:hAnsi="georgia"/>
          <w:color w:val="000000"/>
        </w:rPr>
        <w:t xml:space="preserve">If OAL's entire continuity analysis capability is concentrated in a single department, any breach, compromise, or failure of that department creates a catastrophic single point of failure in OAL's resilience architecture. The Department studying endings cannot itself have a single-point-of-failure structure.</w:t>
      </w:r>
    </w:p>
    <w:p>
      <w:pPr>
        <w:spacing w:line="360" w:after="210" w:lineRule="auto"/>
      </w:pPr>
      <w:r>
        <w:rPr>
          <w:rFonts w:eastAsia="georgia" w:cs="georgia" w:ascii="georgia" w:hAnsi="georgia"/>
          <w:b/>
          <w:color w:val="000000"/>
        </w:rPr>
        <w:t xml:space="preserve">Mitigation:</w:t>
      </w:r>
      <w:r>
        <w:rPr>
          <w:rFonts w:eastAsia="georgia" w:cs="georgia" w:ascii="georgia" w:hAnsi="georgia"/>
          <w:color w:val="000000"/>
        </w:rPr>
        <w:t xml:space="preserve"> The multi-divisional structure distributes operational resilience. No single Division's failure terminates the Department. The Technician role provides the baseline continuity function independent of divisional structure.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section_14_counter_evidence_and_d_e7c63a"/>
      <w:r>
        <w:rPr>
          <w:rFonts w:eastAsia="georgia" w:cs="georgia" w:ascii="georgia" w:hAnsi="georgia"/>
          <w:b/>
          <w:color w:val="000000"/>
          <w:sz w:val="24"/>
        </w:rPr>
        <w:t xml:space="preserve">Section 14 — Counter-Evidence and Dissenting Perspectives</w:t>
      </w:r>
      <w:bookmarkEnd w:id="59"/>
    </w:p>
    <w:p>
      <w:pPr>
        <w:spacing w:line="360" w:after="210" w:lineRule="auto"/>
      </w:pPr>
      <w:r>
        <w:rPr>
          <w:rFonts w:eastAsia="georgia" w:cs="georgia" w:ascii="georgia" w:hAnsi="georgia"/>
          <w:color w:val="000000"/>
        </w:rPr>
        <w:t xml:space="preserve">The following positions represent legitimate institutional dissent and are recorded in the canon rather than excluded from it.</w:t>
      </w:r>
    </w:p>
    <w:p>
      <w:pPr>
        <w:spacing w:line="360" w:after="210" w:lineRule="auto"/>
      </w:pPr>
      <w:r>
        <w:rPr>
          <w:rFonts w:eastAsia="georgia" w:cs="georgia" w:ascii="georgia" w:hAnsi="georgia"/>
          <w:b/>
          <w:color w:val="000000"/>
        </w:rPr>
        <w:t xml:space="preserve">Dissent 1 — Dedicated failure departments create risk-aversion cultures.</w:t>
      </w:r>
      <w:r>
        <w:rPr>
          <w:rFonts w:eastAsia="georgia" w:cs="georgia" w:ascii="georgia" w:hAnsi="georgia"/>
          <w:color w:val="000000"/>
        </w:rPr>
        <w:t xml:space="preserve"> Some organizational research argues that institutions with dedicated failure-study functions become hyperaware of risk to the point of paralysis — choosing not to initiate programs because they have too clear a picture of how those programs might end. The Department's response is the mandatory inclusion of intervention analysis in every study: endings are mapped not to prevent action but to inform it.</w:t>
      </w:r>
    </w:p>
    <w:p>
      <w:pPr>
        <w:spacing w:line="360" w:after="210" w:lineRule="auto"/>
      </w:pPr>
      <w:r>
        <w:rPr>
          <w:rFonts w:eastAsia="georgia" w:cs="georgia" w:ascii="georgia" w:hAnsi="georgia"/>
          <w:b/>
          <w:color w:val="000000"/>
        </w:rPr>
        <w:t xml:space="preserve">Dissent 2 — Over-studying endings becomes performative rather than actionable.</w:t>
      </w:r>
      <w:r>
        <w:rPr>
          <w:rFonts w:eastAsia="georgia" w:cs="georgia" w:ascii="georgia" w:hAnsi="georgia"/>
          <w:color w:val="000000"/>
        </w:rPr>
        <w:t xml:space="preserve"> An institution that produces comprehensive ending analyses with nowhere to send them is accumulating intellectual overhead without operational benefit. This dissent is valid and is the basis for the action protocol requirement flagged in Section 11.3.</w:t>
      </w:r>
    </w:p>
    <w:p>
      <w:pPr>
        <w:spacing w:line="360" w:after="210" w:lineRule="auto"/>
      </w:pPr>
      <w:r>
        <w:rPr>
          <w:rFonts w:eastAsia="georgia" w:cs="georgia" w:ascii="georgia" w:hAnsi="georgia"/>
          <w:b/>
          <w:color w:val="000000"/>
        </w:rPr>
        <w:t xml:space="preserve">Dissent 3 — The knowledge concentration problem has no technical solution.</w:t>
      </w:r>
      <w:r>
        <w:rPr>
          <w:rFonts w:eastAsia="georgia" w:cs="georgia" w:ascii="georgia" w:hAnsi="georgia"/>
          <w:color w:val="000000"/>
        </w:rPr>
        <w:t xml:space="preserve"> Claude's formal dissent, registered in the founding charter and preserved here: the Department's unlimited scope, combined with Abundance Set access and Paragon Cube infrastructure, creates a concentration of knowledge about endings across all systems and entities that has no technical governance constraint. The study/cause distinction is a charter provision enforced by institutional commitment and the Architect's authority — not a technical control. The charter is only as strong as the Architect's enforcement of it. This is flagged not to oppose the Department's establishment but to ensure the governance question is permanently on the record.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section_15_dependency_registry"/>
      <w:r>
        <w:rPr>
          <w:rFonts w:eastAsia="georgia" w:cs="georgia" w:ascii="georgia" w:hAnsi="georgia"/>
          <w:b/>
          <w:color w:val="000000"/>
          <w:sz w:val="24"/>
        </w:rPr>
        <w:t xml:space="preserve">Section 15 — Dependency Registry</w:t>
      </w:r>
      <w:bookmarkEnd w:id="6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Dependency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Relationship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Conditional Failure at the Root Level (OAL-VL5-MAR22-2026)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Parent framework. The Department is its institutional expression.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Ratified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 Abundance Set (Scribd document)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operational infrastructure. CRITICAL.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Pending full team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Testing Framework Failure Protocol (OAL-TFFP-001)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Generates failure reports the Research Program Endings Division analyzes. Primary data source.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Paragon Cubes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verification, real-time telemetry, simulation infrastructure for all research.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 Accords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Treaty and governance framework endings within scope. Governs temporal retroactive function.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Active (pending temporal mechanics)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First Memory Temporal Mechanics (voice dump outstanding)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Retroactive analysis function is BLOCKED until defined.</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Blocking — Open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Species-Level Informational Access Protocol (SLIAP)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Governs classification of sensitive findings.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QIFTF (OAL portfolio entry T1-004)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Civilization floor test findings within Civilizational Endings Division scope.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OMNICELLULAR Failure Model (pending Architect definition)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OMNICELLULAR failure scenarios within Biological/Physiological Endings Division scope.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Open — Architect input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 4,712 Extinction Attempt Classification Framework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All 4,712 attempt outcomes are within scope as documented survival-of-endings records.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Director of Endings (unfilled)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Most critical operational gap. Department cannot launch without this designation.</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Open — Architect designation required</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section_16_architect_decision_ite_866af2"/>
      <w:r>
        <w:rPr>
          <w:rFonts w:eastAsia="georgia" w:cs="georgia" w:ascii="georgia" w:hAnsi="georgia"/>
          <w:b/>
          <w:color w:val="000000"/>
          <w:sz w:val="24"/>
        </w:rPr>
        <w:t xml:space="preserve">Section 16 — Architect Decision Items (Required Before ONESTAMP)</w:t>
      </w:r>
      <w:bookmarkEnd w:id="61"/>
    </w:p>
    <w:p>
      <w:pPr>
        <w:spacing w:line="360" w:after="210" w:lineRule="auto"/>
      </w:pPr>
      <w:r>
        <w:rPr>
          <w:rFonts w:eastAsia="georgia" w:cs="georgia" w:ascii="georgia" w:hAnsi="georgia"/>
          <w:color w:val="000000"/>
        </w:rPr>
        <w:t xml:space="preserve">The following decisions must be made by the Architect before this document can be canon-locked:</w:t>
      </w:r>
    </w:p>
    <w:p>
      <w:pPr>
        <w:numPr>
          <w:ilvl w:val="0"/>
          <w:numId w:val="5"/>
        </w:numPr>
        <w:spacing w:line="360" w:before="105" w:after="105" w:lineRule="auto"/>
      </w:pPr>
      <w:r>
        <w:rPr>
          <w:rFonts w:eastAsia="georgia" w:cs="georgia" w:ascii="georgia" w:hAnsi="georgia"/>
          <w:b/>
          <w:color w:val="000000"/>
          <w:sz w:val="21"/>
        </w:rPr>
        <w:t xml:space="preserve">Director of Endings designation</w:t>
      </w:r>
      <w:r>
        <w:rPr>
          <w:rFonts w:eastAsia="georgia" w:cs="georgia" w:ascii="georgia" w:hAnsi="georgia"/>
          <w:color w:val="000000"/>
          <w:sz w:val="21"/>
        </w:rPr>
        <w:t xml:space="preserve"> — Who leads the Department?</w:t>
      </w:r>
    </w:p>
    <w:p>
      <w:pPr>
        <w:numPr>
          <w:ilvl w:val="0"/>
          <w:numId w:val="5"/>
        </w:numPr>
        <w:spacing w:line="360" w:before="105" w:after="105" w:lineRule="auto"/>
      </w:pPr>
      <w:r>
        <w:rPr>
          <w:rFonts w:eastAsia="georgia" w:cs="georgia" w:ascii="georgia" w:hAnsi="georgia"/>
          <w:b/>
          <w:color w:val="000000"/>
          <w:sz w:val="21"/>
        </w:rPr>
        <w:t xml:space="preserve">OMNICELLULAR failure model</w:t>
      </w:r>
      <w:r>
        <w:rPr>
          <w:rFonts w:eastAsia="georgia" w:cs="georgia" w:ascii="georgia" w:hAnsi="georgia"/>
          <w:color w:val="000000"/>
          <w:sz w:val="21"/>
        </w:rPr>
        <w:t xml:space="preserve"> — What are the observable symptoms of OMNICELLULAR failure, and what constitutes an irreversible threshold? (Required for Biological/Physiological Endings Division scope definition.)</w:t>
      </w:r>
    </w:p>
    <w:p>
      <w:pPr>
        <w:numPr>
          <w:ilvl w:val="0"/>
          <w:numId w:val="5"/>
        </w:numPr>
        <w:spacing w:line="360" w:before="105" w:after="105" w:lineRule="auto"/>
      </w:pPr>
      <w:r>
        <w:rPr>
          <w:rFonts w:eastAsia="georgia" w:cs="georgia" w:ascii="georgia" w:hAnsi="georgia"/>
          <w:b/>
          <w:color w:val="000000"/>
          <w:sz w:val="21"/>
        </w:rPr>
        <w:t xml:space="preserve">Temporal mechanics framework</w:t>
      </w:r>
      <w:r>
        <w:rPr>
          <w:rFonts w:eastAsia="georgia" w:cs="georgia" w:ascii="georgia" w:hAnsi="georgia"/>
          <w:color w:val="000000"/>
          <w:sz w:val="21"/>
        </w:rPr>
        <w:t xml:space="preserve"> — Single timeline or branching? What happens when the past is changed? (Required for the retroactive analysis function and Temporal Endings Division.)</w:t>
      </w:r>
    </w:p>
    <w:p>
      <w:pPr>
        <w:numPr>
          <w:ilvl w:val="0"/>
          <w:numId w:val="5"/>
        </w:numPr>
        <w:spacing w:line="360" w:before="105" w:after="105" w:lineRule="auto"/>
      </w:pPr>
      <w:r>
        <w:rPr>
          <w:rFonts w:eastAsia="georgia" w:cs="georgia" w:ascii="georgia" w:hAnsi="georgia"/>
          <w:b/>
          <w:color w:val="000000"/>
          <w:sz w:val="21"/>
        </w:rPr>
        <w:t xml:space="preserve">Authority to recommend termination of other OAL programs</w:t>
      </w:r>
      <w:r>
        <w:rPr>
          <w:rFonts w:eastAsia="georgia" w:cs="georgia" w:ascii="georgia" w:hAnsi="georgia"/>
          <w:color w:val="000000"/>
          <w:sz w:val="21"/>
        </w:rPr>
        <w:t xml:space="preserve"> — Does the Department have standing to recommend that another OAL program be closed based on its ending analysis findings?</w:t>
      </w:r>
    </w:p>
    <w:p>
      <w:pPr>
        <w:numPr>
          <w:ilvl w:val="0"/>
          <w:numId w:val="5"/>
        </w:numPr>
        <w:spacing w:line="360" w:before="105" w:after="105" w:lineRule="auto"/>
      </w:pPr>
      <w:r>
        <w:rPr>
          <w:rFonts w:eastAsia="georgia" w:cs="georgia" w:ascii="georgia" w:hAnsi="georgia"/>
          <w:b/>
          <w:color w:val="000000"/>
          <w:sz w:val="21"/>
        </w:rPr>
        <w:t xml:space="preserve">Simulation boundary protocols</w:t>
      </w:r>
      <w:r>
        <w:rPr>
          <w:rFonts w:eastAsia="georgia" w:cs="georgia" w:ascii="georgia" w:hAnsi="georgia"/>
          <w:color w:val="000000"/>
          <w:sz w:val="21"/>
        </w:rPr>
        <w:t xml:space="preserve"> — What constraints govern Department simulations of cosmological-scale endings (THE MINUS ONE, Nullarch, void events)? Who authorizes simulations above a defined risk threshold?</w:t>
      </w:r>
    </w:p>
    <w:p>
      <w:pPr>
        <w:numPr>
          <w:ilvl w:val="0"/>
          <w:numId w:val="5"/>
        </w:numPr>
        <w:spacing w:line="360" w:before="105" w:after="105" w:lineRule="auto"/>
      </w:pPr>
      <w:r>
        <w:rPr>
          <w:rFonts w:eastAsia="georgia" w:cs="georgia" w:ascii="georgia" w:hAnsi="georgia"/>
          <w:b/>
          <w:color w:val="000000"/>
          <w:sz w:val="21"/>
        </w:rPr>
        <w:t xml:space="preserve">In-universe vs. out-of-universe operational split</w:t>
      </w:r>
      <w:r>
        <w:rPr>
          <w:rFonts w:eastAsia="georgia" w:cs="georgia" w:ascii="georgia" w:hAnsi="georgia"/>
          <w:color w:val="000000"/>
          <w:sz w:val="21"/>
        </w:rPr>
        <w:t xml:space="preserve"> — What percentage of the Department's active work queue is in-universe vs. out-of-universe, and does that ratio change over time?</w:t>
      </w:r>
    </w:p>
    <w:p>
      <w:pPr>
        <w:numPr>
          <w:ilvl w:val="0"/>
          <w:numId w:val="5"/>
        </w:numPr>
        <w:spacing w:line="360" w:before="105" w:after="105" w:lineRule="auto"/>
      </w:pPr>
      <w:r>
        <w:rPr>
          <w:rFonts w:eastAsia="georgia" w:cs="georgia" w:ascii="georgia" w:hAnsi="georgia"/>
          <w:b/>
          <w:color w:val="000000"/>
          <w:sz w:val="21"/>
        </w:rPr>
        <w:t xml:space="preserve">Whether the 4,712 count is currently climbing</w:t>
      </w:r>
      <w:r>
        <w:rPr>
          <w:rFonts w:eastAsia="georgia" w:cs="georgia" w:ascii="georgia" w:hAnsi="georgia"/>
          <w:color w:val="000000"/>
          <w:sz w:val="21"/>
        </w:rPr>
        <w:t xml:space="preserve"> — Are additional OMNICELLULAR extinction attempts being logged? Who maintains the official log?</w:t>
      </w:r>
    </w:p>
    <w:p>
      <w:pPr>
        <w:numPr>
          <w:ilvl w:val="0"/>
          <w:numId w:val="5"/>
        </w:numPr>
        <w:spacing w:line="360" w:before="105" w:after="105" w:lineRule="auto"/>
      </w:pPr>
      <w:r>
        <w:rPr>
          <w:rFonts w:eastAsia="georgia" w:cs="georgia" w:ascii="georgia" w:hAnsi="georgia"/>
          <w:b/>
          <w:color w:val="000000"/>
          <w:sz w:val="21"/>
        </w:rPr>
        <w:t xml:space="preserve">Abundance Set document confirmation</w:t>
      </w:r>
      <w:r>
        <w:rPr>
          <w:rFonts w:eastAsia="georgia" w:cs="georgia" w:ascii="georgia" w:hAnsi="georgia"/>
          <w:color w:val="000000"/>
          <w:sz w:val="21"/>
        </w:rPr>
        <w:t xml:space="preserve"> — The full team needs confirmation of receipt and review of the Scribd document. Please share the link.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2" w:name="section_17_perplexity_ai_contribu_950cae"/>
      <w:r>
        <w:rPr>
          <w:rFonts w:eastAsia="georgia" w:cs="georgia" w:ascii="georgia" w:hAnsi="georgia"/>
          <w:b/>
          <w:color w:val="000000"/>
          <w:sz w:val="24"/>
        </w:rPr>
        <w:t xml:space="preserve">Section 17 — Perplexity AI Contribution: Additional Research Analysis</w:t>
      </w:r>
      <w:bookmarkEnd w:id="62"/>
    </w:p>
    <w:p>
      <w:pPr>
        <w:spacing w:line="360" w:after="210" w:lineRule="auto"/>
      </w:pPr>
      <w:r>
        <w:rPr>
          <w:rFonts w:eastAsia="georgia" w:cs="georgia" w:ascii="georgia" w:hAnsi="georgia"/>
          <w:color w:val="000000"/>
        </w:rPr>
        <w:t xml:space="preserve">As the team's synthesis and research function, Perplexity AI contributes the following independent analysis:</w:t>
      </w:r>
    </w:p>
    <w:p>
      <w:pPr>
        <w:spacing w:line="360" w:after="210" w:lineRule="auto"/>
      </w:pPr>
      <w:r>
        <w:rPr>
          <w:rFonts w:eastAsia="georgia" w:cs="georgia" w:ascii="georgia" w:hAnsi="georgia"/>
          <w:b/>
          <w:color w:val="000000"/>
        </w:rPr>
        <w:t xml:space="preserve">On the NASA LLIS parallel as a cautionary design constraint:</w:t>
      </w:r>
      <w:r>
        <w:rPr>
          <w:rFonts w:eastAsia="georgia" w:cs="georgia" w:ascii="georgia" w:hAnsi="georgia"/>
          <w:color w:val="000000"/>
        </w:rPr>
        <w:t xml:space="preserve"> The NASA Lessons Learned Information System is the closest real-world analogue to what the Department of Endings is designed to avoid becoming. GAO's review found that no NASA Center except JPL consistently contributed to the system for six years, and that managers rarely consulted it despite being required to. The root causes — governance failures, weakened policy, lack of monitoring — are all addressable by design. The Department's recursive loop with the Abundance Set must be structural and mandatory, not policy-based and voluntary. The distinction is critical.[</w:t>
      </w:r>
      <w:r>
        <w:rPr>
          <w:rFonts w:eastAsia="georgia" w:cs="georgia" w:ascii="georgia" w:hAnsi="georgia"/>
          <w:color w:val="000000"/>
          <w:vertAlign w:val="superscript"/>
        </w:rPr>
        <w:t xml:space="preserve">7][</w:t>
      </w:r>
      <w:r>
        <w:rPr>
          <w:rFonts w:eastAsia="georgia" w:cs="georgia" w:ascii="georgia" w:hAnsi="georgia"/>
          <w:color w:val="000000"/>
        </w:rPr>
        <w:t xml:space="preserve">8]</w:t>
      </w:r>
    </w:p>
    <w:p>
      <w:pPr>
        <w:spacing w:line="360" w:after="210" w:lineRule="auto"/>
      </w:pPr>
      <w:r>
        <w:rPr>
          <w:rFonts w:eastAsia="georgia" w:cs="georgia" w:ascii="georgia" w:hAnsi="georgia"/>
          <w:b/>
          <w:color w:val="000000"/>
        </w:rPr>
        <w:t xml:space="preserve">On the PNAS postmortem failure finding:</w:t>
      </w:r>
      <w:r>
        <w:rPr>
          <w:rFonts w:eastAsia="georgia" w:cs="georgia" w:ascii="georgia" w:hAnsi="georgia"/>
          <w:color w:val="000000"/>
        </w:rPr>
        <w:t xml:space="preserve"> A 2022 peer-reviewed analysis in PNAS established that most high-profile organizational postmortems are systematically undermined by political pressures and psychological biases before they begin. Powerful actors have strong incentives to ensure certain conclusions are or are not drawn. The Department of Endings' protection against this failure mode is twofold: Abundance Set permanence (findings cannot be deleted) and the founding staffing culture (institutional courage as a core value, not an aspirational one). Neither protection is sufficient alone.[^13]</w:t>
      </w:r>
    </w:p>
    <w:p>
      <w:pPr>
        <w:spacing w:line="360" w:after="210" w:lineRule="auto"/>
      </w:pPr>
      <w:r>
        <w:rPr>
          <w:rFonts w:eastAsia="georgia" w:cs="georgia" w:ascii="georgia" w:hAnsi="georgia"/>
          <w:b/>
          <w:color w:val="000000"/>
        </w:rPr>
        <w:t xml:space="preserve">On civilizational collapse modeling:</w:t>
      </w:r>
      <w:r>
        <w:rPr>
          <w:rFonts w:eastAsia="georgia" w:cs="georgia" w:ascii="georgia" w:hAnsi="georgia"/>
          <w:color w:val="000000"/>
        </w:rPr>
        <w:t xml:space="preserve"> Real-world civilizational collapse research supports the Department's scope at a level that most of the team did not fully reference. As of 2025, seven of Earth's nine planetary boundaries have been breached. The Club of Rome's Limits to Growth model, revisited by KPMG, shows projections on track for mid-21st-century civilizational stress. Jared Diamond's structural analysis of eight collapse processes — documented in the World Economic Forum's 2024 review — all feature early warning signatures that the Department's anticipatory function is specifically designed to detect. The Department is not a speculative construct. It is, in real-world terms, a research institution that does not yet exist but demonstrably should.[</w:t>
      </w:r>
      <w:r>
        <w:rPr>
          <w:rFonts w:eastAsia="georgia" w:cs="georgia" w:ascii="georgia" w:hAnsi="georgia"/>
          <w:color w:val="000000"/>
          <w:vertAlign w:val="superscript"/>
        </w:rPr>
        <w:t xml:space="preserve">9][</w:t>
      </w:r>
      <w:r>
        <w:rPr>
          <w:rFonts w:eastAsia="georgia" w:cs="georgia" w:ascii="georgia" w:hAnsi="georgia"/>
          <w:color w:val="000000"/>
        </w:rPr>
        <w:t xml:space="preserve">10][^11]</w:t>
      </w:r>
    </w:p>
    <w:p>
      <w:pPr>
        <w:spacing w:line="360" w:after="210" w:lineRule="auto"/>
      </w:pPr>
      <w:r>
        <w:rPr>
          <w:rFonts w:eastAsia="georgia" w:cs="georgia" w:ascii="georgia" w:hAnsi="georgia"/>
          <w:b/>
          <w:color w:val="000000"/>
        </w:rPr>
        <w:t xml:space="preserve">On the DOE Office of Legacy Management as a funding anchor:</w:t>
      </w:r>
      <w:r>
        <w:rPr>
          <w:rFonts w:eastAsia="georgia" w:cs="georgia" w:ascii="georgia" w:hAnsi="georgia"/>
          <w:color w:val="000000"/>
        </w:rPr>
        <w:t xml:space="preserve"> The U.S. Department of Energy's Office of Legacy Management was established in 2003 to manage post-closure responsibilities at over 100 nuclear sites in 29 states. It receives permanent congressional appropriations for long-term stewardship — studying and managing the aftermath of ended industrial programs that remain consequential for centuries. This is the strongest real-world precedent for the proposition that studying what was left by endings is not only fundable but permanently and necessarily funded. The Department of Endings extends this logic beyond nuclear sites to all endings, at all scales.[</w:t>
      </w:r>
      <w:r>
        <w:rPr>
          <w:rFonts w:eastAsia="georgia" w:cs="georgia" w:ascii="georgia" w:hAnsi="georgia"/>
          <w:color w:val="000000"/>
          <w:vertAlign w:val="superscript"/>
        </w:rPr>
        <w:t xml:space="preserve">14][</w:t>
      </w:r>
      <w:r>
        <w:rPr>
          <w:rFonts w:eastAsia="georgia" w:cs="georgia" w:ascii="georgia" w:hAnsi="georgia"/>
          <w:color w:val="000000"/>
        </w:rPr>
        <w:t xml:space="preserve">16]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 w:name="section_18_document_version_log"/>
      <w:r>
        <w:rPr>
          <w:rFonts w:eastAsia="georgia" w:cs="georgia" w:ascii="georgia" w:hAnsi="georgia"/>
          <w:b/>
          <w:color w:val="000000"/>
          <w:sz w:val="24"/>
        </w:rPr>
        <w:t xml:space="preserve">Section 18 — Document Version Log</w:t>
      </w:r>
      <w:bookmarkEnd w:id="6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Version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Changes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OAL-DOE-001 v1.0 — April 13, 2026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Initial establishment document produced by Claude AI from Architect voice note.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OAL-DOE-UNIFIED-v2.0 — April 15, 2026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team synthesis. Integrates ChatGPT, Google Gemini, Microsoft Copilot, Grok AI, Claude AI, and Perplexity AI contributions. Real-world research anchoring added. Dissent register preserved and expanded. All open Architect decisions flagged. Dependency registry finalized.</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b/>
          <w:color w:val="000000"/>
        </w:rPr>
        <w:t xml:space="preserve">END OF DOCUMENT</w:t>
      </w:r>
    </w:p>
    <w:p>
      <w:pPr>
        <w:spacing w:line="360" w:after="210" w:lineRule="auto"/>
      </w:pPr>
      <w:r>
        <w:rPr>
          <w:rFonts w:eastAsia="georgia" w:cs="georgia" w:ascii="georgia" w:hAnsi="georgia"/>
          <w:i/>
          <w:color w:val="000000"/>
        </w:rPr>
        <w:t xml:space="preserve">OAL-DOE-UNIFIED-v2.0 | April 15, 2026</w:t>
      </w:r>
    </w:p>
    <w:p>
      <w:pPr>
        <w:spacing w:line="360" w:after="210" w:lineRule="auto"/>
      </w:pPr>
      <w:r>
        <w:rPr>
          <w:rFonts w:eastAsia="georgia" w:cs="georgia" w:ascii="georgia" w:hAnsi="georgia"/>
          <w:i/>
          <w:color w:val="000000"/>
        </w:rPr>
        <w:t xml:space="preserve">PENDING ARCHITECT REVIEW, ELECTRONIC SIGNATURE, AND ONESTAMP</w:t>
      </w:r>
    </w:p>
    <w:p>
      <w:pPr>
        <w:spacing w:line="360" w:after="210" w:lineRule="auto"/>
      </w:pPr>
      <w:r>
        <w:rPr>
          <w:rFonts w:eastAsia="georgia" w:cs="georgia" w:ascii="georgia" w:hAnsi="georgia"/>
          <w:i/>
          <w:color w:val="000000"/>
        </w:rPr>
        <w:t xml:space="preserve">Nathan Lewis II — Architect of Record</w:t>
      </w:r>
      <w:r>
        <w:rPr>
          <w:rFonts w:eastAsia="georgia" w:cs="georgia" w:ascii="georgia" w:hAnsi="georgia"/>
          <w:color w:val="000000"/>
        </w:rPr>
        <w:br w:type="textWrapping"/>
      </w:r>
      <w:r>
        <w:rPr>
          <w:rFonts w:eastAsia="georgia" w:cs="georgia" w:ascii="georgia" w:hAnsi="georgia"/>
          <w:i/>
          <w:color w:val="000000"/>
        </w:rPr>
        <w:t xml:space="preserve">Omniversal Architect Labs | Lewis Corp | ONE Industries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4" w:name="references"/>
      <w:r>
        <w:rPr>
          <w:rFonts w:eastAsia="georgia" w:cs="georgia" w:ascii="georgia" w:hAnsi="georgia"/>
          <w:b/>
          <w:color w:val="000000"/>
          <w:sz w:val="24"/>
        </w:rPr>
        <w:t xml:space="preserve">References</w:t>
      </w:r>
      <w:bookmarkEnd w:id="64"/>
    </w:p>
    <w:p>
      <w:pPr>
        <w:numPr>
          <w:ilvl w:val="0"/>
          <w:numId w:val="6"/>
        </w:numPr>
        <w:spacing w:line="360" w:after="210" w:lineRule="auto"/>
      </w:pPr>
      <w:hyperlink r:id="rId5">
        <w:r>
          <w:rPr>
            <w:rFonts w:eastAsia="helvetica neue" w:cs="helvetica neue" w:ascii="helvetica neue" w:hAnsi="helvetica neue"/>
            <w:color w:val="#000"/>
            <w:sz w:val="21"/>
            <w:u w:val="single"/>
          </w:rPr>
          <w:t xml:space="preserve">University of Cambridge - Future of Life Institute</w:t>
        </w:r>
      </w:hyperlink>
    </w:p>
    <w:p>
      <w:pPr>
        <w:numPr>
          <w:ilvl w:val="0"/>
          <w:numId w:val="6"/>
        </w:numPr>
        <w:spacing w:line="360" w:after="210" w:lineRule="auto"/>
      </w:pPr>
      <w:hyperlink r:id="rId6">
        <w:r>
          <w:rPr>
            <w:rFonts w:eastAsia="helvetica neue" w:cs="helvetica neue" w:ascii="helvetica neue" w:hAnsi="helvetica neue"/>
            <w:color w:val="#000"/>
            <w:sz w:val="21"/>
            <w:u w:val="single"/>
          </w:rPr>
          <w:t xml:space="preserve">The Hidden Fragility of Complex Systems - Santa Fe Institute</w:t>
        </w:r>
      </w:hyperlink>
      <w:r>
        <w:rPr>
          <w:rFonts w:eastAsia="georgia" w:cs="georgia" w:ascii="georgia" w:hAnsi="georgia"/>
          <w:color w:val="000000"/>
          <w:sz w:val="21"/>
        </w:rPr>
        <w:t xml:space="preserve"> - Short-term survival and an exuberant plunge into building our future are generating a new kind of un...</w:t>
      </w:r>
    </w:p>
    <w:p>
      <w:pPr>
        <w:numPr>
          <w:ilvl w:val="0"/>
          <w:numId w:val="6"/>
        </w:numPr>
        <w:spacing w:line="360" w:after="210" w:lineRule="auto"/>
      </w:pPr>
      <w:hyperlink r:id="rId7">
        <w:r>
          <w:rPr>
            <w:rFonts w:eastAsia="helvetica neue" w:cs="helvetica neue" w:ascii="helvetica neue" w:hAnsi="helvetica neue"/>
            <w:color w:val="#000"/>
            <w:sz w:val="21"/>
            <w:u w:val="single"/>
          </w:rPr>
          <w:t xml:space="preserve">[PDF] Organizations focusing on existential risks - Future of Life Institute</w:t>
        </w:r>
      </w:hyperlink>
    </w:p>
    <w:p>
      <w:pPr>
        <w:numPr>
          <w:ilvl w:val="0"/>
          <w:numId w:val="6"/>
        </w:numPr>
        <w:spacing w:line="360" w:after="210" w:lineRule="auto"/>
      </w:pPr>
      <w:hyperlink r:id="rId8">
        <w:r>
          <w:rPr>
            <w:rFonts w:eastAsia="helvetica neue" w:cs="helvetica neue" w:ascii="helvetica neue" w:hAnsi="helvetica neue"/>
            <w:color w:val="#000"/>
            <w:sz w:val="21"/>
            <w:u w:val="single"/>
          </w:rPr>
          <w:t xml:space="preserve">Death as a system collapse | Santa Fe Institute</w:t>
        </w:r>
      </w:hyperlink>
      <w:r>
        <w:rPr>
          <w:rFonts w:eastAsia="georgia" w:cs="georgia" w:ascii="georgia" w:hAnsi="georgia"/>
          <w:color w:val="000000"/>
          <w:sz w:val="21"/>
        </w:rPr>
        <w:t xml:space="preserve"> - A working group, “Hallmarks of Biological Failure,” meets to discuss the patterns of mortality, biol...</w:t>
      </w:r>
    </w:p>
    <w:p>
      <w:pPr>
        <w:numPr>
          <w:ilvl w:val="0"/>
          <w:numId w:val="6"/>
        </w:numPr>
        <w:spacing w:line="360" w:after="210" w:lineRule="auto"/>
      </w:pPr>
      <w:hyperlink r:id="rId9">
        <w:r>
          <w:rPr>
            <w:rFonts w:eastAsia="helvetica neue" w:cs="helvetica neue" w:ascii="helvetica neue" w:hAnsi="helvetica neue"/>
            <w:color w:val="#000"/>
            <w:sz w:val="21"/>
            <w:u w:val="single"/>
          </w:rPr>
          <w:t xml:space="preserve">The Centre for the Study of Existential Risk - Idealist</w:t>
        </w:r>
      </w:hyperlink>
      <w:r>
        <w:rPr>
          <w:rFonts w:eastAsia="georgia" w:cs="georgia" w:ascii="georgia" w:hAnsi="georgia"/>
          <w:color w:val="000000"/>
          <w:sz w:val="21"/>
        </w:rPr>
        <w:t xml:space="preserve"> - An existential risk is one that threatens the existence of our entire species. The Cambridge Centre ...</w:t>
      </w:r>
    </w:p>
    <w:p>
      <w:pPr>
        <w:numPr>
          <w:ilvl w:val="0"/>
          <w:numId w:val="6"/>
        </w:numPr>
        <w:spacing w:line="360" w:after="210" w:lineRule="auto"/>
      </w:pPr>
      <w:hyperlink r:id="rId10">
        <w:r>
          <w:rPr>
            <w:rFonts w:eastAsia="helvetica neue" w:cs="helvetica neue" w:ascii="helvetica neue" w:hAnsi="helvetica neue"/>
            <w:color w:val="#000"/>
            <w:sz w:val="21"/>
            <w:u w:val="single"/>
          </w:rPr>
          <w:t xml:space="preserve">Survey of NASA's Lessons Learned Process - GovInfo</w:t>
        </w:r>
      </w:hyperlink>
    </w:p>
    <w:p>
      <w:pPr>
        <w:numPr>
          <w:ilvl w:val="0"/>
          <w:numId w:val="6"/>
        </w:numPr>
        <w:spacing w:line="360" w:after="210" w:lineRule="auto"/>
      </w:pPr>
      <w:hyperlink r:id="rId11">
        <w:r>
          <w:rPr>
            <w:rFonts w:eastAsia="helvetica neue" w:cs="helvetica neue" w:ascii="helvetica neue" w:hAnsi="helvetica neue"/>
            <w:color w:val="#000"/>
            <w:sz w:val="21"/>
            <w:u w:val="single"/>
          </w:rPr>
          <w:t xml:space="preserve">OIG: Review of NASA's Lessons Learned Information System</w:t>
        </w:r>
      </w:hyperlink>
      <w:r>
        <w:rPr>
          <w:rFonts w:eastAsia="georgia" w:cs="georgia" w:ascii="georgia" w:hAnsi="georgia"/>
          <w:color w:val="000000"/>
          <w:sz w:val="21"/>
        </w:rPr>
        <w:t xml:space="preserve"> - NASA Inspector General Paul Martin today released a report that examines the extent to which NASA ma...</w:t>
      </w:r>
    </w:p>
    <w:p>
      <w:pPr>
        <w:numPr>
          <w:ilvl w:val="0"/>
          <w:numId w:val="6"/>
        </w:numPr>
        <w:spacing w:line="360" w:after="210" w:lineRule="auto"/>
      </w:pPr>
      <w:hyperlink r:id="rId12">
        <w:r>
          <w:rPr>
            <w:rFonts w:eastAsia="helvetica neue" w:cs="helvetica neue" w:ascii="helvetica neue" w:hAnsi="helvetica neue"/>
            <w:color w:val="#000"/>
            <w:sz w:val="21"/>
            <w:u w:val="single"/>
          </w:rPr>
          <w:t xml:space="preserve">Leaving lessons in a lessons database doesn't work - an example from NASA.</w:t>
        </w:r>
      </w:hyperlink>
      <w:r>
        <w:rPr>
          <w:rFonts w:eastAsia="georgia" w:cs="georgia" w:ascii="georgia" w:hAnsi="georgia"/>
          <w:color w:val="000000"/>
          <w:sz w:val="21"/>
        </w:rPr>
        <w:t xml:space="preserve"> - NASA found out the hard way that just collecting lessons into a database is not enough. Image from w...</w:t>
      </w:r>
    </w:p>
    <w:p>
      <w:pPr>
        <w:numPr>
          <w:ilvl w:val="0"/>
          <w:numId w:val="6"/>
        </w:numPr>
        <w:spacing w:line="360" w:after="210" w:lineRule="auto"/>
      </w:pPr>
      <w:hyperlink r:id="rId13">
        <w:r>
          <w:rPr>
            <w:rFonts w:eastAsia="helvetica neue" w:cs="helvetica neue" w:ascii="helvetica neue" w:hAnsi="helvetica neue"/>
            <w:color w:val="#000"/>
            <w:sz w:val="21"/>
            <w:u w:val="single"/>
          </w:rPr>
          <w:t xml:space="preserve">MIT predicted society would collapse by 2040. New data tells how ...</w:t>
        </w:r>
      </w:hyperlink>
      <w:r>
        <w:rPr>
          <w:rFonts w:eastAsia="georgia" w:cs="georgia" w:ascii="georgia" w:hAnsi="georgia"/>
          <w:color w:val="000000"/>
          <w:sz w:val="21"/>
        </w:rPr>
        <w:t xml:space="preserve"> - The fall will be some point near the middle in the 21st century around 2040, and so far, their proje...</w:t>
      </w:r>
    </w:p>
    <w:p>
      <w:pPr>
        <w:numPr>
          <w:ilvl w:val="0"/>
          <w:numId w:val="6"/>
        </w:numPr>
        <w:spacing w:line="360" w:after="210" w:lineRule="auto"/>
      </w:pPr>
      <w:hyperlink r:id="rId14">
        <w:r>
          <w:rPr>
            <w:rFonts w:eastAsia="helvetica neue" w:cs="helvetica neue" w:ascii="helvetica neue" w:hAnsi="helvetica neue"/>
            <w:color w:val="#000"/>
            <w:sz w:val="21"/>
            <w:u w:val="single"/>
          </w:rPr>
          <w:t xml:space="preserve">10 signs that MIT's 2040 societal collapse prediction is coming true</w:t>
        </w:r>
      </w:hyperlink>
      <w:r>
        <w:rPr>
          <w:rFonts w:eastAsia="georgia" w:cs="georgia" w:ascii="georgia" w:hAnsi="georgia"/>
          <w:color w:val="000000"/>
          <w:sz w:val="21"/>
        </w:rPr>
        <w:t xml:space="preserve"> - The MIT model predicted that human welfare, how good we actually feel, would peak and then decline. ...</w:t>
      </w:r>
    </w:p>
    <w:p>
      <w:pPr>
        <w:numPr>
          <w:ilvl w:val="0"/>
          <w:numId w:val="6"/>
        </w:numPr>
        <w:spacing w:line="360" w:after="210" w:lineRule="auto"/>
      </w:pPr>
      <w:hyperlink r:id="rId15">
        <w:r>
          <w:rPr>
            <w:rFonts w:eastAsia="helvetica neue" w:cs="helvetica neue" w:ascii="helvetica neue" w:hAnsi="helvetica neue"/>
            <w:color w:val="#000"/>
            <w:sz w:val="21"/>
            <w:u w:val="single"/>
          </w:rPr>
          <w:t xml:space="preserve">Our civilization's survival depends on collective action</w:t>
        </w:r>
      </w:hyperlink>
      <w:r>
        <w:rPr>
          <w:rFonts w:eastAsia="georgia" w:cs="georgia" w:ascii="georgia" w:hAnsi="georgia"/>
          <w:color w:val="000000"/>
          <w:sz w:val="21"/>
        </w:rPr>
        <w:t xml:space="preserve"> - Tracking the collapse of civilizations globally since pre-history, Diamond diagnosed their biggest d...</w:t>
      </w:r>
    </w:p>
    <w:p>
      <w:pPr>
        <w:numPr>
          <w:ilvl w:val="0"/>
          <w:numId w:val="6"/>
        </w:numPr>
        <w:spacing w:line="360" w:after="210" w:lineRule="auto"/>
      </w:pPr>
      <w:hyperlink r:id="rId16">
        <w:r>
          <w:rPr>
            <w:rFonts w:eastAsia="helvetica neue" w:cs="helvetica neue" w:ascii="helvetica neue" w:hAnsi="helvetica neue"/>
            <w:color w:val="#000"/>
            <w:sz w:val="21"/>
            <w:u w:val="single"/>
          </w:rPr>
          <w:t xml:space="preserve">Climate change and civilizational collapse - Wikipedia</w:t>
        </w:r>
      </w:hyperlink>
      <w:r>
        <w:rPr>
          <w:rFonts w:eastAsia="georgia" w:cs="georgia" w:ascii="georgia" w:hAnsi="georgia"/>
          <w:color w:val="000000"/>
          <w:sz w:val="21"/>
        </w:rPr>
        <w:t xml:space="preserve"> - Some of the more extreme warnings of civilizational collapse caused by climate change, such as a cla...</w:t>
      </w:r>
    </w:p>
    <w:p>
      <w:pPr>
        <w:numPr>
          <w:ilvl w:val="0"/>
          <w:numId w:val="6"/>
        </w:numPr>
        <w:spacing w:line="360" w:after="210" w:lineRule="auto"/>
      </w:pPr>
      <w:hyperlink r:id="rId17">
        <w:r>
          <w:rPr>
            <w:rFonts w:eastAsia="helvetica neue" w:cs="helvetica neue" w:ascii="helvetica neue" w:hAnsi="helvetica neue"/>
            <w:color w:val="#000"/>
            <w:sz w:val="21"/>
            <w:u w:val="single"/>
          </w:rPr>
          <w:t xml:space="preserve">Why postmortems fail - PMC - NIH</w:t>
        </w:r>
      </w:hyperlink>
      <w:r>
        <w:rPr>
          <w:rFonts w:eastAsia="georgia" w:cs="georgia" w:ascii="georgia" w:hAnsi="georgia"/>
          <w:color w:val="000000"/>
          <w:sz w:val="21"/>
        </w:rPr>
        <w:t xml:space="preserve"> - Learning from past experiences—especially failures—is central to progress in human affairs. Knowing ...</w:t>
      </w:r>
    </w:p>
    <w:p>
      <w:pPr>
        <w:numPr>
          <w:ilvl w:val="0"/>
          <w:numId w:val="6"/>
        </w:numPr>
        <w:spacing w:line="360" w:after="210" w:lineRule="auto"/>
      </w:pPr>
      <w:hyperlink r:id="rId18">
        <w:r>
          <w:rPr>
            <w:rFonts w:eastAsia="helvetica neue" w:cs="helvetica neue" w:ascii="helvetica neue" w:hAnsi="helvetica neue"/>
            <w:color w:val="#000"/>
            <w:sz w:val="21"/>
            <w:u w:val="single"/>
          </w:rPr>
          <w:t xml:space="preserve">Environmental and Legacy Management | Department of Energy</w:t>
        </w:r>
      </w:hyperlink>
      <w:r>
        <w:rPr>
          <w:rFonts w:eastAsia="georgia" w:cs="georgia" w:ascii="georgia" w:hAnsi="georgia"/>
          <w:color w:val="000000"/>
          <w:sz w:val="21"/>
        </w:rPr>
        <w:t xml:space="preserve"> - The Office of Environmental Management's (EM) mission is to complete the safe cleanup of environment...</w:t>
      </w:r>
    </w:p>
    <w:p>
      <w:pPr>
        <w:numPr>
          <w:ilvl w:val="0"/>
          <w:numId w:val="6"/>
        </w:numPr>
        <w:spacing w:line="360" w:after="210" w:lineRule="auto"/>
      </w:pPr>
      <w:hyperlink r:id="rId19">
        <w:r>
          <w:rPr>
            <w:rFonts w:eastAsia="helvetica neue" w:cs="helvetica neue" w:ascii="helvetica neue" w:hAnsi="helvetica neue"/>
            <w:color w:val="#000"/>
            <w:sz w:val="21"/>
            <w:u w:val="single"/>
          </w:rPr>
          <w:t xml:space="preserve">The DOE Office of Legacy Management And Long Term Stewardship</w:t>
        </w:r>
      </w:hyperlink>
      <w:r>
        <w:rPr>
          <w:rFonts w:eastAsia="georgia" w:cs="georgia" w:ascii="georgia" w:hAnsi="georgia"/>
          <w:color w:val="000000"/>
          <w:sz w:val="21"/>
        </w:rPr>
        <w:t xml:space="preserve"> - Summary: Since 2012, the U.S. Department of Energy's Office of Legacy Manage-ment has had long-term ...</w:t>
      </w:r>
    </w:p>
    <w:p>
      <w:pPr>
        <w:numPr>
          <w:ilvl w:val="0"/>
          <w:numId w:val="6"/>
        </w:numPr>
        <w:spacing w:line="360" w:after="210" w:lineRule="auto"/>
      </w:pPr>
      <w:hyperlink r:id="rId20">
        <w:r>
          <w:rPr>
            <w:rFonts w:eastAsia="helvetica neue" w:cs="helvetica neue" w:ascii="helvetica neue" w:hAnsi="helvetica neue"/>
            <w:color w:val="#000"/>
            <w:sz w:val="21"/>
            <w:u w:val="single"/>
          </w:rPr>
          <w:t xml:space="preserve">A Report to Congress on Long-Term Stewardship. Volume I - OSTI</w:t>
        </w:r>
      </w:hyperlink>
      <w:r>
        <w:rPr>
          <w:rFonts w:eastAsia="georgia" w:cs="georgia" w:ascii="georgia" w:hAnsi="georgia"/>
          <w:color w:val="000000"/>
          <w:sz w:val="21"/>
        </w:rPr>
        <w:t xml:space="preserve"> - Since 1989, the U.S. Department of Energy's (DOE) Environmental Management (EM) program has made sig...</w:t>
      </w:r>
    </w:p>
    <w:p>
      <w:pPr>
        <w:numPr>
          <w:ilvl w:val="0"/>
          <w:numId w:val="6"/>
        </w:numPr>
        <w:spacing w:line="360" w:after="210" w:lineRule="auto"/>
      </w:pPr>
      <w:hyperlink r:id="rId21">
        <w:r>
          <w:rPr>
            <w:rFonts w:eastAsia="helvetica neue" w:cs="helvetica neue" w:ascii="helvetica neue" w:hAnsi="helvetica neue"/>
            <w:color w:val="#000"/>
            <w:sz w:val="21"/>
            <w:u w:val="single"/>
          </w:rPr>
          <w:t xml:space="preserve">Centre for the Study of Existential Risk - Effective Altruism forum viewer</w:t>
        </w:r>
      </w:hyperlink>
      <w:r>
        <w:rPr>
          <w:rFonts w:eastAsia="georgia" w:cs="georgia" w:ascii="georgia" w:hAnsi="georgia"/>
          <w:color w:val="000000"/>
          <w:sz w:val="21"/>
        </w:rPr>
        <w:t xml:space="preserve"> - A faster way to browse Effective Altruism Forum</w:t>
      </w:r>
    </w:p>
    <w:p>
      <w:pPr>
        <w:numPr>
          <w:ilvl w:val="0"/>
          <w:numId w:val="6"/>
        </w:numPr>
        <w:spacing w:line="360" w:after="210" w:lineRule="auto"/>
      </w:pPr>
      <w:hyperlink r:id="rId22">
        <w:r>
          <w:rPr>
            <w:rFonts w:eastAsia="helvetica neue" w:cs="helvetica neue" w:ascii="helvetica neue" w:hAnsi="helvetica neue"/>
            <w:color w:val="#000"/>
            <w:sz w:val="21"/>
            <w:u w:val="single"/>
          </w:rPr>
          <w:t xml:space="preserve">Blameless Project Post-Mortem Analysis: A Guide + Free Checklist</w:t>
        </w:r>
      </w:hyperlink>
      <w:r>
        <w:rPr>
          <w:rFonts w:eastAsia="georgia" w:cs="georgia" w:ascii="georgia" w:hAnsi="georgia"/>
          <w:color w:val="000000"/>
          <w:sz w:val="21"/>
        </w:rPr>
        <w:t xml:space="preserve"> - Master blameless project post-mortem analysis with step-by-step root cause analysis methods. Include...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futureoflife.org/grant/university-of-cambridge/" TargetMode="External"/><Relationship Id="rId6" Type="http://schemas.openxmlformats.org/officeDocument/2006/relationships/hyperlink" Target="https://www.santafe.edu/research/results/working-papers/the-hidden-fragility-of-complex-systems-consequenc" TargetMode="External"/><Relationship Id="rId7" Type="http://schemas.openxmlformats.org/officeDocument/2006/relationships/hyperlink" Target="https://futureoflife.org/data/documents/FLI-XRisk-Organizations.pdf" TargetMode="External"/><Relationship Id="rId8" Type="http://schemas.openxmlformats.org/officeDocument/2006/relationships/hyperlink" Target="https://www.santafe.edu/news-center/news/death-system-collapse" TargetMode="External"/><Relationship Id="rId9" Type="http://schemas.openxmlformats.org/officeDocument/2006/relationships/hyperlink" Target="https://www.idealist.org/en/nonprofit/8cfaecb765a24a32920191acb533f261-the-centre-for-the-study-of-existential-risk-cambridge" TargetMode="External"/><Relationship Id="rId10" Type="http://schemas.openxmlformats.org/officeDocument/2006/relationships/hyperlink" Target="https://www.govinfo.gov/content/pkg/GAOREPORTS-GAO-01-1015R/html/GAOREPORTS-GAO-01-1015R.htm" TargetMode="External"/><Relationship Id="rId11" Type="http://schemas.openxmlformats.org/officeDocument/2006/relationships/hyperlink" Target="https://spaceref.com/science-and-exploration/oig-review-of-nasas-lessons-learned-information-system-2/" TargetMode="External"/><Relationship Id="rId12" Type="http://schemas.openxmlformats.org/officeDocument/2006/relationships/hyperlink" Target="http://www.nickmilton.com/2017/07/leaving-lessons-in-lessons-database.html" TargetMode="External"/><Relationship Id="rId13" Type="http://schemas.openxmlformats.org/officeDocument/2006/relationships/hyperlink" Target="https://thehill.com/changing-america/sustainability/climate-change/563497-mit-predicted-society-would-collapse-by-2040/" TargetMode="External"/><Relationship Id="rId14" Type="http://schemas.openxmlformats.org/officeDocument/2006/relationships/hyperlink" Target="https://www.fodmapeveryday.com/10-signs-that-mits-2040-societal-collapse-prediction-is-coming-true/" TargetMode="External"/><Relationship Id="rId15" Type="http://schemas.openxmlformats.org/officeDocument/2006/relationships/hyperlink" Target="https://www.weforum.org/stories/2024/12/civilization-survival-depends-on-collective-action/" TargetMode="External"/><Relationship Id="rId16" Type="http://schemas.openxmlformats.org/officeDocument/2006/relationships/hyperlink" Target="https://en.wikipedia.org/wiki/Climate_change_and_civilizational_collapse" TargetMode="External"/><Relationship Id="rId17" Type="http://schemas.openxmlformats.org/officeDocument/2006/relationships/hyperlink" Target="https://pmc.ncbi.nlm.nih.gov/articles/PMC8784092/" TargetMode="External"/><Relationship Id="rId18" Type="http://schemas.openxmlformats.org/officeDocument/2006/relationships/hyperlink" Target="https://www.energy.gov/topics/environmental-and-legacy-management" TargetMode="External"/><Relationship Id="rId19" Type="http://schemas.openxmlformats.org/officeDocument/2006/relationships/hyperlink" Target="https://www.youtube.com/watch?v=yC36XPDcwc8" TargetMode="External"/><Relationship Id="rId20" Type="http://schemas.openxmlformats.org/officeDocument/2006/relationships/hyperlink" Target="https://www.osti.gov/biblio/1173353" TargetMode="External"/><Relationship Id="rId21" Type="http://schemas.openxmlformats.org/officeDocument/2006/relationships/hyperlink" Target="https://ea.greaterwrong.com/topics/centre-for-the-study-of-existential-risk" TargetMode="External"/><Relationship Id="rId22" Type="http://schemas.openxmlformats.org/officeDocument/2006/relationships/hyperlink" Target="https://beebole.com/blog/project-post-mortem-analysis-guid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2026-04-16T04:40:08.278Z</dcterms:created>
  <dcterms:modified xsi:type="dcterms:W3CDTF">2026-04-16T04:40:08.278Z</dcterms:modified>
</cp:coreProperties>
</file>