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al_development_track_portfolio_r_3afd22"/>
      <w:r>
        <w:rPr>
          <w:rFonts w:eastAsia="georgia" w:cs="georgia" w:ascii="georgia" w:hAnsi="georgia"/>
          <w:b/>
          <w:color w:val="000000"/>
          <w:sz w:val="39"/>
        </w:rPr>
        <w:t xml:space="preserve">OAL Development Track Portfolio Review and Implementation Framework</w:t>
      </w:r>
      <w:bookmarkEnd w:id="0"/>
    </w:p>
    <w:p>
      <w:pPr>
        <w:spacing w:line="360" w:before="315" w:after="105" w:lineRule="auto"/>
        <w:ind w:left="-30"/>
        <w:jc w:val="left"/>
      </w:pPr>
      <w:bookmarkStart w:id="1" w:name="overview"/>
      <w:r>
        <w:rPr>
          <w:rFonts w:eastAsia="georgia" w:cs="georgia" w:ascii="georgia" w:hAnsi="georgia"/>
          <w:b/>
          <w:color w:val="000000"/>
          <w:sz w:val="24"/>
        </w:rPr>
        <w:t xml:space="preserve">Overview</w:t>
      </w:r>
      <w:bookmarkEnd w:id="1"/>
    </w:p>
    <w:p>
      <w:pPr>
        <w:spacing w:line="360" w:after="210" w:lineRule="auto"/>
      </w:pPr>
      <w:r>
        <w:rPr>
          <w:rFonts w:eastAsia="georgia" w:cs="georgia" w:ascii="georgia" w:hAnsi="georgia"/>
          <w:color w:val="000000"/>
        </w:rPr>
        <w:t xml:space="preserve">The attached portfolio already does most of what the collaboration team asked for: it organizes the active development track into real-world applicable Tier 1 entries and creative IP Tier 2 entries, and for each active Tier 1 entry it provides purpose, mission, justification, funding pathways, applications, ethics, findings, and red-team analysis. The strongest immediate conclusion is that the portfolio is structurally sound enough to use as the base document for implementation planning, but it is not yet uniformly implementation-ready because several Architect-only blockers remain unresolved across OMNICELLULAR, First Memory, the Accords, and information-governance systems.[</w:t>
      </w:r>
      <w:r>
        <w:rPr>
          <w:rFonts w:eastAsia="georgia" w:cs="georgia" w:ascii="georgia" w:hAnsi="georgia"/>
          <w:color w:val="000000"/>
          <w:vertAlign w:val="superscript"/>
        </w:rPr>
        <w:t xml:space="preserve">1][</w:t>
      </w:r>
      <w:r>
        <w:rPr>
          <w:rFonts w:eastAsia="georgia" w:cs="georgia" w:ascii="georgia" w:hAnsi="georgia"/>
          <w:color w:val="000000"/>
        </w:rPr>
        <w:t xml:space="preserve">2][^3]</w:t>
      </w:r>
    </w:p>
    <w:p>
      <w:pPr>
        <w:spacing w:line="360" w:after="210" w:lineRule="auto"/>
      </w:pPr>
      <w:r>
        <w:rPr>
          <w:rFonts w:eastAsia="georgia" w:cs="georgia" w:ascii="georgia" w:hAnsi="georgia"/>
          <w:color w:val="000000"/>
        </w:rPr>
        <w:t xml:space="preserve">The most practical way to move from portfolio to execution is not to rewrite everything from scratch, but to adopt a two-lane program model: Tier 1 entries become near-term research, policy, and product programs, while Tier 2 entries are managed as creative IP and long-horizon speculative architecture until their operational dependencies are resolved. That distinction is already present in the portfolio and is one of its best design choices because it prevents overclaiming implementability for cosmological or purely narrative systems while preserving them as valuable assets.[^1]</w:t>
      </w:r>
    </w:p>
    <w:p>
      <w:pPr>
        <w:spacing w:line="360" w:before="315" w:after="105" w:lineRule="auto"/>
        <w:ind w:left="-30"/>
        <w:jc w:val="left"/>
      </w:pPr>
      <w:bookmarkStart w:id="2" w:name="what_the_portfolio_already_gets_right"/>
      <w:r>
        <w:rPr>
          <w:rFonts w:eastAsia="georgia" w:cs="georgia" w:ascii="georgia" w:hAnsi="georgia"/>
          <w:b/>
          <w:color w:val="000000"/>
          <w:sz w:val="24"/>
        </w:rPr>
        <w:t xml:space="preserve">What the portfolio already gets right</w:t>
      </w:r>
      <w:bookmarkEnd w:id="2"/>
    </w:p>
    <w:p>
      <w:pPr>
        <w:spacing w:line="360" w:after="210" w:lineRule="auto"/>
      </w:pPr>
      <w:r>
        <w:rPr>
          <w:rFonts w:eastAsia="georgia" w:cs="georgia" w:ascii="georgia" w:hAnsi="georgia"/>
          <w:color w:val="000000"/>
        </w:rPr>
        <w:t xml:space="preserve">The portfolio correctly identifies a set of Tier 1 entries with plausible real-world application paths: OMNICELLULAR, First Memory, the Accords, QIFTF, MVES, Conditional Failure at the Root Level, the Paragon Cubes, the Nail Prototypes, Species-Level Informational Access, and the three-currency system. It also correctly notes that several of these are frameworks rather than products, which changes how they should be funded and governed; for example, Conditional Failure at the Root Level and Species-Level Informational Access are better positioned as policy, methodology, or organizational design efforts than as near-term hardware programs.[^1]</w:t>
      </w:r>
    </w:p>
    <w:p>
      <w:pPr>
        <w:spacing w:line="360" w:after="210" w:lineRule="auto"/>
      </w:pPr>
      <w:r>
        <w:rPr>
          <w:rFonts w:eastAsia="georgia" w:cs="georgia" w:ascii="georgia" w:hAnsi="georgia"/>
          <w:color w:val="000000"/>
        </w:rPr>
        <w:t xml:space="preserve">The portfolio’s treatment of OMNICELLULAR is especially strong because it ties the concept to synthetic biology, regenerative medicine, trauma resilience, extreme-environment operations, and simulation-first ethics, while also acknowledging that the system is a north-star architecture rather than an immediately buildable organism. That framing is consistent with the existing OMNICELLULAR record, which locks the 4,712 as a survival record, states that the eight architectures are engineered rather than bestowed, and flags failure mode, metabolic cost, and inter-architecture communication as still-open questions.[</w:t>
      </w:r>
      <w:r>
        <w:rPr>
          <w:rFonts w:eastAsia="georgia" w:cs="georgia" w:ascii="georgia" w:hAnsi="georgia"/>
          <w:color w:val="000000"/>
          <w:vertAlign w:val="superscript"/>
        </w:rPr>
        <w:t xml:space="preserve">2][</w:t>
      </w:r>
      <w:r>
        <w:rPr>
          <w:rFonts w:eastAsia="georgia" w:cs="georgia" w:ascii="georgia" w:hAnsi="georgia"/>
          <w:color w:val="000000"/>
        </w:rPr>
        <w:t xml:space="preserve">3][^1]</w:t>
      </w:r>
    </w:p>
    <w:p>
      <w:pPr>
        <w:spacing w:line="360" w:after="210" w:lineRule="auto"/>
      </w:pPr>
      <w:r>
        <w:rPr>
          <w:rFonts w:eastAsia="georgia" w:cs="georgia" w:ascii="georgia" w:hAnsi="georgia"/>
          <w:color w:val="000000"/>
        </w:rPr>
        <w:t xml:space="preserve">The portfolio is also directionally correct on QIFTF and MVES. QIFTF addresses a genuine governance gap by focusing on how quantum systems fail rather than only how they perform, and it connects directly to the live post-quantum migration problem and Harvest Now, Decrypt Later risk. MVES is grounded in existing sensing science because Army and other federal programs already work on acoustic and seismic sensing, airframe acoustic-emission monitoring, and passive multimodal signal fusion in challenging environments.[</w:t>
      </w:r>
      <w:r>
        <w:rPr>
          <w:rFonts w:eastAsia="georgia" w:cs="georgia" w:ascii="georgia" w:hAnsi="georgia"/>
          <w:color w:val="000000"/>
          <w:vertAlign w:val="superscript"/>
        </w:rPr>
        <w:t xml:space="preserve">4][</w:t>
      </w:r>
      <w:r>
        <w:rPr>
          <w:rFonts w:eastAsia="georgia" w:cs="georgia" w:ascii="georgia" w:hAnsi="georgia"/>
          <w:color w:val="000000"/>
        </w:rPr>
        <w:t xml:space="preserve">5][</w:t>
      </w:r>
      <w:r>
        <w:rPr>
          <w:rFonts w:eastAsia="georgia" w:cs="georgia" w:ascii="georgia" w:hAnsi="georgia"/>
          <w:color w:val="000000"/>
          <w:vertAlign w:val="superscript"/>
        </w:rPr>
        <w:t xml:space="preserve">6][</w:t>
      </w:r>
      <w:r>
        <w:rPr>
          <w:rFonts w:eastAsia="georgia" w:cs="georgia" w:ascii="georgia" w:hAnsi="georgia"/>
          <w:color w:val="000000"/>
        </w:rPr>
        <w:t xml:space="preserve">7][</w:t>
      </w:r>
      <w:r>
        <w:rPr>
          <w:rFonts w:eastAsia="georgia" w:cs="georgia" w:ascii="georgia" w:hAnsi="georgia"/>
          <w:color w:val="000000"/>
          <w:vertAlign w:val="superscript"/>
        </w:rPr>
        <w:t xml:space="preserve">8][</w:t>
      </w:r>
      <w:r>
        <w:rPr>
          <w:rFonts w:eastAsia="georgia" w:cs="georgia" w:ascii="georgia" w:hAnsi="georgia"/>
          <w:color w:val="000000"/>
        </w:rPr>
        <w:t xml:space="preserve">1]</w:t>
      </w:r>
    </w:p>
    <w:p>
      <w:pPr>
        <w:spacing w:line="360" w:before="315" w:after="105" w:lineRule="auto"/>
        <w:ind w:left="-30"/>
        <w:jc w:val="left"/>
      </w:pPr>
      <w:bookmarkStart w:id="3" w:name="external_support_for_fundability"/>
      <w:r>
        <w:rPr>
          <w:rFonts w:eastAsia="georgia" w:cs="georgia" w:ascii="georgia" w:hAnsi="georgia"/>
          <w:b/>
          <w:color w:val="000000"/>
          <w:sz w:val="24"/>
        </w:rPr>
        <w:t xml:space="preserve">External support for fundability</w:t>
      </w:r>
      <w:bookmarkEnd w:id="3"/>
    </w:p>
    <w:p>
      <w:pPr>
        <w:spacing w:line="360" w:after="210" w:lineRule="auto"/>
      </w:pPr>
      <w:r>
        <w:rPr>
          <w:rFonts w:eastAsia="georgia" w:cs="georgia" w:ascii="georgia" w:hAnsi="georgia"/>
          <w:color w:val="000000"/>
        </w:rPr>
        <w:t xml:space="preserve">The funding logic in the portfolio is broadly plausible. DARPA’s Biological Technologies Office explicitly funds research at the intersection of biology, engineering, computing, and human performance, which makes it a legitimate anchor for speculative-but-serious biotechnology and resilience research pathways. NIH’s BRAIN Initiative remains a major federal neurotechnology effort with billions in cumulative support and continuing grant mechanisms for new recording, modulation, and brain-technology translation work, which supports the portfolio’s positioning of First Memory-adjacent research as a neuroscience and neurotechnology track rather than only a narrative device.[</w:t>
      </w:r>
      <w:r>
        <w:rPr>
          <w:rFonts w:eastAsia="georgia" w:cs="georgia" w:ascii="georgia" w:hAnsi="georgia"/>
          <w:color w:val="000000"/>
          <w:vertAlign w:val="superscript"/>
        </w:rPr>
        <w:t xml:space="preserve">9][</w:t>
      </w:r>
      <w:r>
        <w:rPr>
          <w:rFonts w:eastAsia="georgia" w:cs="georgia" w:ascii="georgia" w:hAnsi="georgia"/>
          <w:color w:val="000000"/>
        </w:rPr>
        <w:t xml:space="preserve">10][</w:t>
      </w:r>
      <w:r>
        <w:rPr>
          <w:rFonts w:eastAsia="georgia" w:cs="georgia" w:ascii="georgia" w:hAnsi="georgia"/>
          <w:color w:val="000000"/>
          <w:vertAlign w:val="superscript"/>
        </w:rPr>
        <w:t xml:space="preserve">11][</w:t>
      </w:r>
      <w:r>
        <w:rPr>
          <w:rFonts w:eastAsia="georgia" w:cs="georgia" w:ascii="georgia" w:hAnsi="georgia"/>
          <w:color w:val="000000"/>
        </w:rPr>
        <w:t xml:space="preserve">12][^13]</w:t>
      </w:r>
    </w:p>
    <w:p>
      <w:pPr>
        <w:spacing w:line="360" w:after="210" w:lineRule="auto"/>
      </w:pPr>
      <w:r>
        <w:rPr>
          <w:rFonts w:eastAsia="georgia" w:cs="georgia" w:ascii="georgia" w:hAnsi="georgia"/>
          <w:color w:val="000000"/>
        </w:rPr>
        <w:t xml:space="preserve">The QIFTF funding logic is also supportable. NSF’s Quantum Leap Challenge Institutes are large interdisciplinary quantum programs designed to drive breakthroughs in quantum information science and sensing, while current migration guidance from both public and industry sources shows that post-quantum transition remains active and operationally urgent. Likewise, NASA’s Human Research Program exists specifically to reduce risks to human health and performance in spaceflight, so the portfolio’s use of NASA HRP as an eventual partner for extreme physiology and resilience-adjacent systems is directionally credible at the research-framework level.[</w:t>
      </w:r>
      <w:r>
        <w:rPr>
          <w:rFonts w:eastAsia="georgia" w:cs="georgia" w:ascii="georgia" w:hAnsi="georgia"/>
          <w:color w:val="000000"/>
          <w:vertAlign w:val="superscript"/>
        </w:rPr>
        <w:t xml:space="preserve">14][</w:t>
      </w:r>
      <w:r>
        <w:rPr>
          <w:rFonts w:eastAsia="georgia" w:cs="georgia" w:ascii="georgia" w:hAnsi="georgia"/>
          <w:color w:val="000000"/>
        </w:rPr>
        <w:t xml:space="preserve">15][</w:t>
      </w:r>
      <w:r>
        <w:rPr>
          <w:rFonts w:eastAsia="georgia" w:cs="georgia" w:ascii="georgia" w:hAnsi="georgia"/>
          <w:color w:val="000000"/>
          <w:vertAlign w:val="superscript"/>
        </w:rPr>
        <w:t xml:space="preserve">16][</w:t>
      </w:r>
      <w:r>
        <w:rPr>
          <w:rFonts w:eastAsia="georgia" w:cs="georgia" w:ascii="georgia" w:hAnsi="georgia"/>
          <w:color w:val="000000"/>
        </w:rPr>
        <w:t xml:space="preserve">17][</w:t>
      </w:r>
      <w:r>
        <w:rPr>
          <w:rFonts w:eastAsia="georgia" w:cs="georgia" w:ascii="georgia" w:hAnsi="georgia"/>
          <w:color w:val="000000"/>
          <w:vertAlign w:val="superscript"/>
        </w:rPr>
        <w:t xml:space="preserve">8][</w:t>
      </w:r>
      <w:r>
        <w:rPr>
          <w:rFonts w:eastAsia="georgia" w:cs="georgia" w:ascii="georgia" w:hAnsi="georgia"/>
          <w:color w:val="000000"/>
        </w:rPr>
        <w:t xml:space="preserve">18]</w:t>
      </w:r>
    </w:p>
    <w:p>
      <w:pPr>
        <w:spacing w:line="360" w:after="210" w:lineRule="auto"/>
      </w:pPr>
      <w:r>
        <w:rPr>
          <w:rFonts w:eastAsia="georgia" w:cs="georgia" w:ascii="georgia" w:hAnsi="georgia"/>
          <w:color w:val="000000"/>
        </w:rPr>
        <w:t xml:space="preserve">For biodefense and outbreak simulation, BARDA’s mission is explicitly to support advanced development of medical countermeasures for pandemics, emerging infectious diseases, and CBRN events, which makes it a realistic reference point for Pathogen TTX-style resilience and preparedness work if framed around response systems rather than dangerous pathogen design. For cyber-resilience, CISA continues to anchor resilience work across critical infrastructure and state/local grant programs, which supports the portfolio’s positioning of network-defense and infrastructure-resilience programs in the homeland-security and grant-funding ecosystem.[</w:t>
      </w:r>
      <w:r>
        <w:rPr>
          <w:rFonts w:eastAsia="georgia" w:cs="georgia" w:ascii="georgia" w:hAnsi="georgia"/>
          <w:color w:val="000000"/>
          <w:vertAlign w:val="superscript"/>
        </w:rPr>
        <w:t xml:space="preserve">19][</w:t>
      </w:r>
      <w:r>
        <w:rPr>
          <w:rFonts w:eastAsia="georgia" w:cs="georgia" w:ascii="georgia" w:hAnsi="georgia"/>
          <w:color w:val="000000"/>
        </w:rPr>
        <w:t xml:space="preserve">20][</w:t>
      </w:r>
      <w:r>
        <w:rPr>
          <w:rFonts w:eastAsia="georgia" w:cs="georgia" w:ascii="georgia" w:hAnsi="georgia"/>
          <w:color w:val="000000"/>
          <w:vertAlign w:val="superscript"/>
        </w:rPr>
        <w:t xml:space="preserve">21][</w:t>
      </w:r>
      <w:r>
        <w:rPr>
          <w:rFonts w:eastAsia="georgia" w:cs="georgia" w:ascii="georgia" w:hAnsi="georgia"/>
          <w:color w:val="000000"/>
        </w:rPr>
        <w:t xml:space="preserve">22][^23]</w:t>
      </w:r>
    </w:p>
    <w:p>
      <w:pPr>
        <w:spacing w:line="360" w:before="315" w:after="105" w:lineRule="auto"/>
        <w:ind w:left="-30"/>
        <w:jc w:val="left"/>
      </w:pPr>
      <w:bookmarkStart w:id="4" w:name="priority_gaps_to_fix_before_imple_62bc08"/>
      <w:r>
        <w:rPr>
          <w:rFonts w:eastAsia="georgia" w:cs="georgia" w:ascii="georgia" w:hAnsi="georgia"/>
          <w:b/>
          <w:color w:val="000000"/>
          <w:sz w:val="24"/>
        </w:rPr>
        <w:t xml:space="preserve">Priority gaps to fix before implementation</w:t>
      </w:r>
      <w:bookmarkEnd w:id="4"/>
    </w:p>
    <w:p>
      <w:pPr>
        <w:spacing w:line="360" w:after="210" w:lineRule="auto"/>
      </w:pPr>
      <w:r>
        <w:rPr>
          <w:rFonts w:eastAsia="georgia" w:cs="georgia" w:ascii="georgia" w:hAnsi="georgia"/>
          <w:color w:val="000000"/>
        </w:rPr>
        <w:t xml:space="preserve">The single biggest portfolio issue is uneven maturity. Some entries already read like program briefs, while others still read like concept notes with open design dependencies. The most consequential unresolved blockers remain the same ones surfaced in the changelog materials: the Accords still require a formal switching paradox definition; OMNICELLULAR still lacks a phenotypic failure model and an ONT-class survival mechanism; First Memory still has open Tier 1 narrative-mechanics questions; and Species-Level Informational Access still lacks an enforcement mechanism.[</w:t>
      </w:r>
      <w:r>
        <w:rPr>
          <w:rFonts w:eastAsia="georgia" w:cs="georgia" w:ascii="georgia" w:hAnsi="georgia"/>
          <w:color w:val="000000"/>
          <w:vertAlign w:val="superscript"/>
        </w:rPr>
        <w:t xml:space="preserve">3][</w:t>
      </w:r>
      <w:r>
        <w:rPr>
          <w:rFonts w:eastAsia="georgia" w:cs="georgia" w:ascii="georgia" w:hAnsi="georgia"/>
          <w:color w:val="000000"/>
        </w:rPr>
        <w:t xml:space="preserve">2][^1]</w:t>
      </w:r>
    </w:p>
    <w:p>
      <w:pPr>
        <w:spacing w:line="360" w:after="210" w:lineRule="auto"/>
      </w:pPr>
      <w:r>
        <w:rPr>
          <w:rFonts w:eastAsia="georgia" w:cs="georgia" w:ascii="georgia" w:hAnsi="georgia"/>
          <w:color w:val="000000"/>
        </w:rPr>
        <w:t xml:space="preserve">A second issue is that the portfolio sometimes treats a plausible funding source as if it were evidence of near-term buildability. That is true for Paragon Cubes, parts of the three-currency system, and some OMNICELLULAR claims. The safer implementation posture is to break each entry into three explicit tags: </w:t>
      </w:r>
      <w:r>
        <w:rPr>
          <w:rFonts w:eastAsia="georgia" w:cs="georgia" w:ascii="georgia" w:hAnsi="georgia"/>
          <w:b/>
          <w:color w:val="000000"/>
        </w:rPr>
        <w:t xml:space="preserve">build now</w:t>
      </w:r>
      <w:r>
        <w:rPr>
          <w:rFonts w:eastAsia="georgia" w:cs="georgia" w:ascii="georgia" w:hAnsi="georgia"/>
          <w:color w:val="000000"/>
        </w:rPr>
        <w:t xml:space="preserve">, </w:t>
      </w:r>
      <w:r>
        <w:rPr>
          <w:rFonts w:eastAsia="georgia" w:cs="georgia" w:ascii="georgia" w:hAnsi="georgia"/>
          <w:b/>
          <w:color w:val="000000"/>
        </w:rPr>
        <w:t xml:space="preserve">research now</w:t>
      </w:r>
      <w:r>
        <w:rPr>
          <w:rFonts w:eastAsia="georgia" w:cs="georgia" w:ascii="georgia" w:hAnsi="georgia"/>
          <w:color w:val="000000"/>
        </w:rPr>
        <w:t xml:space="preserve">, and </w:t>
      </w:r>
      <w:r>
        <w:rPr>
          <w:rFonts w:eastAsia="georgia" w:cs="georgia" w:ascii="georgia" w:hAnsi="georgia"/>
          <w:b/>
          <w:color w:val="000000"/>
        </w:rPr>
        <w:t xml:space="preserve">IP/speculative only</w:t>
      </w:r>
      <w:r>
        <w:rPr>
          <w:rFonts w:eastAsia="georgia" w:cs="georgia" w:ascii="georgia" w:hAnsi="georgia"/>
          <w:color w:val="000000"/>
        </w:rPr>
        <w:t xml:space="preserve">. Without that layer, external readers may confuse a policy framework or thought experiment with a current engineering program.[^1]</w:t>
      </w:r>
    </w:p>
    <w:p>
      <w:pPr>
        <w:spacing w:line="360" w:after="210" w:lineRule="auto"/>
      </w:pPr>
      <w:r>
        <w:rPr>
          <w:rFonts w:eastAsia="georgia" w:cs="georgia" w:ascii="georgia" w:hAnsi="georgia"/>
          <w:color w:val="000000"/>
        </w:rPr>
        <w:t xml:space="preserve">A third issue is that cross-project dependencies are not yet managed as a formal program map. The documents show that OMNICELLULAR depends on the 4,712 framework, the Accords, and research-center infrastructure; First Memory depends on Abundance Set and governance rules; Conditional Failure depends on the Abundance Set and Department of Endings; and multiple systems depend on Paragon Cubes. Those relationships should be elevated into a dependency matrix because several projects cannot be meaningfully funded or governed until their parent systems are clarified.[</w:t>
      </w:r>
      <w:r>
        <w:rPr>
          <w:rFonts w:eastAsia="georgia" w:cs="georgia" w:ascii="georgia" w:hAnsi="georgia"/>
          <w:color w:val="000000"/>
          <w:vertAlign w:val="superscript"/>
        </w:rPr>
        <w:t xml:space="preserve">24][</w:t>
      </w:r>
      <w:r>
        <w:rPr>
          <w:rFonts w:eastAsia="georgia" w:cs="georgia" w:ascii="georgia" w:hAnsi="georgia"/>
          <w:color w:val="000000"/>
        </w:rPr>
        <w:t xml:space="preserve">2][^1]</w:t>
      </w:r>
    </w:p>
    <w:p>
      <w:pPr>
        <w:spacing w:line="360" w:before="315" w:after="105" w:lineRule="auto"/>
        <w:ind w:left="-30"/>
        <w:jc w:val="left"/>
      </w:pPr>
      <w:bookmarkStart w:id="5" w:name="recommended_implementation_lanes"/>
      <w:r>
        <w:rPr>
          <w:rFonts w:eastAsia="georgia" w:cs="georgia" w:ascii="georgia" w:hAnsi="georgia"/>
          <w:b/>
          <w:color w:val="000000"/>
          <w:sz w:val="24"/>
        </w:rPr>
        <w:t xml:space="preserve">Recommended implementation lanes</w:t>
      </w:r>
      <w:bookmarkEnd w:id="5"/>
    </w:p>
    <w:p>
      <w:pPr>
        <w:spacing w:line="360" w:before="315" w:after="105" w:lineRule="auto"/>
        <w:ind w:left="-30"/>
        <w:jc w:val="left"/>
      </w:pPr>
      <w:bookmarkStart w:id="6" w:name="lane_1_near_term_executable_programs"/>
      <w:r>
        <w:rPr>
          <w:rFonts w:eastAsia="georgia" w:cs="georgia" w:ascii="georgia" w:hAnsi="georgia"/>
          <w:b/>
          <w:color w:val="000000"/>
          <w:sz w:val="24"/>
        </w:rPr>
        <w:t xml:space="preserve">Lane 1: Near-term executable programs</w:t>
      </w:r>
      <w:bookmarkEnd w:id="6"/>
    </w:p>
    <w:p>
      <w:pPr>
        <w:spacing w:line="360" w:after="210" w:lineRule="auto"/>
      </w:pPr>
      <w:r>
        <w:rPr>
          <w:rFonts w:eastAsia="georgia" w:cs="georgia" w:ascii="georgia" w:hAnsi="georgia"/>
          <w:color w:val="000000"/>
        </w:rPr>
        <w:t xml:space="preserve">The entries most ready for real-world translation are MVES, QIFTF, Pathogen TTX-style preparedness exercises, network-resilience exercises, and portions of Conditional Failure at the Root Level. These are implementable because they can be framed as sensing systems, resilience methods, simulation and tabletop exercises, audit frameworks, or policy products without requiring impossible biology or unresolved cosmology.[^1]</w:t>
      </w:r>
    </w:p>
    <w:p>
      <w:pPr>
        <w:spacing w:line="360" w:after="210" w:lineRule="auto"/>
      </w:pPr>
      <w:r>
        <w:rPr>
          <w:rFonts w:eastAsia="georgia" w:cs="georgia" w:ascii="georgia" w:hAnsi="georgia"/>
          <w:color w:val="000000"/>
        </w:rPr>
        <w:t xml:space="preserve">For these projects, the next deliverables should be straightforward: a one-page problem statement, a stakeholder map, a phased budget, a regulatory/ethics note, success metrics, and a pilot design. MVES should emphasize passive sensing in GPS-denied and zero-visibility environments with explicit privacy-by-design controls; QIFTF should emphasize certification, infrastructure dependency mapping, and pre-quantum fallback testing; and pathogen exercises should stay focused on public-health resilience and resource-allocation decision quality rather than organism design.[</w:t>
      </w:r>
      <w:r>
        <w:rPr>
          <w:rFonts w:eastAsia="georgia" w:cs="georgia" w:ascii="georgia" w:hAnsi="georgia"/>
          <w:color w:val="000000"/>
          <w:vertAlign w:val="superscript"/>
        </w:rPr>
        <w:t xml:space="preserve">23][</w:t>
      </w:r>
      <w:r>
        <w:rPr>
          <w:rFonts w:eastAsia="georgia" w:cs="georgia" w:ascii="georgia" w:hAnsi="georgia"/>
          <w:color w:val="000000"/>
        </w:rPr>
        <w:t xml:space="preserve">4][^1]</w:t>
      </w:r>
    </w:p>
    <w:p>
      <w:pPr>
        <w:spacing w:line="360" w:before="315" w:after="105" w:lineRule="auto"/>
        <w:ind w:left="-30"/>
        <w:jc w:val="left"/>
      </w:pPr>
      <w:bookmarkStart w:id="7" w:name="lane_2_research_platforms_and_pol_d5d2c5"/>
      <w:r>
        <w:rPr>
          <w:rFonts w:eastAsia="georgia" w:cs="georgia" w:ascii="georgia" w:hAnsi="georgia"/>
          <w:b/>
          <w:color w:val="000000"/>
          <w:sz w:val="24"/>
        </w:rPr>
        <w:t xml:space="preserve">Lane 2: Research platforms and policy architectures</w:t>
      </w:r>
      <w:bookmarkEnd w:id="7"/>
    </w:p>
    <w:p>
      <w:pPr>
        <w:spacing w:line="360" w:after="210" w:lineRule="auto"/>
      </w:pPr>
      <w:r>
        <w:rPr>
          <w:rFonts w:eastAsia="georgia" w:cs="georgia" w:ascii="georgia" w:hAnsi="georgia"/>
          <w:color w:val="000000"/>
        </w:rPr>
        <w:t xml:space="preserve">OMNICELLULAR, First Memory, the Accords, Species-Level Informational Access, and the three-currency system fit better as research platforms or governance architectures than as near-term deployable products. OMNICELLULAR can be decomposed into digital-twin biology, multicellular control logic, resilience modeling, and trauma-mitigation research; First Memory can be decomposed into memory encoding theory, cross-substrate representation, and neuro-symbolic transfer ethics; the Accords can be developed as treaty and governance research for transformative technologies.[</w:t>
      </w:r>
      <w:r>
        <w:rPr>
          <w:rFonts w:eastAsia="georgia" w:cs="georgia" w:ascii="georgia" w:hAnsi="georgia"/>
          <w:color w:val="000000"/>
          <w:vertAlign w:val="superscript"/>
        </w:rPr>
        <w:t xml:space="preserve">12][</w:t>
      </w:r>
      <w:r>
        <w:rPr>
          <w:rFonts w:eastAsia="georgia" w:cs="georgia" w:ascii="georgia" w:hAnsi="georgia"/>
          <w:color w:val="000000"/>
        </w:rPr>
        <w:t xml:space="preserve">13][^1]</w:t>
      </w:r>
    </w:p>
    <w:p>
      <w:pPr>
        <w:spacing w:line="360" w:after="210" w:lineRule="auto"/>
      </w:pPr>
      <w:r>
        <w:rPr>
          <w:rFonts w:eastAsia="georgia" w:cs="georgia" w:ascii="georgia" w:hAnsi="georgia"/>
          <w:color w:val="000000"/>
        </w:rPr>
        <w:t xml:space="preserve">These entries need a disciplined boundary between real-world analog and canon-specific claim. The portfolio already starts doing this, especially for First Memory and the Accords, and that should be strengthened rather than weakened. In practical terms, each of these entries should have a paired output: a </w:t>
      </w:r>
      <w:r>
        <w:rPr>
          <w:rFonts w:eastAsia="georgia" w:cs="georgia" w:ascii="georgia" w:hAnsi="georgia"/>
          <w:b/>
          <w:color w:val="000000"/>
        </w:rPr>
        <w:t xml:space="preserve">real-world translation brief</w:t>
      </w:r>
      <w:r>
        <w:rPr>
          <w:rFonts w:eastAsia="georgia" w:cs="georgia" w:ascii="georgia" w:hAnsi="georgia"/>
          <w:color w:val="000000"/>
        </w:rPr>
        <w:t xml:space="preserve"> and a </w:t>
      </w:r>
      <w:r>
        <w:rPr>
          <w:rFonts w:eastAsia="georgia" w:cs="georgia" w:ascii="georgia" w:hAnsi="georgia"/>
          <w:b/>
          <w:color w:val="000000"/>
        </w:rPr>
        <w:t xml:space="preserve">canon rule brief</w:t>
      </w:r>
      <w:r>
        <w:rPr>
          <w:rFonts w:eastAsia="georgia" w:cs="georgia" w:ascii="georgia" w:hAnsi="georgia"/>
          <w:color w:val="000000"/>
        </w:rPr>
        <w:t xml:space="preserve"> so the team never confuses a policy analogy with a literal claim of existing capability.[^1]</w:t>
      </w:r>
    </w:p>
    <w:p>
      <w:pPr>
        <w:spacing w:line="360" w:before="315" w:after="105" w:lineRule="auto"/>
        <w:ind w:left="-30"/>
        <w:jc w:val="left"/>
      </w:pPr>
      <w:bookmarkStart w:id="8" w:name="lane_3_creative_ip_portfolio"/>
      <w:r>
        <w:rPr>
          <w:rFonts w:eastAsia="georgia" w:cs="georgia" w:ascii="georgia" w:hAnsi="georgia"/>
          <w:b/>
          <w:color w:val="000000"/>
          <w:sz w:val="24"/>
        </w:rPr>
        <w:t xml:space="preserve">Lane 3: Creative IP portfolio</w:t>
      </w:r>
      <w:bookmarkEnd w:id="8"/>
    </w:p>
    <w:p>
      <w:pPr>
        <w:spacing w:line="360" w:after="210" w:lineRule="auto"/>
      </w:pPr>
      <w:r>
        <w:rPr>
          <w:rFonts w:eastAsia="georgia" w:cs="georgia" w:ascii="georgia" w:hAnsi="georgia"/>
          <w:color w:val="000000"/>
        </w:rPr>
        <w:t xml:space="preserve">Entries such as THE ONE, THE MINUS ONE, Nullarch, the Gardens, Living Media, Epoch Blades, the Labyrinth, and other cosmological or narrative systems are valuable, but they are not best handled as R&amp;D program proposals. The portfolio’s decision to frame them as IP, publishing, licensing, and worldbuilding assets is correct.[^1]</w:t>
      </w:r>
    </w:p>
    <w:p>
      <w:pPr>
        <w:spacing w:line="360" w:after="210" w:lineRule="auto"/>
      </w:pPr>
      <w:r>
        <w:rPr>
          <w:rFonts w:eastAsia="georgia" w:cs="georgia" w:ascii="georgia" w:hAnsi="georgia"/>
          <w:color w:val="000000"/>
        </w:rPr>
        <w:t xml:space="preserve">The implementation move here is not science funding but portfolio management: story bible completion, continuity audit, licensing risk review, adaptation planning, and contradiction cleanup. The highest-value operational step is to continue treating unresolved cosmological mechanics as author-controlled canon rather than AI-inferred system design.[</w:t>
      </w:r>
      <w:r>
        <w:rPr>
          <w:rFonts w:eastAsia="georgia" w:cs="georgia" w:ascii="georgia" w:hAnsi="georgia"/>
          <w:color w:val="000000"/>
          <w:vertAlign w:val="superscript"/>
        </w:rPr>
        <w:t xml:space="preserve">2][</w:t>
      </w:r>
      <w:r>
        <w:rPr>
          <w:rFonts w:eastAsia="georgia" w:cs="georgia" w:ascii="georgia" w:hAnsi="georgia"/>
          <w:color w:val="000000"/>
        </w:rPr>
        <w:t xml:space="preserve">1]</w:t>
      </w:r>
    </w:p>
    <w:p>
      <w:pPr>
        <w:spacing w:line="360" w:before="315" w:after="105" w:lineRule="auto"/>
        <w:ind w:left="-30"/>
        <w:jc w:val="left"/>
      </w:pPr>
      <w:bookmarkStart w:id="9" w:name="red_team_view_of_the_whole_develo_6a0ba0"/>
      <w:r>
        <w:rPr>
          <w:rFonts w:eastAsia="georgia" w:cs="georgia" w:ascii="georgia" w:hAnsi="georgia"/>
          <w:b/>
          <w:color w:val="000000"/>
          <w:sz w:val="24"/>
        </w:rPr>
        <w:t xml:space="preserve">Red-team view of the whole development track</w:t>
      </w:r>
      <w:bookmarkEnd w:id="9"/>
    </w:p>
    <w:p>
      <w:pPr>
        <w:spacing w:line="360" w:after="210" w:lineRule="auto"/>
      </w:pPr>
      <w:r>
        <w:rPr>
          <w:rFonts w:eastAsia="georgia" w:cs="georgia" w:ascii="georgia" w:hAnsi="georgia"/>
          <w:color w:val="000000"/>
        </w:rPr>
        <w:t xml:space="preserve">From a red-team perspective, the portfolio’s biggest strategic risk is </w:t>
      </w:r>
      <w:r>
        <w:rPr>
          <w:rFonts w:eastAsia="georgia" w:cs="georgia" w:ascii="georgia" w:hAnsi="georgia"/>
          <w:b/>
          <w:color w:val="000000"/>
        </w:rPr>
        <w:t xml:space="preserve">category collapse</w:t>
      </w:r>
      <w:r>
        <w:rPr>
          <w:rFonts w:eastAsia="georgia" w:cs="georgia" w:ascii="georgia" w:hAnsi="georgia"/>
          <w:color w:val="000000"/>
        </w:rPr>
        <w:t xml:space="preserve">: treating fictional apex systems, fundable research platforms, and deployable products as if they are at the same maturity level. If that is not controlled, critics can dismiss the entire portfolio as incoherent even where individual pieces are strong.[^1]</w:t>
      </w:r>
    </w:p>
    <w:p>
      <w:pPr>
        <w:spacing w:line="360" w:after="210" w:lineRule="auto"/>
      </w:pPr>
      <w:r>
        <w:rPr>
          <w:rFonts w:eastAsia="georgia" w:cs="georgia" w:ascii="georgia" w:hAnsi="georgia"/>
          <w:color w:val="000000"/>
        </w:rPr>
        <w:t xml:space="preserve">The second major risk is </w:t>
      </w:r>
      <w:r>
        <w:rPr>
          <w:rFonts w:eastAsia="georgia" w:cs="georgia" w:ascii="georgia" w:hAnsi="georgia"/>
          <w:b/>
          <w:color w:val="000000"/>
        </w:rPr>
        <w:t xml:space="preserve">dependency opacity</w:t>
      </w:r>
      <w:r>
        <w:rPr>
          <w:rFonts w:eastAsia="georgia" w:cs="georgia" w:ascii="georgia" w:hAnsi="georgia"/>
          <w:color w:val="000000"/>
        </w:rPr>
        <w:t xml:space="preserve">. Several entries borrow authority from other undefined systems, especially the Abundance Set, Paragon Cubes, and unresolved governance protocols. Until those dependencies are either defined or ring-fenced, they act as load-bearing ambiguities that can undermine downstream entries like Conditional Failure, First Memory, and research-center infrastructure.[</w:t>
      </w:r>
      <w:r>
        <w:rPr>
          <w:rFonts w:eastAsia="georgia" w:cs="georgia" w:ascii="georgia" w:hAnsi="georgia"/>
          <w:color w:val="000000"/>
          <w:vertAlign w:val="superscript"/>
        </w:rPr>
        <w:t xml:space="preserve">24][</w:t>
      </w:r>
      <w:r>
        <w:rPr>
          <w:rFonts w:eastAsia="georgia" w:cs="georgia" w:ascii="georgia" w:hAnsi="georgia"/>
          <w:color w:val="000000"/>
        </w:rPr>
        <w:t xml:space="preserve">1]</w:t>
      </w:r>
    </w:p>
    <w:p>
      <w:pPr>
        <w:spacing w:line="360" w:after="210" w:lineRule="auto"/>
      </w:pPr>
      <w:r>
        <w:rPr>
          <w:rFonts w:eastAsia="georgia" w:cs="georgia" w:ascii="georgia" w:hAnsi="georgia"/>
          <w:color w:val="000000"/>
        </w:rPr>
        <w:t xml:space="preserve">The third risk is </w:t>
      </w:r>
      <w:r>
        <w:rPr>
          <w:rFonts w:eastAsia="georgia" w:cs="georgia" w:ascii="georgia" w:hAnsi="georgia"/>
          <w:b/>
          <w:color w:val="000000"/>
        </w:rPr>
        <w:t xml:space="preserve">dual-use perception</w:t>
      </w:r>
      <w:r>
        <w:rPr>
          <w:rFonts w:eastAsia="georgia" w:cs="georgia" w:ascii="georgia" w:hAnsi="georgia"/>
          <w:color w:val="000000"/>
        </w:rPr>
        <w:t xml:space="preserve">. Projects tied to bioengineering, neurotechnology, surveillance sensing, cyber defense, and infrastructure-failure mapping will attract legitimate concern if they are not consistently framed around simulation, preparedness, constrained pilots, and governance. The portfolio is aware of this problem and generally handles it well, but future revisions should standardize one ethics format across all Tier 1 entries so no project appears less governed than the others.[</w:t>
      </w:r>
      <w:r>
        <w:rPr>
          <w:rFonts w:eastAsia="georgia" w:cs="georgia" w:ascii="georgia" w:hAnsi="georgia"/>
          <w:color w:val="000000"/>
          <w:vertAlign w:val="superscript"/>
        </w:rPr>
        <w:t xml:space="preserve">10][</w:t>
      </w:r>
      <w:r>
        <w:rPr>
          <w:rFonts w:eastAsia="georgia" w:cs="georgia" w:ascii="georgia" w:hAnsi="georgia"/>
          <w:color w:val="000000"/>
        </w:rPr>
        <w:t xml:space="preserve">23][^1]</w:t>
      </w:r>
    </w:p>
    <w:p>
      <w:pPr>
        <w:spacing w:line="360" w:before="315" w:after="105" w:lineRule="auto"/>
        <w:ind w:left="-30"/>
        <w:jc w:val="left"/>
      </w:pPr>
      <w:bookmarkStart w:id="10" w:name="best_next_steps"/>
      <w:r>
        <w:rPr>
          <w:rFonts w:eastAsia="georgia" w:cs="georgia" w:ascii="georgia" w:hAnsi="georgia"/>
          <w:b/>
          <w:color w:val="000000"/>
          <w:sz w:val="24"/>
        </w:rPr>
        <w:t xml:space="preserve">Best next steps</w:t>
      </w:r>
      <w:bookmarkEnd w:id="10"/>
    </w:p>
    <w:p>
      <w:pPr>
        <w:spacing w:line="360" w:after="210" w:lineRule="auto"/>
      </w:pPr>
      <w:r>
        <w:rPr>
          <w:rFonts w:eastAsia="georgia" w:cs="georgia" w:ascii="georgia" w:hAnsi="georgia"/>
          <w:color w:val="000000"/>
        </w:rPr>
        <w:t xml:space="preserve">The best next move is to convert the existing portfolio into a </w:t>
      </w:r>
      <w:r>
        <w:rPr>
          <w:rFonts w:eastAsia="georgia" w:cs="georgia" w:ascii="georgia" w:hAnsi="georgia"/>
          <w:b/>
          <w:color w:val="000000"/>
        </w:rPr>
        <w:t xml:space="preserve">program management layer</w:t>
      </w:r>
      <w:r>
        <w:rPr>
          <w:rFonts w:eastAsia="georgia" w:cs="georgia" w:ascii="georgia" w:hAnsi="georgia"/>
          <w:color w:val="000000"/>
        </w:rPr>
        <w:t xml:space="preserve"> rather than starting another narrative synthesis. That means adding five fields to every active Tier 1 entry: maturity class, dependency blockers, next 90-day deliverable, funding target owner, and implementation status.[^1]</w:t>
      </w:r>
    </w:p>
    <w:p>
      <w:pPr>
        <w:spacing w:line="360" w:after="210" w:lineRule="auto"/>
      </w:pPr>
      <w:r>
        <w:rPr>
          <w:rFonts w:eastAsia="georgia" w:cs="georgia" w:ascii="georgia" w:hAnsi="georgia"/>
          <w:color w:val="000000"/>
        </w:rPr>
        <w:t xml:space="preserve">The first five entries to operationalize should be MVES, QIFTF, Conditional Failure at the Root Level, the Accords policy track, and the OMNICELLULAR research track. That sequence works because it starts with projects that can produce tangible outputs soon while still building the governance and resilience backbone needed for more speculative systems.[</w:t>
      </w:r>
      <w:r>
        <w:rPr>
          <w:rFonts w:eastAsia="georgia" w:cs="georgia" w:ascii="georgia" w:hAnsi="georgia"/>
          <w:color w:val="000000"/>
          <w:vertAlign w:val="superscript"/>
        </w:rPr>
        <w:t xml:space="preserve">17][</w:t>
      </w:r>
      <w:r>
        <w:rPr>
          <w:rFonts w:eastAsia="georgia" w:cs="georgia" w:ascii="georgia" w:hAnsi="georgia"/>
          <w:color w:val="000000"/>
        </w:rPr>
        <w:t xml:space="preserve">14][^1]</w:t>
      </w:r>
    </w:p>
    <w:p>
      <w:pPr>
        <w:spacing w:line="360" w:after="210" w:lineRule="auto"/>
      </w:pPr>
      <w:r>
        <w:rPr>
          <w:rFonts w:eastAsia="georgia" w:cs="georgia" w:ascii="georgia" w:hAnsi="georgia"/>
          <w:color w:val="000000"/>
        </w:rPr>
        <w:t xml:space="preserve">The best governance change is to formalize a portfolio rule: no entry advances to “implementation-ready” unless its Architect-only blockers, external analog, ethics posture, and red-team failure conditions are all explicitly recorded. That would make the portfolio not just readable, but executable.[</w:t>
      </w:r>
      <w:r>
        <w:rPr>
          <w:rFonts w:eastAsia="georgia" w:cs="georgia" w:ascii="georgia" w:hAnsi="georgia"/>
          <w:color w:val="000000"/>
          <w:vertAlign w:val="superscript"/>
        </w:rPr>
        <w:t xml:space="preserve">2][</w:t>
      </w:r>
      <w:r>
        <w:rPr>
          <w:rFonts w:eastAsia="georgia" w:cs="georgia" w:ascii="georgia" w:hAnsi="georgia"/>
          <w:color w:val="000000"/>
        </w:rPr>
        <w:t xml:space="preserve">1]</w:t>
      </w:r>
    </w:p>
    <w:p>
      <w:pPr>
        <w:spacing w:line="360" w:before="315" w:after="105" w:lineRule="auto"/>
        <w:ind w:left="-30"/>
        <w:jc w:val="left"/>
      </w:pPr>
      <w:bookmarkStart w:id="11" w:name="direct_answer"/>
      <w:r>
        <w:rPr>
          <w:rFonts w:eastAsia="georgia" w:cs="georgia" w:ascii="georgia" w:hAnsi="georgia"/>
          <w:b/>
          <w:color w:val="000000"/>
          <w:sz w:val="24"/>
        </w:rPr>
        <w:t xml:space="preserve">Direct answer</w:t>
      </w:r>
      <w:bookmarkEnd w:id="11"/>
    </w:p>
    <w:p>
      <w:pPr>
        <w:spacing w:line="360" w:after="210" w:lineRule="auto"/>
      </w:pPr>
      <w:r>
        <w:rPr>
          <w:rFonts w:eastAsia="georgia" w:cs="georgia" w:ascii="georgia" w:hAnsi="georgia"/>
          <w:color w:val="000000"/>
        </w:rPr>
        <w:t xml:space="preserve">Yes—this is something that can be helped with, and the attached portfolio is already a strong foundation. The clearest judgment is that the work is </w:t>
      </w:r>
      <w:r>
        <w:rPr>
          <w:rFonts w:eastAsia="georgia" w:cs="georgia" w:ascii="georgia" w:hAnsi="georgia"/>
          <w:b/>
          <w:color w:val="000000"/>
        </w:rPr>
        <w:t xml:space="preserve">supportive in part, implementable in part, and speculative in part</w:t>
      </w:r>
      <w:r>
        <w:rPr>
          <w:rFonts w:eastAsia="georgia" w:cs="georgia" w:ascii="georgia" w:hAnsi="georgia"/>
          <w:color w:val="000000"/>
        </w:rPr>
        <w:t xml:space="preserve">: several Tier 1 entries are credible candidates for real-world research, policy, sensing, resilience, and preparedness work, while others should remain in research-platform or creative-IP lanes until their core blockers are resolved.[</w:t>
      </w:r>
      <w:r>
        <w:rPr>
          <w:rFonts w:eastAsia="georgia" w:cs="georgia" w:ascii="georgia" w:hAnsi="georgia"/>
          <w:color w:val="000000"/>
          <w:vertAlign w:val="superscript"/>
        </w:rPr>
        <w:t xml:space="preserve">10][</w:t>
      </w:r>
      <w:r>
        <w:rPr>
          <w:rFonts w:eastAsia="georgia" w:cs="georgia" w:ascii="georgia" w:hAnsi="georgia"/>
          <w:color w:val="000000"/>
        </w:rPr>
        <w:t xml:space="preserve">23][^1]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references"/>
      <w:r>
        <w:rPr>
          <w:rFonts w:eastAsia="georgia" w:cs="georgia" w:ascii="georgia" w:hAnsi="georgia"/>
          <w:b/>
          <w:color w:val="000000"/>
          <w:sz w:val="24"/>
        </w:rPr>
        <w:t xml:space="preserve">References</w:t>
      </w:r>
      <w:bookmarkEnd w:id="12"/>
    </w:p>
    <w:p>
      <w:pPr>
        <w:numPr>
          <w:ilvl w:val="0"/>
          <w:numId w:val="1"/>
        </w:numPr>
        <w:spacing w:line="360" w:after="210" w:lineRule="auto"/>
      </w:pPr>
      <w:hyperlink r:id="rId5">
        <w:r>
          <w:rPr>
            <w:rFonts w:eastAsia="helvetica neue" w:cs="helvetica neue" w:ascii="helvetica neue" w:hAnsi="helvetica neue"/>
            <w:color w:val="#000"/>
            <w:sz w:val="21"/>
            <w:u w:val="single"/>
          </w:rPr>
          <w:t xml:space="preserve">OAL_Master_Portfolio_v1_0.docx</w:t>
        </w:r>
      </w:hyperlink>
      <w:r>
        <w:rPr>
          <w:rFonts w:eastAsia="georgia" w:cs="georgia" w:ascii="georgia" w:hAnsi="georgia"/>
          <w:color w:val="000000"/>
          <w:sz w:val="21"/>
        </w:rPr>
        <w:t xml:space="preserve"> - OMNIVERSAL ARCHITECT LABS Lewis Corp ONE Industries MASTER PROJECT PORTFOLIO Purpose Mission Justifi...</w:t>
      </w:r>
    </w:p>
    <w:p>
      <w:pPr>
        <w:numPr>
          <w:ilvl w:val="0"/>
          <w:numId w:val="1"/>
        </w:numPr>
        <w:spacing w:line="360" w:after="210" w:lineRule="auto"/>
      </w:pPr>
      <w:hyperlink r:id="rId6">
        <w:r>
          <w:rPr>
            <w:rFonts w:eastAsia="helvetica neue" w:cs="helvetica neue" w:ascii="helvetica neue" w:hAnsi="helvetica neue"/>
            <w:color w:val="#000"/>
            <w:sz w:val="21"/>
            <w:u w:val="single"/>
          </w:rPr>
          <w:t xml:space="preserve">Master_Development_ChangeLog_AuthorReference-1.md</w:t>
        </w:r>
      </w:hyperlink>
      <w:r>
        <w:rPr>
          <w:rFonts w:eastAsia="georgia" w:cs="georgia" w:ascii="georgia" w:hAnsi="georgia"/>
          <w:color w:val="000000"/>
          <w:sz w:val="21"/>
        </w:rPr>
        <w:t xml:space="preserve"> - Document Version 1.0 Last Updated March 6, 2026 Status Living Document Evolve as Needed Format Canon...</w:t>
      </w:r>
    </w:p>
    <w:p>
      <w:pPr>
        <w:numPr>
          <w:ilvl w:val="0"/>
          <w:numId w:val="1"/>
        </w:numPr>
        <w:spacing w:line="360" w:after="210" w:lineRule="auto"/>
      </w:pPr>
      <w:hyperlink r:id="rId7">
        <w:r>
          <w:rPr>
            <w:rFonts w:eastAsia="helvetica neue" w:cs="helvetica neue" w:ascii="helvetica neue" w:hAnsi="helvetica neue"/>
            <w:color w:val="#000"/>
            <w:sz w:val="21"/>
            <w:u w:val="single"/>
          </w:rPr>
          <w:t xml:space="preserve">Master_Development_ChangeLog_AuthorReference-2.md</w:t>
        </w:r>
      </w:hyperlink>
      <w:r>
        <w:rPr>
          <w:rFonts w:eastAsia="georgia" w:cs="georgia" w:ascii="georgia" w:hAnsi="georgia"/>
          <w:color w:val="000000"/>
          <w:sz w:val="21"/>
        </w:rPr>
        <w:t xml:space="preserve"> - Document Version 1.0 Last Updated March 6, 2026 Status Living Document Evolve as Needed Format Canon...</w:t>
      </w:r>
    </w:p>
    <w:p>
      <w:pPr>
        <w:numPr>
          <w:ilvl w:val="0"/>
          <w:numId w:val="1"/>
        </w:numPr>
        <w:spacing w:line="360" w:after="210" w:lineRule="auto"/>
      </w:pPr>
      <w:hyperlink r:id="rId8">
        <w:r>
          <w:rPr>
            <w:rFonts w:eastAsia="helvetica neue" w:cs="helvetica neue" w:ascii="helvetica neue" w:hAnsi="helvetica neue"/>
            <w:color w:val="#000"/>
            <w:sz w:val="21"/>
            <w:u w:val="single"/>
          </w:rPr>
          <w:t xml:space="preserve">Army Tests New Acoustic Threat Detection System | Military.com</w:t>
        </w:r>
      </w:hyperlink>
      <w:r>
        <w:rPr>
          <w:rFonts w:eastAsia="georgia" w:cs="georgia" w:ascii="georgia" w:hAnsi="georgia"/>
          <w:color w:val="000000"/>
          <w:sz w:val="21"/>
        </w:rPr>
        <w:t xml:space="preserve"> - The U.S. Army is experimenting with acoustic threat detection systems to help soldiers in combat zon...</w:t>
      </w:r>
    </w:p>
    <w:p>
      <w:pPr>
        <w:numPr>
          <w:ilvl w:val="0"/>
          <w:numId w:val="1"/>
        </w:numPr>
        <w:spacing w:line="360" w:after="210" w:lineRule="auto"/>
      </w:pPr>
      <w:hyperlink r:id="rId9">
        <w:r>
          <w:rPr>
            <w:rFonts w:eastAsia="helvetica neue" w:cs="helvetica neue" w:ascii="helvetica neue" w:hAnsi="helvetica neue"/>
            <w:color w:val="#000"/>
            <w:sz w:val="21"/>
            <w:u w:val="single"/>
          </w:rPr>
          <w:t xml:space="preserve">For the first time, Army sensors can detect aircraft damage as it occurs</w:t>
        </w:r>
      </w:hyperlink>
      <w:r>
        <w:rPr>
          <w:rFonts w:eastAsia="georgia" w:cs="georgia" w:ascii="georgia" w:hAnsi="georgia"/>
          <w:color w:val="000000"/>
          <w:sz w:val="21"/>
        </w:rPr>
        <w:t xml:space="preserve"> - -- For the first time ever, a team of researchers successfully developed and tested networked acoust...</w:t>
      </w:r>
    </w:p>
    <w:p>
      <w:pPr>
        <w:numPr>
          <w:ilvl w:val="0"/>
          <w:numId w:val="1"/>
        </w:numPr>
        <w:spacing w:line="360" w:after="210" w:lineRule="auto"/>
      </w:pPr>
      <w:hyperlink r:id="rId10">
        <w:r>
          <w:rPr>
            <w:rFonts w:eastAsia="helvetica neue" w:cs="helvetica neue" w:ascii="helvetica neue" w:hAnsi="helvetica neue"/>
            <w:color w:val="#000"/>
            <w:sz w:val="21"/>
            <w:u w:val="single"/>
          </w:rPr>
          <w:t xml:space="preserve">2025 DEVCOM ARL Summer Student Experience: Acoustic and ...</w:t>
        </w:r>
      </w:hyperlink>
      <w:r>
        <w:rPr>
          <w:rFonts w:eastAsia="georgia" w:cs="georgia" w:ascii="georgia" w:hAnsi="georgia"/>
          <w:color w:val="000000"/>
          <w:sz w:val="21"/>
        </w:rPr>
        <w:t xml:space="preserve"> - 2025 DEVCOM ARL Summer Student Experience: Acoustic and Seismic Sensing and Signal Processing. Warni...</w:t>
      </w:r>
    </w:p>
    <w:p>
      <w:pPr>
        <w:numPr>
          <w:ilvl w:val="0"/>
          <w:numId w:val="1"/>
        </w:numPr>
        <w:spacing w:line="360" w:after="210" w:lineRule="auto"/>
      </w:pPr>
      <w:hyperlink r:id="rId11">
        <w:r>
          <w:rPr>
            <w:rFonts w:eastAsia="helvetica neue" w:cs="helvetica neue" w:ascii="helvetica neue" w:hAnsi="helvetica neue"/>
            <w:color w:val="#000"/>
            <w:sz w:val="21"/>
            <w:u w:val="single"/>
          </w:rPr>
          <w:t xml:space="preserve">State of the post-quantum Internet in 2025</w:t>
        </w:r>
      </w:hyperlink>
      <w:r>
        <w:rPr>
          <w:rFonts w:eastAsia="georgia" w:cs="georgia" w:ascii="georgia" w:hAnsi="georgia"/>
          <w:color w:val="000000"/>
          <w:sz w:val="21"/>
        </w:rPr>
        <w:t xml:space="preserve"> - Today over half of human-initiated traffic with Cloudflare is protected against harvest-now/decrypt-...</w:t>
      </w:r>
    </w:p>
    <w:p>
      <w:pPr>
        <w:numPr>
          <w:ilvl w:val="0"/>
          <w:numId w:val="1"/>
        </w:numPr>
        <w:spacing w:line="360" w:after="210" w:lineRule="auto"/>
      </w:pPr>
      <w:hyperlink r:id="rId12">
        <w:r>
          <w:rPr>
            <w:rFonts w:eastAsia="helvetica neue" w:cs="helvetica neue" w:ascii="helvetica neue" w:hAnsi="helvetica neue"/>
            <w:color w:val="#000"/>
            <w:sz w:val="21"/>
            <w:u w:val="single"/>
          </w:rPr>
          <w:t xml:space="preserve">Timelines for migration to post-quantum cryptography - NCSC.GOV.UK</w:t>
        </w:r>
      </w:hyperlink>
      <w:r>
        <w:rPr>
          <w:rFonts w:eastAsia="georgia" w:cs="georgia" w:ascii="georgia" w:hAnsi="georgia"/>
          <w:color w:val="000000"/>
          <w:sz w:val="21"/>
        </w:rPr>
        <w:t xml:space="preserve"> - Activities which organisations must carry out to migrate safely to post-quantum cryptography in the ...</w:t>
      </w:r>
    </w:p>
    <w:p>
      <w:pPr>
        <w:numPr>
          <w:ilvl w:val="0"/>
          <w:numId w:val="1"/>
        </w:numPr>
        <w:spacing w:line="360" w:after="210" w:lineRule="auto"/>
      </w:pPr>
      <w:hyperlink r:id="rId13">
        <w:r>
          <w:rPr>
            <w:rFonts w:eastAsia="helvetica neue" w:cs="helvetica neue" w:ascii="helvetica neue" w:hAnsi="helvetica neue"/>
            <w:color w:val="#000"/>
            <w:sz w:val="21"/>
            <w:u w:val="single"/>
          </w:rPr>
          <w:t xml:space="preserve">Biological Technologies Office (DARPA) - Wikipedia</w:t>
        </w:r>
      </w:hyperlink>
    </w:p>
    <w:p>
      <w:pPr>
        <w:numPr>
          <w:ilvl w:val="0"/>
          <w:numId w:val="1"/>
        </w:numPr>
        <w:spacing w:line="360" w:after="210" w:lineRule="auto"/>
      </w:pPr>
      <w:hyperlink r:id="rId14">
        <w:r>
          <w:rPr>
            <w:rFonts w:eastAsia="helvetica neue" w:cs="helvetica neue" w:ascii="helvetica neue" w:hAnsi="helvetica neue"/>
            <w:color w:val="#000"/>
            <w:sz w:val="21"/>
            <w:u w:val="single"/>
          </w:rPr>
          <w:t xml:space="preserve">Innovation in Biotechnology</w:t>
        </w:r>
      </w:hyperlink>
      <w:r>
        <w:rPr>
          <w:rFonts w:eastAsia="georgia" w:cs="georgia" w:ascii="georgia" w:hAnsi="georgia"/>
          <w:color w:val="000000"/>
          <w:sz w:val="21"/>
        </w:rPr>
        <w:t xml:space="preserve"> - The mission of the Biological Technologies Office (BTO) is to foster, demonstrate, and transition br...</w:t>
      </w:r>
    </w:p>
    <w:p>
      <w:pPr>
        <w:numPr>
          <w:ilvl w:val="0"/>
          <w:numId w:val="1"/>
        </w:numPr>
        <w:spacing w:line="360" w:after="210" w:lineRule="auto"/>
      </w:pPr>
      <w:hyperlink r:id="rId15">
        <w:r>
          <w:rPr>
            <w:rFonts w:eastAsia="helvetica neue" w:cs="helvetica neue" w:ascii="helvetica neue" w:hAnsi="helvetica neue"/>
            <w:color w:val="#000"/>
            <w:sz w:val="21"/>
            <w:u w:val="single"/>
          </w:rPr>
          <w:t xml:space="preserve">BRAIN Initiative: New Concepts and Early-Stage Research for ...</w:t>
        </w:r>
      </w:hyperlink>
      <w:r>
        <w:rPr>
          <w:rFonts w:eastAsia="georgia" w:cs="georgia" w:ascii="georgia" w:hAnsi="georgia"/>
          <w:color w:val="000000"/>
          <w:sz w:val="21"/>
        </w:rPr>
        <w:t xml:space="preserve"> - The National Institutes of Health (NIH) is offering a funding opportunity under the BRAIN Initiative...</w:t>
      </w:r>
    </w:p>
    <w:p>
      <w:pPr>
        <w:numPr>
          <w:ilvl w:val="0"/>
          <w:numId w:val="1"/>
        </w:numPr>
        <w:spacing w:line="360" w:after="210" w:lineRule="auto"/>
      </w:pPr>
      <w:hyperlink r:id="rId16">
        <w:r>
          <w:rPr>
            <w:rFonts w:eastAsia="helvetica neue" w:cs="helvetica neue" w:ascii="helvetica neue" w:hAnsi="helvetica neue"/>
            <w:color w:val="#000"/>
            <w:sz w:val="21"/>
            <w:u w:val="single"/>
          </w:rPr>
          <w:t xml:space="preserve">The Brain Research Through Advancing Innovative ...</w:t>
        </w:r>
      </w:hyperlink>
      <w:r>
        <w:rPr>
          <w:rFonts w:eastAsia="georgia" w:cs="georgia" w:ascii="georgia" w:hAnsi="georgia"/>
          <w:color w:val="000000"/>
          <w:sz w:val="21"/>
        </w:rPr>
        <w:t xml:space="preserve"> - The BRAIN Initiative is laying the foundation for developing novel treatments and interventions for ...</w:t>
      </w:r>
    </w:p>
    <w:p>
      <w:pPr>
        <w:numPr>
          <w:ilvl w:val="0"/>
          <w:numId w:val="1"/>
        </w:numPr>
        <w:spacing w:line="360" w:after="210" w:lineRule="auto"/>
      </w:pPr>
      <w:hyperlink r:id="rId17">
        <w:r>
          <w:rPr>
            <w:rFonts w:eastAsia="helvetica neue" w:cs="helvetica neue" w:ascii="helvetica neue" w:hAnsi="helvetica neue"/>
            <w:color w:val="#000"/>
            <w:sz w:val="21"/>
            <w:u w:val="single"/>
          </w:rPr>
          <w:t xml:space="preserve">National Institutes of Health - The BRAIN Initiative Alliance</w:t>
        </w:r>
      </w:hyperlink>
      <w:r>
        <w:rPr>
          <w:rFonts w:eastAsia="georgia" w:cs="georgia" w:ascii="georgia" w:hAnsi="georgia"/>
          <w:color w:val="000000"/>
          <w:sz w:val="21"/>
        </w:rPr>
        <w:t xml:space="preserve"> - The NIH component of the BRAIN Initiative is guided by its long-term scientific plan, BRAIN 2025: A ...</w:t>
      </w:r>
    </w:p>
    <w:p>
      <w:pPr>
        <w:numPr>
          <w:ilvl w:val="0"/>
          <w:numId w:val="1"/>
        </w:numPr>
        <w:spacing w:line="360" w:after="210" w:lineRule="auto"/>
      </w:pPr>
      <w:hyperlink r:id="rId18">
        <w:r>
          <w:rPr>
            <w:rFonts w:eastAsia="helvetica neue" w:cs="helvetica neue" w:ascii="helvetica neue" w:hAnsi="helvetica neue"/>
            <w:color w:val="#000"/>
            <w:sz w:val="21"/>
            <w:u w:val="single"/>
          </w:rPr>
          <w:t xml:space="preserve">NSF Quantum Leap Challenge Institutes</w:t>
        </w:r>
      </w:hyperlink>
      <w:r>
        <w:rPr>
          <w:rFonts w:eastAsia="georgia" w:cs="georgia" w:ascii="georgia" w:hAnsi="georgia"/>
          <w:color w:val="000000"/>
          <w:sz w:val="21"/>
        </w:rPr>
        <w:t xml:space="preserve"> - The U.S. National Science Foundation Quantum Leap Challenge Institutes (NSF QLCI) are large-scale in...</w:t>
      </w:r>
    </w:p>
    <w:p>
      <w:pPr>
        <w:numPr>
          <w:ilvl w:val="0"/>
          <w:numId w:val="1"/>
        </w:numPr>
        <w:spacing w:line="360" w:after="210" w:lineRule="auto"/>
      </w:pPr>
      <w:hyperlink r:id="rId19">
        <w:r>
          <w:rPr>
            <w:rFonts w:eastAsia="helvetica neue" w:cs="helvetica neue" w:ascii="helvetica neue" w:hAnsi="helvetica neue"/>
            <w:color w:val="#000"/>
            <w:sz w:val="21"/>
            <w:u w:val="single"/>
          </w:rPr>
          <w:t xml:space="preserve">New QLCI Solicitation from NSF</w:t>
        </w:r>
      </w:hyperlink>
      <w:r>
        <w:rPr>
          <w:rFonts w:eastAsia="georgia" w:cs="georgia" w:ascii="georgia" w:hAnsi="georgia"/>
          <w:color w:val="000000"/>
          <w:sz w:val="21"/>
        </w:rPr>
        <w:t xml:space="preserve"> - NSF released an updated solicitation for the next phase of the Quantum Leap Challenge Institutes pro...</w:t>
      </w:r>
    </w:p>
    <w:p>
      <w:pPr>
        <w:numPr>
          <w:ilvl w:val="0"/>
          <w:numId w:val="1"/>
        </w:numPr>
        <w:spacing w:line="360" w:after="210" w:lineRule="auto"/>
      </w:pPr>
      <w:hyperlink r:id="rId20">
        <w:r>
          <w:rPr>
            <w:rFonts w:eastAsia="helvetica neue" w:cs="helvetica neue" w:ascii="helvetica neue" w:hAnsi="helvetica neue"/>
            <w:color w:val="#000"/>
            <w:sz w:val="21"/>
            <w:u w:val="single"/>
          </w:rPr>
          <w:t xml:space="preserve">[PDF] Introduction to the Human Research Program</w:t>
        </w:r>
      </w:hyperlink>
      <w:r>
        <w:rPr>
          <w:rFonts w:eastAsia="georgia" w:cs="georgia" w:ascii="georgia" w:hAnsi="georgia"/>
          <w:color w:val="000000"/>
          <w:sz w:val="21"/>
        </w:rPr>
        <w:t xml:space="preserve"> - NASA's Human Research. Program is dedicated to discovering the methods and technologies to support s...</w:t>
      </w:r>
    </w:p>
    <w:p>
      <w:pPr>
        <w:numPr>
          <w:ilvl w:val="0"/>
          <w:numId w:val="1"/>
        </w:numPr>
        <w:spacing w:line="360" w:after="210" w:lineRule="auto"/>
      </w:pPr>
      <w:hyperlink r:id="rId21">
        <w:r>
          <w:rPr>
            <w:rFonts w:eastAsia="helvetica neue" w:cs="helvetica neue" w:ascii="helvetica neue" w:hAnsi="helvetica neue"/>
            <w:color w:val="#000"/>
            <w:sz w:val="21"/>
            <w:u w:val="single"/>
          </w:rPr>
          <w:t xml:space="preserve">NASA's Human Research Program: Three Steps to Mars</w:t>
        </w:r>
      </w:hyperlink>
      <w:r>
        <w:rPr>
          <w:rFonts w:eastAsia="georgia" w:cs="georgia" w:ascii="georgia" w:hAnsi="georgia"/>
          <w:color w:val="000000"/>
          <w:sz w:val="21"/>
        </w:rPr>
        <w:t xml:space="preserve"> - NASA's Human Research Program, or HRP, conducts research and develops countermeasures for ... Respon...</w:t>
      </w:r>
    </w:p>
    <w:p>
      <w:pPr>
        <w:numPr>
          <w:ilvl w:val="0"/>
          <w:numId w:val="1"/>
        </w:numPr>
        <w:spacing w:line="360" w:after="210" w:lineRule="auto"/>
      </w:pPr>
      <w:hyperlink r:id="rId22">
        <w:r>
          <w:rPr>
            <w:rFonts w:eastAsia="helvetica neue" w:cs="helvetica neue" w:ascii="helvetica neue" w:hAnsi="helvetica neue"/>
            <w:color w:val="#000"/>
            <w:sz w:val="21"/>
            <w:u w:val="single"/>
          </w:rPr>
          <w:t xml:space="preserve">About HRP - NASA</w:t>
        </w:r>
      </w:hyperlink>
      <w:r>
        <w:rPr>
          <w:rFonts w:eastAsia="georgia" w:cs="georgia" w:ascii="georgia" w:hAnsi="georgia"/>
          <w:color w:val="000000"/>
          <w:sz w:val="21"/>
        </w:rPr>
        <w:t xml:space="preserve"> - The Human Research Program (HRP) is dedicated to discovering the best methods and technologies to su...</w:t>
      </w:r>
    </w:p>
    <w:p>
      <w:pPr>
        <w:numPr>
          <w:ilvl w:val="0"/>
          <w:numId w:val="1"/>
        </w:numPr>
        <w:spacing w:line="360" w:after="210" w:lineRule="auto"/>
      </w:pPr>
      <w:hyperlink r:id="rId23">
        <w:r>
          <w:rPr>
            <w:rFonts w:eastAsia="helvetica neue" w:cs="helvetica neue" w:ascii="helvetica neue" w:hAnsi="helvetica neue"/>
            <w:color w:val="#000"/>
            <w:sz w:val="21"/>
            <w:u w:val="single"/>
          </w:rPr>
          <w:t xml:space="preserve">New federal playbook targets cyber grant-funded critical ...</w:t>
        </w:r>
      </w:hyperlink>
      <w:r>
        <w:rPr>
          <w:rFonts w:eastAsia="georgia" w:cs="georgia" w:ascii="georgia" w:hAnsi="georgia"/>
          <w:color w:val="000000"/>
          <w:sz w:val="21"/>
        </w:rPr>
        <w:t xml:space="preserve"> - CISA's last playbook, released over the summer, was also aimed at improving the security of critical...</w:t>
      </w:r>
    </w:p>
    <w:p>
      <w:pPr>
        <w:numPr>
          <w:ilvl w:val="0"/>
          <w:numId w:val="1"/>
        </w:numPr>
        <w:spacing w:line="360" w:after="210" w:lineRule="auto"/>
      </w:pPr>
      <w:hyperlink r:id="rId24">
        <w:r>
          <w:rPr>
            <w:rFonts w:eastAsia="helvetica neue" w:cs="helvetica neue" w:ascii="helvetica neue" w:hAnsi="helvetica neue"/>
            <w:color w:val="#000"/>
            <w:sz w:val="21"/>
            <w:u w:val="single"/>
          </w:rPr>
          <w:t xml:space="preserve">BARDA Funding Guide - EverGlade</w:t>
        </w:r>
      </w:hyperlink>
      <w:r>
        <w:rPr>
          <w:rFonts w:eastAsia="georgia" w:cs="georgia" w:ascii="georgia" w:hAnsi="georgia"/>
          <w:color w:val="000000"/>
          <w:sz w:val="21"/>
        </w:rPr>
        <w:t xml:space="preserve"> - This guide aims to help you through the application process, financial requirements, and technical r...</w:t>
      </w:r>
    </w:p>
    <w:p>
      <w:pPr>
        <w:numPr>
          <w:ilvl w:val="0"/>
          <w:numId w:val="1"/>
        </w:numPr>
        <w:spacing w:line="360" w:after="210" w:lineRule="auto"/>
      </w:pPr>
      <w:hyperlink r:id="rId25">
        <w:r>
          <w:rPr>
            <w:rFonts w:eastAsia="helvetica neue" w:cs="helvetica neue" w:ascii="helvetica neue" w:hAnsi="helvetica neue"/>
            <w:color w:val="#000"/>
            <w:sz w:val="21"/>
            <w:u w:val="single"/>
          </w:rPr>
          <w:t xml:space="preserve">Congress Should Fund the Cybersecurity and Infrastructure Security ...</w:t>
        </w:r>
      </w:hyperlink>
      <w:r>
        <w:rPr>
          <w:rFonts w:eastAsia="georgia" w:cs="georgia" w:ascii="georgia" w:hAnsi="georgia"/>
          <w:color w:val="000000"/>
          <w:sz w:val="21"/>
        </w:rPr>
        <w:t xml:space="preserve"> - Congress should fund CISA's State and Local Cybersecurity Grant Program (SLCGP), which provides fund...</w:t>
      </w:r>
    </w:p>
    <w:p>
      <w:pPr>
        <w:numPr>
          <w:ilvl w:val="0"/>
          <w:numId w:val="1"/>
        </w:numPr>
        <w:spacing w:line="360" w:after="210" w:lineRule="auto"/>
      </w:pPr>
      <w:hyperlink r:id="rId26">
        <w:r>
          <w:rPr>
            <w:rFonts w:eastAsia="helvetica neue" w:cs="helvetica neue" w:ascii="helvetica neue" w:hAnsi="helvetica neue"/>
            <w:color w:val="#000"/>
            <w:sz w:val="21"/>
            <w:u w:val="single"/>
          </w:rPr>
          <w:t xml:space="preserve">CISA 2025 Year in Review focuses on driving security and ...</w:t>
        </w:r>
      </w:hyperlink>
      <w:r>
        <w:rPr>
          <w:rFonts w:eastAsia="georgia" w:cs="georgia" w:ascii="georgia" w:hAnsi="georgia"/>
          <w:color w:val="000000"/>
          <w:sz w:val="21"/>
        </w:rPr>
        <w:t xml:space="preserve"> - The agency reported blocking 2.62 billion malicious connections across federal civilian networks and...</w:t>
      </w:r>
    </w:p>
    <w:p>
      <w:pPr>
        <w:numPr>
          <w:ilvl w:val="0"/>
          <w:numId w:val="1"/>
        </w:numPr>
        <w:spacing w:line="360" w:after="210" w:lineRule="auto"/>
      </w:pPr>
      <w:hyperlink r:id="rId27">
        <w:r>
          <w:rPr>
            <w:rFonts w:eastAsia="helvetica neue" w:cs="helvetica neue" w:ascii="helvetica neue" w:hAnsi="helvetica neue"/>
            <w:color w:val="#000"/>
            <w:sz w:val="21"/>
            <w:u w:val="single"/>
          </w:rPr>
          <w:t xml:space="preserve">Center for the Biomedical Advanced Research and Development ...</w:t>
        </w:r>
      </w:hyperlink>
      <w:r>
        <w:rPr>
          <w:rFonts w:eastAsia="georgia" w:cs="georgia" w:ascii="georgia" w:hAnsi="georgia"/>
          <w:color w:val="000000"/>
          <w:sz w:val="21"/>
        </w:rPr>
        <w:t xml:space="preserve"> - Discover how BARDA strengthens preparedness and response to combat health security threats through a...</w:t>
      </w:r>
    </w:p>
    <w:p>
      <w:pPr>
        <w:numPr>
          <w:ilvl w:val="0"/>
          <w:numId w:val="1"/>
        </w:numPr>
        <w:spacing w:line="360" w:after="210" w:lineRule="auto"/>
      </w:pPr>
      <w:hyperlink r:id="rId28">
        <w:r>
          <w:rPr>
            <w:rFonts w:eastAsia="helvetica neue" w:cs="helvetica neue" w:ascii="helvetica neue" w:hAnsi="helvetica neue"/>
            <w:color w:val="#000"/>
            <w:sz w:val="21"/>
            <w:u w:val="single"/>
          </w:rPr>
          <w:t xml:space="preserve">Master_Development_ChangeLog_Addendum_Paragon_Cubes_and_Living_Media_v1.0.md</w:t>
        </w:r>
      </w:hyperlink>
      <w:r>
        <w:rPr>
          <w:rFonts w:eastAsia="georgia" w:cs="georgia" w:ascii="georgia" w:hAnsi="georgia"/>
          <w:color w:val="000000"/>
          <w:sz w:val="21"/>
        </w:rPr>
        <w:t xml:space="preserve"> - Document ID OAL-CHANGELOG-ADD-PC-RLM-001 Date March 22, 2026 Version v1.0 Status UNDER REVIEW Pendin...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pl-ai-file-upload.s3.amazonaws.com/web/direct-files/attachments/456314/d447674e-104c-4a67-8c13-3750fbef5c0d/OAL_Master_Portfolio_v1_0.docx?AWSAccessKeyId=ASIA2F3EMEYE77LANZ42&amp;Signature=46EzPy1QRp9oMGUe144Av5ETt8Q%3D&amp;x-amz-security-token=IQoJb3JpZ2luX2VjELf%2F%2F%2F%2F%2F%2F%2F%2F%2F%2FwEaCXVzLWVhc3QtMSJGMEQCIGIh4J4NXZqRqE6PV2%2B4c4OT0gjZDGYBJ%2FWty%2Bub2pg9AiAoPSYDuJ8TVJRFpEAQMXGFqdWokFiRgXcUT%2BudiLZR%2Byr8BAiA%2F%2F%2F%2F%2F%2F%2F%2F%2F%2F8BEAEaDDY5OTc1MzMwOTcwNSIMa8lacaFMzp2%2FFKu%2BKtAEFUKRNOK%2FhXVqcrv%2Fjv12ihp5%2FFsNkw5MUi3iTxJsWfK7os89uQ3DslzC00%2BKGULrHOhpuqy2PsiIvdJUmqKVlU7BdX0Kdq86Q7UkjFpQ81KZ3I%2FwIcFTSZgNWlkgKJwhqzYdyiWm7X8FuyX43TxtKVP6FlQ282%2FTQFIYXvKDt05xHIA6414pczNc6ejKgFKR%2BfkZUVYnrV0%2FJul7tlMFZ7Jt2IYGnLfOwlrs06gJPeBCzjaA8CWzgomTX7L1POdraqVZp1F5%2FVH3SuNiMgCqtufMS3CVg7mcAr6P8a0NgtPKJSZZafWAVouudi7urEa8L9OUa74pnBFyBGEazj6i4KMaXtXNmwMeolfP44KkBCFQoanCFTcDddopt%2B%2FbtZr9m7v3JEn1anOBfKuTds2StQiZ1%2FFyazjxevdPoztlHqCTYsYFHgmknYmW%2BlqodVDSX11odSL%2F%2F3ZSaL9SMekntDlId4tpv%2FXls%2F%2BjTY8kc%2FodiErb2yiaw849M3%2FLNzV10ugHaO9qPTiWNgNrRuDJ3p%2FqCkBsN26Kd91q9cJQ5w4uyKTp8pQFk%2FOg%2B5HnCYxNh27LeIstQ6Yb64Vzo6mZpt4vAdt2WnrP8raqmQbUm7rnpEpUaz2jTvs9H0vROZ5pCC%2FdhWb9DfbNyJZNuDwn1mcfiNCt2qkcSPuiWboURFwPtSohseBN%2BIvRzIyhxAE1PecjQgrQFvPxL3MTKRoo06nbJ98lZbsmCBzvvX9URunhPavoeW00Xd0iV%2FBZNYJRLGs73MmvgKfj5dd%2Bh6b3fTDn6vXOBjqZAXeCqruGotOkN96YQRHBdCrBh4qpxgE5UIzxkKjcTOJYCAXWTdHRPybDjXE266uHemhe%2FNPaN73JVfuSy2hqPaF76b2h65kBR8jpT2Yd7jHCwth%2BbF%2FCmNOvjZGOaMUuViDc%2F2RFfi1GZ7wMATeAHDKaM%2FRwWz6gaiAYtj17PAdY6qmCdSYZj7KmcAInqI9UYofmPLQ0cEtGJA%3D%3D&amp;Expires=1776124730" TargetMode="External"/><Relationship Id="rId6" Type="http://schemas.openxmlformats.org/officeDocument/2006/relationships/hyperlink" Target="https://ppl-ai-file-upload.s3.amazonaws.com/web/direct-files/attachments/456314/58328700-23a0-4c29-8cb9-bd7cc07fa7e2/Master_Development_ChangeLog_AuthorReference-1.md?AWSAccessKeyId=ASIA2F3EMEYE77LANZ42&amp;Signature=qWvwt3XcOLdr3NoIIJzra6iOExs%3D&amp;x-amz-security-token=IQoJb3JpZ2luX2VjELf%2F%2F%2F%2F%2F%2F%2F%2F%2F%2FwEaCXVzLWVhc3QtMSJGMEQCIGIh4J4NXZqRqE6PV2%2B4c4OT0gjZDGYBJ%2FWty%2Bub2pg9AiAoPSYDuJ8TVJRFpEAQMXGFqdWokFiRgXcUT%2BudiLZR%2Byr8BAiA%2F%2F%2F%2F%2F%2F%2F%2F%2F%2F8BEAEaDDY5OTc1MzMwOTcwNSIMa8lacaFMzp2%2FFKu%2BKtAEFUKRNOK%2FhXVqcrv%2Fjv12ihp5%2FFsNkw5MUi3iTxJsWfK7os89uQ3DslzC00%2BKGULrHOhpuqy2PsiIvdJUmqKVlU7BdX0Kdq86Q7UkjFpQ81KZ3I%2FwIcFTSZgNWlkgKJwhqzYdyiWm7X8FuyX43TxtKVP6FlQ282%2FTQFIYXvKDt05xHIA6414pczNc6ejKgFKR%2BfkZUVYnrV0%2FJul7tlMFZ7Jt2IYGnLfOwlrs06gJPeBCzjaA8CWzgomTX7L1POdraqVZp1F5%2FVH3SuNiMgCqtufMS3CVg7mcAr6P8a0NgtPKJSZZafWAVouudi7urEa8L9OUa74pnBFyBGEazj6i4KMaXtXNmwMeolfP44KkBCFQoanCFTcDddopt%2B%2FbtZr9m7v3JEn1anOBfKuTds2StQiZ1%2FFyazjxevdPoztlHqCTYsYFHgmknYmW%2BlqodVDSX11odSL%2F%2F3ZSaL9SMekntDlId4tpv%2FXls%2F%2BjTY8kc%2FodiErb2yiaw849M3%2FLNzV10ugHaO9qPTiWNgNrRuDJ3p%2FqCkBsN26Kd91q9cJQ5w4uyKTp8pQFk%2FOg%2B5HnCYxNh27LeIstQ6Yb64Vzo6mZpt4vAdt2WnrP8raqmQbUm7rnpEpUaz2jTvs9H0vROZ5pCC%2FdhWb9DfbNyJZNuDwn1mcfiNCt2qkcSPuiWboURFwPtSohseBN%2BIvRzIyhxAE1PecjQgrQFvPxL3MTKRoo06nbJ98lZbsmCBzvvX9URunhPavoeW00Xd0iV%2FBZNYJRLGs73MmvgKfj5dd%2Bh6b3fTDn6vXOBjqZAXeCqruGotOkN96YQRHBdCrBh4qpxgE5UIzxkKjcTOJYCAXWTdHRPybDjXE266uHemhe%2FNPaN73JVfuSy2hqPaF76b2h65kBR8jpT2Yd7jHCwth%2BbF%2FCmNOvjZGOaMUuViDc%2F2RFfi1GZ7wMATeAHDKaM%2FRwWz6gaiAYtj17PAdY6qmCdSYZj7KmcAInqI9UYofmPLQ0cEtGJA%3D%3D&amp;Expires=1776124730" TargetMode="External"/><Relationship Id="rId7" Type="http://schemas.openxmlformats.org/officeDocument/2006/relationships/hyperlink" Target="https://ppl-ai-file-upload.s3.amazonaws.com/web/direct-files/attachments/456314/95a84b8b-d487-4c53-b539-48b4a6c3f895/Master_Development_ChangeLog_AuthorReference-2.md?AWSAccessKeyId=ASIA2F3EMEYE77LANZ42&amp;Signature=xmJ9BV%2BlElKcZ2bYR3mEtavTbbQ%3D&amp;x-amz-security-token=IQoJb3JpZ2luX2VjELf%2F%2F%2F%2F%2F%2F%2F%2F%2F%2FwEaCXVzLWVhc3QtMSJGMEQCIGIh4J4NXZqRqE6PV2%2B4c4OT0gjZDGYBJ%2FWty%2Bub2pg9AiAoPSYDuJ8TVJRFpEAQMXGFqdWokFiRgXcUT%2BudiLZR%2Byr8BAiA%2F%2F%2F%2F%2F%2F%2F%2F%2F%2F8BEAEaDDY5OTc1MzMwOTcwNSIMa8lacaFMzp2%2FFKu%2BKtAEFUKRNOK%2FhXVqcrv%2Fjv12ihp5%2FFsNkw5MUi3iTxJsWfK7os89uQ3DslzC00%2BKGULrHOhpuqy2PsiIvdJUmqKVlU7BdX0Kdq86Q7UkjFpQ81KZ3I%2FwIcFTSZgNWlkgKJwhqzYdyiWm7X8FuyX43TxtKVP6FlQ282%2FTQFIYXvKDt05xHIA6414pczNc6ejKgFKR%2BfkZUVYnrV0%2FJul7tlMFZ7Jt2IYGnLfOwlrs06gJPeBCzjaA8CWzgomTX7L1POdraqVZp1F5%2FVH3SuNiMgCqtufMS3CVg7mcAr6P8a0NgtPKJSZZafWAVouudi7urEa8L9OUa74pnBFyBGEazj6i4KMaXtXNmwMeolfP44KkBCFQoanCFTcDddopt%2B%2FbtZr9m7v3JEn1anOBfKuTds2StQiZ1%2FFyazjxevdPoztlHqCTYsYFHgmknYmW%2BlqodVDSX11odSL%2F%2F3ZSaL9SMekntDlId4tpv%2FXls%2F%2BjTY8kc%2FodiErb2yiaw849M3%2FLNzV10ugHaO9qPTiWNgNrRuDJ3p%2FqCkBsN26Kd91q9cJQ5w4uyKTp8pQFk%2FOg%2B5HnCYxNh27LeIstQ6Yb64Vzo6mZpt4vAdt2WnrP8raqmQbUm7rnpEpUaz2jTvs9H0vROZ5pCC%2FdhWb9DfbNyJZNuDwn1mcfiNCt2qkcSPuiWboURFwPtSohseBN%2BIvRzIyhxAE1PecjQgrQFvPxL3MTKRoo06nbJ98lZbsmCBzvvX9URunhPavoeW00Xd0iV%2FBZNYJRLGs73MmvgKfj5dd%2Bh6b3fTDn6vXOBjqZAXeCqruGotOkN96YQRHBdCrBh4qpxgE5UIzxkKjcTOJYCAXWTdHRPybDjXE266uHemhe%2FNPaN73JVfuSy2hqPaF76b2h65kBR8jpT2Yd7jHCwth%2BbF%2FCmNOvjZGOaMUuViDc%2F2RFfi1GZ7wMATeAHDKaM%2FRwWz6gaiAYtj17PAdY6qmCdSYZj7KmcAInqI9UYofmPLQ0cEtGJA%3D%3D&amp;Expires=1776124730" TargetMode="External"/><Relationship Id="rId8" Type="http://schemas.openxmlformats.org/officeDocument/2006/relationships/hyperlink" Target="https://www.military.com/defensetech/2015/05/20/army-tests-new-acoustic-threat-detection-system" TargetMode="External"/><Relationship Id="rId9" Type="http://schemas.openxmlformats.org/officeDocument/2006/relationships/hyperlink" Target="https://www.army.mil/article/196971/for_the_first_time_army_sensors_can_detect_aircraft_damage_as_it_occurs" TargetMode="External"/><Relationship Id="rId10" Type="http://schemas.openxmlformats.org/officeDocument/2006/relationships/hyperlink" Target="https://www.zintellect.com/Opportunity/Details/ARL-SSE-2025-PEQS-0001" TargetMode="External"/><Relationship Id="rId11" Type="http://schemas.openxmlformats.org/officeDocument/2006/relationships/hyperlink" Target="https://blog.cloudflare.com/pq-2025/" TargetMode="External"/><Relationship Id="rId12" Type="http://schemas.openxmlformats.org/officeDocument/2006/relationships/hyperlink" Target="https://www.ncsc.gov.uk/guidance/pqc-migration-timelines" TargetMode="External"/><Relationship Id="rId13" Type="http://schemas.openxmlformats.org/officeDocument/2006/relationships/hyperlink" Target="https://en.wikipedia.org/wiki/Biological_Technologies_Office_(DARPA)" TargetMode="External"/><Relationship Id="rId14" Type="http://schemas.openxmlformats.org/officeDocument/2006/relationships/hyperlink" Target="https://www.darpa.mil/about/offices/bto/innovation" TargetMode="External"/><Relationship Id="rId15" Type="http://schemas.openxmlformats.org/officeDocument/2006/relationships/hyperlink" Target="https://console.sweetspotgov.com/federal-grants/cffa9640-74cc-5565-93fc-d05ec9c28ea0" TargetMode="External"/><Relationship Id="rId16" Type="http://schemas.openxmlformats.org/officeDocument/2006/relationships/hyperlink" Target="https://www.nimh.nih.gov/research/research-funded-by-nimh/research-initiatives/the-brain-research-through-advancing-innovative-neurotechnologiesr-brain-initiative" TargetMode="External"/><Relationship Id="rId17" Type="http://schemas.openxmlformats.org/officeDocument/2006/relationships/hyperlink" Target="https://www.braininitiative.org/alliance/national-institutes-of-health/" TargetMode="External"/><Relationship Id="rId18" Type="http://schemas.openxmlformats.org/officeDocument/2006/relationships/hyperlink" Target="https://www.nsf.gov/mps/osi/quantum-leap-challenge-institutes" TargetMode="External"/><Relationship Id="rId19" Type="http://schemas.openxmlformats.org/officeDocument/2006/relationships/hyperlink" Target="https://www.quantum.gov/new-qlci-solicitation-from-nsf/" TargetMode="External"/><Relationship Id="rId20" Type="http://schemas.openxmlformats.org/officeDocument/2006/relationships/hyperlink" Target="https://ntrs.nasa.gov/api/citations/20240013142/downloads/Platts%20Maine%202024%20final.pdf" TargetMode="External"/><Relationship Id="rId21" Type="http://schemas.openxmlformats.org/officeDocument/2006/relationships/hyperlink" Target="https://www.nasa.gov/humans-in-space/nasas-human-research-program-three-steps-to-mars/" TargetMode="External"/><Relationship Id="rId22" Type="http://schemas.openxmlformats.org/officeDocument/2006/relationships/hyperlink" Target="https://www.nasa.gov/hrp/about-hrp/" TargetMode="External"/><Relationship Id="rId23" Type="http://schemas.openxmlformats.org/officeDocument/2006/relationships/hyperlink" Target="https://statescoop.com/cisa-cybersecurity-grant-critical-infrastructure-projects/" TargetMode="External"/><Relationship Id="rId24" Type="http://schemas.openxmlformats.org/officeDocument/2006/relationships/hyperlink" Target="https://everglade.com/guide-to-barda-funding/" TargetMode="External"/><Relationship Id="rId25" Type="http://schemas.openxmlformats.org/officeDocument/2006/relationships/hyperlink" Target="https://itif.org/publications/2025/04/30/congress-should-fund-cisa-to-strengthen-americas-cyber-backbone/" TargetMode="External"/><Relationship Id="rId26" Type="http://schemas.openxmlformats.org/officeDocument/2006/relationships/hyperlink" Target="https://industrialcyber.co/cisa/cisa-2025-year-in-review-focuses-on-driving-security-and-resilience-across-critical-infrastructure/" TargetMode="External"/><Relationship Id="rId27" Type="http://schemas.openxmlformats.org/officeDocument/2006/relationships/hyperlink" Target="https://aspr.hhs.gov/AboutASPR/ProgramOffices/BARDA/Pages/default.aspx" TargetMode="External"/><Relationship Id="rId28" Type="http://schemas.openxmlformats.org/officeDocument/2006/relationships/hyperlink" Target="https://ppl-ai-file-upload.s3.amazonaws.com/web/direct-files/attachments/456314/d41968fa-0ba1-4ef1-a657-98cc6add4f65/Master_Development_ChangeLog_Addendum_Paragon_Cubes_and_Living_Media_v1.0.md?AWSAccessKeyId=ASIA2F3EMEYE77LANZ42&amp;Signature=3RXQEe56z6syy%2F20SSCJhEa3Vl4%3D&amp;x-amz-security-token=IQoJb3JpZ2luX2VjELf%2F%2F%2F%2F%2F%2F%2F%2F%2F%2FwEaCXVzLWVhc3QtMSJGMEQCIGIh4J4NXZqRqE6PV2%2B4c4OT0gjZDGYBJ%2FWty%2Bub2pg9AiAoPSYDuJ8TVJRFpEAQMXGFqdWokFiRgXcUT%2BudiLZR%2Byr8BAiA%2F%2F%2F%2F%2F%2F%2F%2F%2F%2F8BEAEaDDY5OTc1MzMwOTcwNSIMa8lacaFMzp2%2FFKu%2BKtAEFUKRNOK%2FhXVqcrv%2Fjv12ihp5%2FFsNkw5MUi3iTxJsWfK7os89uQ3DslzC00%2BKGULrHOhpuqy2PsiIvdJUmqKVlU7BdX0Kdq86Q7UkjFpQ81KZ3I%2FwIcFTSZgNWlkgKJwhqzYdyiWm7X8FuyX43TxtKVP6FlQ282%2FTQFIYXvKDt05xHIA6414pczNc6ejKgFKR%2BfkZUVYnrV0%2FJul7tlMFZ7Jt2IYGnLfOwlrs06gJPeBCzjaA8CWzgomTX7L1POdraqVZp1F5%2FVH3SuNiMgCqtufMS3CVg7mcAr6P8a0NgtPKJSZZafWAVouudi7urEa8L9OUa74pnBFyBGEazj6i4KMaXtXNmwMeolfP44KkBCFQoanCFTcDddopt%2B%2FbtZr9m7v3JEn1anOBfKuTds2StQiZ1%2FFyazjxevdPoztlHqCTYsYFHgmknYmW%2BlqodVDSX11odSL%2F%2F3ZSaL9SMekntDlId4tpv%2FXls%2F%2BjTY8kc%2FodiErb2yiaw849M3%2FLNzV10ugHaO9qPTiWNgNrRuDJ3p%2FqCkBsN26Kd91q9cJQ5w4uyKTp8pQFk%2FOg%2B5HnCYxNh27LeIstQ6Yb64Vzo6mZpt4vAdt2WnrP8raqmQbUm7rnpEpUaz2jTvs9H0vROZ5pCC%2FdhWb9DfbNyJZNuDwn1mcfiNCt2qkcSPuiWboURFwPtSohseBN%2BIvRzIyhxAE1PecjQgrQFvPxL3MTKRoo06nbJ98lZbsmCBzvvX9URunhPavoeW00Xd0iV%2FBZNYJRLGs73MmvgKfj5dd%2Bh6b3fTDn6vXOBjqZAXeCqruGotOkN96YQRHBdCrBh4qpxgE5UIzxkKjcTOJYCAXWTdHRPybDjXE266uHemhe%2FNPaN73JVfuSy2hqPaF76b2h65kBR8jpT2Yd7jHCwth%2BbF%2FCmNOvjZGOaMUuViDc%2F2RFfi1GZ7wMATeAHDKaM%2FRwWz6gaiAYtj17PAdY6qmCdSYZj7KmcAInqI9UYofmPLQ0cEtGJA%3D%3D&amp;Expires=1776124730"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2026-04-13T23:28:45.047Z</dcterms:created>
  <dcterms:modified xsi:type="dcterms:W3CDTF">2026-04-13T23:28:45.047Z</dcterms:modified>
</cp:coreProperties>
</file>