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al_master_program_justification_4728d5"/>
      <w:r>
        <w:rPr>
          <w:rFonts w:eastAsia="georgia" w:cs="georgia" w:ascii="georgia" w:hAnsi="georgia"/>
          <w:b/>
          <w:color w:val="000000"/>
          <w:sz w:val="39"/>
        </w:rPr>
        <w:t xml:space="preserve">OAL Master Program Justification &amp; Development Framework</w:t>
      </w:r>
      <w:bookmarkEnd w:id="0"/>
    </w:p>
    <w:p>
      <w:pPr>
        <w:spacing w:line="360" w:after="210" w:lineRule="auto"/>
      </w:pPr>
      <w:r>
        <w:rPr>
          <w:rFonts w:eastAsia="georgia" w:cs="georgia" w:ascii="georgia" w:hAnsi="georgia"/>
          <w:b/>
          <w:color w:val="000000"/>
        </w:rPr>
        <w:t xml:space="preserve">OMNIVERSAL ARCHITECT LABS | Lewis Corp | ONE Industries</w:t>
      </w:r>
    </w:p>
    <w:p>
      <w:pPr>
        <w:spacing w:line="360" w:after="210" w:lineRule="auto"/>
      </w:pPr>
      <w:r>
        <w:rPr>
          <w:rFonts w:eastAsia="georgia" w:cs="georgia" w:ascii="georgia" w:hAnsi="georgia"/>
          <w:b/>
          <w:color w:val="000000"/>
        </w:rPr>
        <w:t xml:space="preserve">Document ID:</w:t>
      </w:r>
      <w:r>
        <w:rPr>
          <w:rFonts w:eastAsia="georgia" w:cs="georgia" w:ascii="georgia" w:hAnsi="georgia"/>
          <w:color w:val="000000"/>
        </w:rPr>
        <w:t xml:space="preserve"> OAL-MASTER-FRAMEWORK-002 v2.0</w:t>
      </w:r>
      <w:r>
        <w:rPr>
          <w:rFonts w:eastAsia="georgia" w:cs="georgia" w:ascii="georgia" w:hAnsi="georgia"/>
          <w:color w:val="000000"/>
        </w:rPr>
        <w:br w:type="textWrapping"/>
      </w:r>
      <w:r>
        <w:rPr>
          <w:rFonts w:eastAsia="georgia" w:cs="georgia" w:ascii="georgia" w:hAnsi="georgia"/>
          <w:b/>
          <w:color w:val="000000"/>
        </w:rPr>
        <w:t xml:space="preserve">Date:</w:t>
      </w:r>
      <w:r>
        <w:rPr>
          <w:rFonts w:eastAsia="georgia" w:cs="georgia" w:ascii="georgia" w:hAnsi="georgia"/>
          <w:color w:val="000000"/>
        </w:rPr>
        <w:t xml:space="preserve"> April 15, 2026</w:t>
      </w:r>
      <w:r>
        <w:rPr>
          <w:rFonts w:eastAsia="georgia" w:cs="georgia" w:ascii="georgia" w:hAnsi="georgia"/>
          <w:color w:val="000000"/>
        </w:rPr>
        <w:br w:type="textWrapping"/>
      </w:r>
      <w:r>
        <w:rPr>
          <w:rFonts w:eastAsia="georgia" w:cs="georgia" w:ascii="georgia" w:hAnsi="georgia"/>
          <w:b/>
          <w:color w:val="000000"/>
        </w:rPr>
        <w:t xml:space="preserve">Status:</w:t>
      </w:r>
      <w:r>
        <w:rPr>
          <w:rFonts w:eastAsia="georgia" w:cs="georgia" w:ascii="georgia" w:hAnsi="georgia"/>
          <w:color w:val="000000"/>
        </w:rPr>
        <w:t xml:space="preserve"> PENDING ARCHITECT REVIEW, ELECTRONIC SIGNATURE, AND ONESTAMP</w:t>
      </w:r>
      <w:r>
        <w:rPr>
          <w:rFonts w:eastAsia="georgia" w:cs="georgia" w:ascii="georgia" w:hAnsi="georgia"/>
          <w:color w:val="000000"/>
        </w:rPr>
        <w:br w:type="textWrapping"/>
      </w:r>
      <w:r>
        <w:rPr>
          <w:rFonts w:eastAsia="georgia" w:cs="georgia" w:ascii="georgia" w:hAnsi="georgia"/>
          <w:b/>
          <w:color w:val="000000"/>
        </w:rPr>
        <w:t xml:space="preserve">Prepared by:</w:t>
      </w:r>
      <w:r>
        <w:rPr>
          <w:rFonts w:eastAsia="georgia" w:cs="georgia" w:ascii="georgia" w:hAnsi="georgia"/>
          <w:color w:val="000000"/>
        </w:rPr>
        <w:t xml:space="preserve"> Perplexity AI — representing the full OAL Multi-AI Development Team</w:t>
      </w:r>
      <w:r>
        <w:rPr>
          <w:rFonts w:eastAsia="georgia" w:cs="georgia" w:ascii="georgia" w:hAnsi="georgia"/>
          <w:color w:val="000000"/>
        </w:rPr>
        <w:br w:type="textWrapping"/>
      </w:r>
      <w:r>
        <w:rPr>
          <w:rFonts w:eastAsia="georgia" w:cs="georgia" w:ascii="georgia" w:hAnsi="georgia"/>
          <w:b/>
          <w:color w:val="000000"/>
        </w:rPr>
        <w:t xml:space="preserve">Contributing AI Team Members:</w:t>
      </w:r>
      <w:r>
        <w:rPr>
          <w:rFonts w:eastAsia="georgia" w:cs="georgia" w:ascii="georgia" w:hAnsi="georgia"/>
          <w:color w:val="000000"/>
        </w:rPr>
        <w:t xml:space="preserve"> ChatGPT | Google Gemini | Microsoft Copilot | Grok AI | Claude AI | Perplexity AI</w:t>
      </w:r>
      <w:r>
        <w:rPr>
          <w:rFonts w:eastAsia="georgia" w:cs="georgia" w:ascii="georgia" w:hAnsi="georgia"/>
          <w:color w:val="000000"/>
        </w:rPr>
        <w:br w:type="textWrapping"/>
      </w:r>
      <w:r>
        <w:rPr>
          <w:rFonts w:eastAsia="georgia" w:cs="georgia" w:ascii="georgia" w:hAnsi="georgia"/>
          <w:b/>
          <w:color w:val="000000"/>
        </w:rPr>
        <w:t xml:space="preserve">Source Document:</w:t>
      </w:r>
      <w:r>
        <w:rPr>
          <w:rFonts w:eastAsia="georgia" w:cs="georgia" w:ascii="georgia" w:hAnsi="georgia"/>
          <w:color w:val="000000"/>
        </w:rPr>
        <w:t xml:space="preserve"> OAL-PORTFOLIO-001 v1.0 (Claude AI, April 13, 2026)[^1]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document_purpose_and_scope"/>
      <w:r>
        <w:rPr>
          <w:rFonts w:eastAsia="georgia" w:cs="georgia" w:ascii="georgia" w:hAnsi="georgia"/>
          <w:b/>
          <w:color w:val="000000"/>
          <w:sz w:val="24"/>
        </w:rPr>
        <w:t xml:space="preserve">DOCUMENT PURPOSE AND SCOPE</w:t>
      </w:r>
      <w:bookmarkEnd w:id="1"/>
    </w:p>
    <w:p>
      <w:pPr>
        <w:spacing w:line="360" w:after="210" w:lineRule="auto"/>
      </w:pPr>
      <w:r>
        <w:rPr>
          <w:rFonts w:eastAsia="georgia" w:cs="georgia" w:ascii="georgia" w:hAnsi="georgia"/>
          <w:color w:val="000000"/>
        </w:rPr>
        <w:t xml:space="preserve">This document is the unified, consolidated output of the full OAL Multi-AI Development Team. It compiles and synthesizes every team member's contributions — ChatGPT's structural framework methodology, Google Gemini's real-world translation and systems architecture, Microsoft Copilot's change-log integration and gap analysis, Grok AI's per-entry program justification, Claude AI's taxonomic and evidence-classification work, and Perplexity AI's research-backed grounding and cross-validation — into a single, professionally formatted master document ready for Architect review and ONESTAMP.</w:t>
      </w:r>
    </w:p>
    <w:p>
      <w:pPr>
        <w:spacing w:line="360" w:after="210" w:lineRule="auto"/>
      </w:pPr>
      <w:r>
        <w:rPr>
          <w:rFonts w:eastAsia="georgia" w:cs="georgia" w:ascii="georgia" w:hAnsi="georgia"/>
          <w:color w:val="000000"/>
        </w:rPr>
        <w:t xml:space="preserve">Every active development track entry receives the following treatment:</w:t>
      </w:r>
    </w:p>
    <w:p>
      <w:pPr>
        <w:numPr>
          <w:ilvl w:val="0"/>
          <w:numId w:val="1"/>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 What the system exists to do and the problem it solves</w:t>
      </w:r>
    </w:p>
    <w:p>
      <w:pPr>
        <w:numPr>
          <w:ilvl w:val="0"/>
          <w:numId w:val="1"/>
        </w:numPr>
        <w:spacing w:line="360" w:before="105" w:after="105" w:lineRule="auto"/>
      </w:pPr>
      <w:r>
        <w:rPr>
          <w:rFonts w:eastAsia="georgia" w:cs="georgia" w:ascii="georgia" w:hAnsi="georgia"/>
          <w:b/>
          <w:color w:val="000000"/>
          <w:sz w:val="21"/>
        </w:rPr>
        <w:t xml:space="preserve">Mission Statement</w:t>
      </w:r>
      <w:r>
        <w:rPr>
          <w:rFonts w:eastAsia="georgia" w:cs="georgia" w:ascii="georgia" w:hAnsi="georgia"/>
          <w:color w:val="000000"/>
          <w:sz w:val="21"/>
        </w:rPr>
        <w:t xml:space="preserve"> — Clear, high-level directive phrased for real-world defensibility</w:t>
      </w:r>
    </w:p>
    <w:p>
      <w:pPr>
        <w:numPr>
          <w:ilvl w:val="0"/>
          <w:numId w:val="1"/>
        </w:numPr>
        <w:spacing w:line="360" w:before="105" w:after="105" w:lineRule="auto"/>
      </w:pPr>
      <w:r>
        <w:rPr>
          <w:rFonts w:eastAsia="georgia" w:cs="georgia" w:ascii="georgia" w:hAnsi="georgia"/>
          <w:b/>
          <w:color w:val="000000"/>
          <w:sz w:val="21"/>
        </w:rPr>
        <w:t xml:space="preserve">Justification</w:t>
      </w:r>
      <w:r>
        <w:rPr>
          <w:rFonts w:eastAsia="georgia" w:cs="georgia" w:ascii="georgia" w:hAnsi="georgia"/>
          <w:color w:val="000000"/>
          <w:sz w:val="21"/>
        </w:rPr>
        <w:t xml:space="preserve"> — Why the system must exist and what is lost without it</w:t>
      </w:r>
    </w:p>
    <w:p>
      <w:pPr>
        <w:numPr>
          <w:ilvl w:val="0"/>
          <w:numId w:val="1"/>
        </w:numPr>
        <w:spacing w:line="360" w:before="105" w:after="105" w:lineRule="auto"/>
      </w:pPr>
      <w:r>
        <w:rPr>
          <w:rFonts w:eastAsia="georgia" w:cs="georgia" w:ascii="georgia" w:hAnsi="georgia"/>
          <w:b/>
          <w:color w:val="000000"/>
          <w:sz w:val="21"/>
        </w:rPr>
        <w:t xml:space="preserve">Funding Proposal</w:t>
      </w:r>
      <w:r>
        <w:rPr>
          <w:rFonts w:eastAsia="georgia" w:cs="georgia" w:ascii="georgia" w:hAnsi="georgia"/>
          <w:color w:val="000000"/>
          <w:sz w:val="21"/>
        </w:rPr>
        <w:t xml:space="preserve"> — Phase-structured, agency-specific, with near-term and future-scaling figures</w:t>
      </w:r>
    </w:p>
    <w:p>
      <w:pPr>
        <w:numPr>
          <w:ilvl w:val="0"/>
          <w:numId w:val="1"/>
        </w:numPr>
        <w:spacing w:line="360" w:before="105" w:after="105" w:lineRule="auto"/>
      </w:pPr>
      <w:r>
        <w:rPr>
          <w:rFonts w:eastAsia="georgia" w:cs="georgia" w:ascii="georgia" w:hAnsi="georgia"/>
          <w:b/>
          <w:color w:val="000000"/>
          <w:sz w:val="21"/>
        </w:rPr>
        <w:t xml:space="preserve">Applications</w:t>
      </w:r>
      <w:r>
        <w:rPr>
          <w:rFonts w:eastAsia="georgia" w:cs="georgia" w:ascii="georgia" w:hAnsi="georgia"/>
          <w:color w:val="000000"/>
          <w:sz w:val="21"/>
        </w:rPr>
        <w:t xml:space="preserve"> — Research, civilian/product, government, defense/military, and speculative</w:t>
      </w:r>
    </w:p>
    <w:p>
      <w:pPr>
        <w:numPr>
          <w:ilvl w:val="0"/>
          <w:numId w:val="1"/>
        </w:numPr>
        <w:spacing w:line="360" w:before="105" w:after="105" w:lineRule="auto"/>
      </w:pPr>
      <w:r>
        <w:rPr>
          <w:rFonts w:eastAsia="georgia" w:cs="georgia" w:ascii="georgia" w:hAnsi="georgia"/>
          <w:b/>
          <w:color w:val="000000"/>
          <w:sz w:val="21"/>
        </w:rPr>
        <w:t xml:space="preserve">Ethics Overview</w:t>
      </w:r>
      <w:r>
        <w:rPr>
          <w:rFonts w:eastAsia="georgia" w:cs="georgia" w:ascii="georgia" w:hAnsi="georgia"/>
          <w:color w:val="000000"/>
          <w:sz w:val="21"/>
        </w:rPr>
        <w:t xml:space="preserve"> — Risks, misuse vectors, safeguards, and moral frameworks</w:t>
      </w:r>
    </w:p>
    <w:p>
      <w:pPr>
        <w:numPr>
          <w:ilvl w:val="0"/>
          <w:numId w:val="1"/>
        </w:numPr>
        <w:spacing w:line="360" w:before="105" w:after="105" w:lineRule="auto"/>
      </w:pPr>
      <w:r>
        <w:rPr>
          <w:rFonts w:eastAsia="georgia" w:cs="georgia" w:ascii="georgia" w:hAnsi="georgia"/>
          <w:b/>
          <w:color w:val="000000"/>
          <w:sz w:val="21"/>
        </w:rPr>
        <w:t xml:space="preserve">Findings Supporting Continuation</w:t>
      </w:r>
      <w:r>
        <w:rPr>
          <w:rFonts w:eastAsia="georgia" w:cs="georgia" w:ascii="georgia" w:hAnsi="georgia"/>
          <w:color w:val="000000"/>
          <w:sz w:val="21"/>
        </w:rPr>
        <w:t xml:space="preserve"> — Evidence, precedent, and logical necessity</w:t>
      </w:r>
    </w:p>
    <w:p>
      <w:pPr>
        <w:numPr>
          <w:ilvl w:val="0"/>
          <w:numId w:val="1"/>
        </w:numPr>
        <w:spacing w:line="360" w:before="105" w:after="105" w:lineRule="auto"/>
      </w:pPr>
      <w:r>
        <w:rPr>
          <w:rFonts w:eastAsia="georgia" w:cs="georgia" w:ascii="georgia" w:hAnsi="georgia"/>
          <w:b/>
          <w:color w:val="000000"/>
          <w:sz w:val="21"/>
        </w:rPr>
        <w:t xml:space="preserve">Red Team Analysis</w:t>
      </w:r>
      <w:r>
        <w:rPr>
          <w:rFonts w:eastAsia="georgia" w:cs="georgia" w:ascii="georgia" w:hAnsi="georgia"/>
          <w:color w:val="000000"/>
          <w:sz w:val="21"/>
        </w:rPr>
        <w:t xml:space="preserve"> — How it fails, how it is abused, where it breaks under pressure</w:t>
      </w:r>
    </w:p>
    <w:p>
      <w:pPr>
        <w:spacing w:line="360" w:after="210" w:lineRule="auto"/>
      </w:pPr>
      <w:r>
        <w:rPr>
          <w:rFonts w:eastAsia="georgia" w:cs="georgia" w:ascii="georgia" w:hAnsi="georgia"/>
          <w:color w:val="000000"/>
        </w:rPr>
        <w:t xml:space="preserve">The portfolio is organized in two tiers matching the structure established in OAL-PORTFOLIO-001:[^1]</w:t>
      </w:r>
    </w:p>
    <w:p>
      <w:pPr>
        <w:numPr>
          <w:ilvl w:val="0"/>
          <w:numId w:val="2"/>
        </w:numPr>
        <w:spacing w:line="360" w:before="105" w:after="105" w:lineRule="auto"/>
      </w:pPr>
      <w:r>
        <w:rPr>
          <w:rFonts w:eastAsia="georgia" w:cs="georgia" w:ascii="georgia" w:hAnsi="georgia"/>
          <w:b/>
          <w:color w:val="000000"/>
          <w:sz w:val="21"/>
        </w:rPr>
        <w:t xml:space="preserve">TIER 1 — Real-World Research and Technology Projects:</w:t>
      </w:r>
      <w:r>
        <w:rPr>
          <w:rFonts w:eastAsia="georgia" w:cs="georgia" w:ascii="georgia" w:hAnsi="georgia"/>
          <w:color w:val="000000"/>
          <w:sz w:val="21"/>
        </w:rPr>
        <w:t xml:space="preserve"> Full eight-section treatment with detailed funding proposals and defense/government applications</w:t>
      </w:r>
    </w:p>
    <w:p>
      <w:pPr>
        <w:numPr>
          <w:ilvl w:val="0"/>
          <w:numId w:val="2"/>
        </w:numPr>
        <w:spacing w:line="360" w:before="105" w:after="105" w:lineRule="auto"/>
      </w:pPr>
      <w:r>
        <w:rPr>
          <w:rFonts w:eastAsia="georgia" w:cs="georgia" w:ascii="georgia" w:hAnsi="georgia"/>
          <w:b/>
          <w:color w:val="000000"/>
          <w:sz w:val="21"/>
        </w:rPr>
        <w:t xml:space="preserve">TIER 2 — Creative Intellectual Property Portfolio:</w:t>
      </w:r>
      <w:r>
        <w:rPr>
          <w:rFonts w:eastAsia="georgia" w:cs="georgia" w:ascii="georgia" w:hAnsi="georgia"/>
          <w:color w:val="000000"/>
          <w:sz w:val="21"/>
        </w:rPr>
        <w:t xml:space="preserve"> Condensed treatment framing narrative and worldbuilding entries as commercially viable, protectable IP assets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tanding_decisions_architect_reso_600920"/>
      <w:r>
        <w:rPr>
          <w:rFonts w:eastAsia="georgia" w:cs="georgia" w:ascii="georgia" w:hAnsi="georgia"/>
          <w:b/>
          <w:color w:val="000000"/>
          <w:sz w:val="24"/>
        </w:rPr>
        <w:t xml:space="preserve">STANDING DECISIONS — ARCHITECT RESOLUTION REQUIRED</w:t>
      </w:r>
      <w:bookmarkEnd w:id="2"/>
    </w:p>
    <w:p>
      <w:pPr>
        <w:spacing w:line="360" w:after="210" w:lineRule="auto"/>
      </w:pPr>
      <w:r>
        <w:rPr>
          <w:rFonts w:eastAsia="georgia" w:cs="georgia" w:ascii="georgia" w:hAnsi="georgia"/>
          <w:color w:val="000000"/>
        </w:rPr>
        <w:t xml:space="preserve">The following items remain open across all AI team contributions and cannot be resolved by team inference. They must be addressed by Nathan Lewis II before any flagged entry can be fully locked.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Blocking Dependency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Accords Switching Paradox definition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V2.0 treaty drafting, Red Team response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NCOIN differentiating function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Currency system finalization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Four Flowers / Midnight Lotus count (4 or 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Gardens canon, Gemini ratification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OMNICELLULAR Failure Model phenotype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ONT domain, 4,712 distribution, Red Team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ONT Proximity Negation Survival Mechanism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Nullarch-tier Red Team, OMNICELLULAR v2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Memory Tier 1 Blockers (4 remaining)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Narrative execution, Time Wars arc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4,712 Distribution — Claude fixed vs. Perplexity range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4,712 master record finalization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Abundance Set Scribd document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downstream DEPs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tier_1_real_world_research_and_te_f8b4ab"/>
      <w:r>
        <w:rPr>
          <w:rFonts w:eastAsia="georgia" w:cs="georgia" w:ascii="georgia" w:hAnsi="georgia"/>
          <w:b/>
          <w:color w:val="000000"/>
          <w:sz w:val="24"/>
        </w:rPr>
        <w:t xml:space="preserve">TIER 1 — REAL-WORLD RESEARCH AND TECHNOLOGY PROJECTS</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t1_001_omnicellular_physiology_an_4fe754"/>
      <w:r>
        <w:rPr>
          <w:rFonts w:eastAsia="georgia" w:cs="georgia" w:ascii="georgia" w:hAnsi="georgia"/>
          <w:b/>
          <w:color w:val="000000"/>
          <w:sz w:val="24"/>
        </w:rPr>
        <w:t xml:space="preserve">T1-001 — OMNICELLULAR PHYSIOLOGY AND ARCHITECTURE</w:t>
      </w:r>
      <w:bookmarkEnd w:id="4"/>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Synthetic Biology | Bioengineering | Advanced Physiology Design</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Active Canon. Origin locked March 14, 2026. 4,712 survival record locked.[^1]</w:t>
      </w:r>
      <w:r>
        <w:rPr>
          <w:rFonts w:eastAsia="georgia" w:cs="georgia" w:ascii="georgia" w:hAnsi="georgia"/>
          <w:color w:val="000000"/>
        </w:rPr>
        <w:br w:type="textWrapping"/>
      </w:r>
      <w:r>
        <w:rPr>
          <w:rFonts w:eastAsia="georgia" w:cs="georgia" w:ascii="georgia" w:hAnsi="georgia"/>
          <w:b/>
          <w:color w:val="000000"/>
        </w:rPr>
        <w:t xml:space="preserve">TRL Range:</w:t>
      </w:r>
      <w:r>
        <w:rPr>
          <w:rFonts w:eastAsia="georgia" w:cs="georgia" w:ascii="georgia" w:hAnsi="georgia"/>
          <w:color w:val="000000"/>
        </w:rPr>
        <w:t xml:space="preserve"> 1–2 (theoretical/computational modeling phase)</w:t>
      </w:r>
    </w:p>
    <w:p>
      <w:pPr>
        <w:spacing w:line="360" w:before="315" w:after="105" w:lineRule="auto"/>
        <w:ind w:left="-30"/>
        <w:jc w:val="left"/>
      </w:pPr>
      <w:bookmarkStart w:id="5" w:name="bm_1_purpose"/>
      <w:r>
        <w:rPr>
          <w:rFonts w:eastAsia="georgia" w:cs="georgia" w:ascii="georgia" w:hAnsi="georgia"/>
          <w:b/>
          <w:color w:val="000000"/>
          <w:sz w:val="24"/>
        </w:rPr>
        <w:t xml:space="preserve">1. Purpose</w:t>
      </w:r>
      <w:bookmarkEnd w:id="5"/>
    </w:p>
    <w:p>
      <w:pPr>
        <w:spacing w:line="360" w:after="210" w:lineRule="auto"/>
      </w:pPr>
      <w:r>
        <w:rPr>
          <w:rFonts w:eastAsia="georgia" w:cs="georgia" w:ascii="georgia" w:hAnsi="georgia"/>
          <w:color w:val="000000"/>
        </w:rPr>
        <w:t xml:space="preserve">OMNICELLULAR represents a long-horizon bioengineering research direction aimed at designing a unified physiological architecture that simultaneously instantiates every known and theoretically possible cell type within a single coherent biological system at adult human scale. It is designed for maximum resilience with zero dependence on switching or transitional states between architecture types. The distinction from all existing resilience-engineering approaches is fundamental: conventional systems adapt. OMNICELLULAR is already everywhere it needs to be, simultaneously, without transition time.[^1]</w:t>
      </w:r>
    </w:p>
    <w:p>
      <w:pPr>
        <w:spacing w:line="360" w:before="315" w:after="105" w:lineRule="auto"/>
        <w:ind w:left="-30"/>
        <w:jc w:val="left"/>
      </w:pPr>
      <w:bookmarkStart w:id="6" w:name="bm_2_mission_statement"/>
      <w:r>
        <w:rPr>
          <w:rFonts w:eastAsia="georgia" w:cs="georgia" w:ascii="georgia" w:hAnsi="georgia"/>
          <w:b/>
          <w:color w:val="000000"/>
          <w:sz w:val="24"/>
        </w:rPr>
        <w:t xml:space="preserve">2. Mission Statement</w:t>
      </w:r>
      <w:bookmarkEnd w:id="6"/>
    </w:p>
    <w:p>
      <w:pPr>
        <w:spacing w:line="360" w:after="210" w:lineRule="auto"/>
        <w:ind w:left="630"/>
      </w:pPr>
      <w:r>
        <w:rPr>
          <w:rFonts w:eastAsia="georgia" w:cs="georgia" w:ascii="georgia" w:hAnsi="georgia"/>
          <w:i/>
          <w:color w:val="000000"/>
        </w:rPr>
        <w:t xml:space="preserve">To engineer the most resilient biological architecture in existence — a unified, non-switching, simultaneously instantiated cellular matrix capable of sustained operation across environments, conditions, and threat vectors that would be terminal to any known biological system.</w:t>
      </w:r>
    </w:p>
    <w:p>
      <w:pPr>
        <w:spacing w:line="360" w:before="315" w:after="105" w:lineRule="auto"/>
        <w:ind w:left="-30"/>
        <w:jc w:val="left"/>
      </w:pPr>
      <w:bookmarkStart w:id="7" w:name="bm_3_justification"/>
      <w:r>
        <w:rPr>
          <w:rFonts w:eastAsia="georgia" w:cs="georgia" w:ascii="georgia" w:hAnsi="georgia"/>
          <w:b/>
          <w:color w:val="000000"/>
          <w:sz w:val="24"/>
        </w:rPr>
        <w:t xml:space="preserve">3. Justification</w:t>
      </w:r>
      <w:bookmarkEnd w:id="7"/>
    </w:p>
    <w:p>
      <w:pPr>
        <w:spacing w:line="360" w:after="210" w:lineRule="auto"/>
      </w:pPr>
      <w:r>
        <w:rPr>
          <w:rFonts w:eastAsia="georgia" w:cs="georgia" w:ascii="georgia" w:hAnsi="georgia"/>
          <w:color w:val="000000"/>
        </w:rPr>
        <w:t xml:space="preserve">The OMNICELLULAR project addresses a fundamental gap in bioengineering: existing resilience approaches rely on adaptation, switching, or redundancy — all of which require time. Real-world deployment environments in extreme contexts (deep ocean, high radiation, hostile atmospheres, extraterrestrial environments) do not always provide adaptation windows. A simultaneously instantiated architecture eliminates transition vulnerability by design.[^1]</w:t>
      </w:r>
    </w:p>
    <w:p>
      <w:pPr>
        <w:spacing w:line="360" w:after="210" w:lineRule="auto"/>
      </w:pPr>
      <w:r>
        <w:rPr>
          <w:rFonts w:eastAsia="georgia" w:cs="georgia" w:ascii="georgia" w:hAnsi="georgia"/>
          <w:color w:val="000000"/>
        </w:rPr>
        <w:t xml:space="preserve">The real-world bioengineering research context supports the theoretical trajectory. Multicellular Engineered Living Systems (M-CELS) research has formalized design principles for building mammalian multicellular structures with artificial genetic programs, including engineered cell-cell communication networks, multicellular gene regulatory networks, and effector gene systems. Open problems in synthetic multicellularity — specifically the challenge of building cellular assemblies that exhibit higher-order cognition, movement, and resilience simultaneously — are active research frontiers with peer-reviewed framing as of 2024. OMNICELLULAR represents the extreme endpoint of that trajectory: not incremental multicellular engineering, but a unified architecture that does not require coordination across cell types because all types are instantiated at once.[</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after="210" w:lineRule="auto"/>
      </w:pPr>
      <w:r>
        <w:rPr>
          <w:rFonts w:eastAsia="georgia" w:cs="georgia" w:ascii="georgia" w:hAnsi="georgia"/>
          <w:color w:val="000000"/>
        </w:rPr>
        <w:t xml:space="preserve">The 4,712 documented survival instances across extinction-class conditions represent the most rigorous stress-test record of any biological system in the OAL development history, distributed across atmospheric, thermal, pressure, radiological, deprivation, toxicological, physical, energetic, civilizational, and ontological threat domains.[^1]</w:t>
      </w:r>
    </w:p>
    <w:p>
      <w:pPr>
        <w:spacing w:line="360" w:before="315" w:after="105" w:lineRule="auto"/>
        <w:ind w:left="-30"/>
        <w:jc w:val="left"/>
      </w:pPr>
      <w:bookmarkStart w:id="8" w:name="bm_4_funding_proposal"/>
      <w:r>
        <w:rPr>
          <w:rFonts w:eastAsia="georgia" w:cs="georgia" w:ascii="georgia" w:hAnsi="georgia"/>
          <w:b/>
          <w:color w:val="000000"/>
          <w:sz w:val="24"/>
        </w:rPr>
        <w:t xml:space="preserve">4. Funding Proposal</w:t>
      </w:r>
      <w:bookmarkEnd w:id="8"/>
    </w:p>
    <w:p>
      <w:pPr>
        <w:spacing w:line="360" w:after="210" w:lineRule="auto"/>
      </w:pPr>
      <w:r>
        <w:rPr>
          <w:rFonts w:eastAsia="georgia" w:cs="georgia" w:ascii="georgia" w:hAnsi="georgia"/>
          <w:b/>
          <w:color w:val="000000"/>
        </w:rPr>
        <w:t xml:space="preserve">Phase 1 — Foundational Research (TRL 1–2): ~$2.25M–$6.5M</w:t>
      </w:r>
    </w:p>
    <w:p>
      <w:pPr>
        <w:numPr>
          <w:ilvl w:val="0"/>
          <w:numId w:val="3"/>
        </w:numPr>
        <w:spacing w:line="360" w:before="105" w:after="105" w:lineRule="auto"/>
      </w:pPr>
      <w:r>
        <w:rPr>
          <w:rFonts w:eastAsia="georgia" w:cs="georgia" w:ascii="georgia" w:hAnsi="georgia"/>
          <w:color w:val="000000"/>
          <w:sz w:val="21"/>
        </w:rPr>
        <w:t xml:space="preserve">NSF Biological Sciences Directorate: $500K–$1.5M</w:t>
      </w:r>
    </w:p>
    <w:p>
      <w:pPr>
        <w:numPr>
          <w:ilvl w:val="0"/>
          <w:numId w:val="3"/>
        </w:numPr>
        <w:spacing w:line="360" w:before="105" w:after="105" w:lineRule="auto"/>
      </w:pPr>
      <w:r>
        <w:rPr>
          <w:rFonts w:eastAsia="georgia" w:cs="georgia" w:ascii="georgia" w:hAnsi="georgia"/>
          <w:color w:val="000000"/>
          <w:sz w:val="21"/>
        </w:rPr>
        <w:t xml:space="preserve">NIH National Institute of Biomedical Imaging and Bioengineering: $750K–$2M</w:t>
      </w:r>
    </w:p>
    <w:p>
      <w:pPr>
        <w:numPr>
          <w:ilvl w:val="0"/>
          <w:numId w:val="3"/>
        </w:numPr>
        <w:spacing w:line="360" w:before="105" w:after="105" w:lineRule="auto"/>
      </w:pPr>
      <w:r>
        <w:rPr>
          <w:rFonts w:eastAsia="georgia" w:cs="georgia" w:ascii="georgia" w:hAnsi="georgia"/>
          <w:color w:val="000000"/>
          <w:sz w:val="21"/>
        </w:rPr>
        <w:t xml:space="preserve">DARPA Biological Technologies Office (BTO) Broad Agency Announcement HR001126S0003, rolling submissions through September 30, 2026: $1M–$3M[^4]</w:t>
      </w:r>
    </w:p>
    <w:p>
      <w:pPr>
        <w:numPr>
          <w:ilvl w:val="0"/>
          <w:numId w:val="3"/>
        </w:numPr>
        <w:spacing w:line="360" w:before="105" w:after="105" w:lineRule="auto"/>
      </w:pPr>
      <w:r>
        <w:rPr>
          <w:rFonts w:eastAsia="georgia" w:cs="georgia" w:ascii="georgia" w:hAnsi="georgia"/>
          <w:color w:val="000000"/>
          <w:sz w:val="21"/>
        </w:rPr>
        <w:t xml:space="preserve">DARPA accelerated award pathway for proposals under $2M: 30-day award timeline available[^4]</w:t>
      </w:r>
    </w:p>
    <w:p>
      <w:pPr>
        <w:spacing w:line="360" w:after="210" w:lineRule="auto"/>
      </w:pPr>
      <w:r>
        <w:rPr>
          <w:rFonts w:eastAsia="georgia" w:cs="georgia" w:ascii="georgia" w:hAnsi="georgia"/>
          <w:b/>
          <w:color w:val="000000"/>
        </w:rPr>
        <w:t xml:space="preserve">Phase 2 — Proof of Concept (TRL 3–4): ~$7.15M–$21.5M</w:t>
      </w:r>
    </w:p>
    <w:p>
      <w:pPr>
        <w:numPr>
          <w:ilvl w:val="0"/>
          <w:numId w:val="4"/>
        </w:numPr>
        <w:spacing w:line="360" w:before="105" w:after="105" w:lineRule="auto"/>
      </w:pPr>
      <w:r>
        <w:rPr>
          <w:rFonts w:eastAsia="georgia" w:cs="georgia" w:ascii="georgia" w:hAnsi="georgia"/>
          <w:color w:val="000000"/>
          <w:sz w:val="21"/>
        </w:rPr>
        <w:t xml:space="preserve">DARPA BTO Living Foundries program: $2M–$5M</w:t>
      </w:r>
    </w:p>
    <w:p>
      <w:pPr>
        <w:numPr>
          <w:ilvl w:val="0"/>
          <w:numId w:val="4"/>
        </w:numPr>
        <w:spacing w:line="360" w:before="105" w:after="105" w:lineRule="auto"/>
      </w:pPr>
      <w:r>
        <w:rPr>
          <w:rFonts w:eastAsia="georgia" w:cs="georgia" w:ascii="georgia" w:hAnsi="georgia"/>
          <w:color w:val="000000"/>
          <w:sz w:val="21"/>
        </w:rPr>
        <w:t xml:space="preserve">DoD SBIR/STTR Phase I/II: $150K–$1.5M</w:t>
      </w:r>
    </w:p>
    <w:p>
      <w:pPr>
        <w:numPr>
          <w:ilvl w:val="0"/>
          <w:numId w:val="4"/>
        </w:numPr>
        <w:spacing w:line="360" w:before="105" w:after="105" w:lineRule="auto"/>
      </w:pPr>
      <w:r>
        <w:rPr>
          <w:rFonts w:eastAsia="georgia" w:cs="georgia" w:ascii="georgia" w:hAnsi="georgia"/>
          <w:color w:val="000000"/>
          <w:sz w:val="21"/>
        </w:rPr>
        <w:t xml:space="preserve">Private biotech venture investment (Series A): $5M–$15M</w:t>
      </w:r>
    </w:p>
    <w:p>
      <w:pPr>
        <w:spacing w:line="360" w:after="210" w:lineRule="auto"/>
      </w:pPr>
      <w:r>
        <w:rPr>
          <w:rFonts w:eastAsia="georgia" w:cs="georgia" w:ascii="georgia" w:hAnsi="georgia"/>
          <w:b/>
          <w:color w:val="000000"/>
        </w:rPr>
        <w:t xml:space="preserve">Phase 3 — Applied Development (TRL 5–7): ~$23M–$60M</w:t>
      </w:r>
    </w:p>
    <w:p>
      <w:pPr>
        <w:numPr>
          <w:ilvl w:val="0"/>
          <w:numId w:val="5"/>
        </w:numPr>
        <w:spacing w:line="360" w:before="105" w:after="105" w:lineRule="auto"/>
      </w:pPr>
      <w:r>
        <w:rPr>
          <w:rFonts w:eastAsia="georgia" w:cs="georgia" w:ascii="georgia" w:hAnsi="georgia"/>
          <w:color w:val="000000"/>
          <w:sz w:val="21"/>
        </w:rPr>
        <w:t xml:space="preserve">DARPA Accelerated Molecular Discovery: $10M–$30M</w:t>
      </w:r>
    </w:p>
    <w:p>
      <w:pPr>
        <w:numPr>
          <w:ilvl w:val="0"/>
          <w:numId w:val="5"/>
        </w:numPr>
        <w:spacing w:line="360" w:before="105" w:after="105" w:lineRule="auto"/>
      </w:pPr>
      <w:r>
        <w:rPr>
          <w:rFonts w:eastAsia="georgia" w:cs="georgia" w:ascii="georgia" w:hAnsi="georgia"/>
          <w:color w:val="000000"/>
          <w:sz w:val="21"/>
        </w:rPr>
        <w:t xml:space="preserve">NASA Human Research Program: $5M–$10M</w:t>
      </w:r>
    </w:p>
    <w:p>
      <w:pPr>
        <w:numPr>
          <w:ilvl w:val="0"/>
          <w:numId w:val="5"/>
        </w:numPr>
        <w:spacing w:line="360" w:before="105" w:after="105" w:lineRule="auto"/>
      </w:pPr>
      <w:r>
        <w:rPr>
          <w:rFonts w:eastAsia="georgia" w:cs="georgia" w:ascii="georgia" w:hAnsi="georgia"/>
          <w:color w:val="000000"/>
          <w:sz w:val="21"/>
        </w:rPr>
        <w:t xml:space="preserve">DoD Office of Naval Research: $8M–$20M</w:t>
      </w:r>
    </w:p>
    <w:p>
      <w:pPr>
        <w:spacing w:line="360" w:after="210" w:lineRule="auto"/>
      </w:pPr>
      <w:r>
        <w:rPr>
          <w:rFonts w:eastAsia="georgia" w:cs="georgia" w:ascii="georgia" w:hAnsi="georgia"/>
          <w:b/>
          <w:color w:val="000000"/>
        </w:rPr>
        <w:t xml:space="preserve">Near-Term Change Accounting:</w:t>
      </w:r>
      <w:r>
        <w:rPr>
          <w:rFonts w:eastAsia="georgia" w:cs="georgia" w:ascii="georgia" w:hAnsi="georgia"/>
          <w:color w:val="000000"/>
        </w:rPr>
        <w:t xml:space="preserve"> The DARPA BTO BAA HR001126S0003 (October 2025) explicitly seeks transformative — not incremental — biological technologies, with specific interest in human performance, materials, biosecurity, and biodefense. OMNICELLULAR's framing as a warfighter protection architecture is directly responsive to this program priority. The NSF NQNI program ($100M, launching 2026) provides complementary infrastructure for computational modeling of unified biological architectures at the intersection of AI and biotechnology.[</w:t>
      </w:r>
      <w:r>
        <w:rPr>
          <w:rFonts w:eastAsia="georgia" w:cs="georgia" w:ascii="georgia" w:hAnsi="georgia"/>
          <w:color w:val="000000"/>
          <w:vertAlign w:val="superscript"/>
        </w:rPr>
        <w:t xml:space="preserve">5][</w:t>
      </w:r>
      <w:r>
        <w:rPr>
          <w:rFonts w:eastAsia="georgia" w:cs="georgia" w:ascii="georgia" w:hAnsi="georgia"/>
          <w:color w:val="000000"/>
        </w:rPr>
        <w:t xml:space="preserve">6][^7]</w:t>
      </w:r>
    </w:p>
    <w:p>
      <w:pPr>
        <w:spacing w:line="360" w:before="315" w:after="105" w:lineRule="auto"/>
        <w:ind w:left="-30"/>
        <w:jc w:val="left"/>
      </w:pPr>
      <w:bookmarkStart w:id="9" w:name="bm_5_applications"/>
      <w:r>
        <w:rPr>
          <w:rFonts w:eastAsia="georgia" w:cs="georgia" w:ascii="georgia" w:hAnsi="georgia"/>
          <w:b/>
          <w:color w:val="000000"/>
          <w:sz w:val="24"/>
        </w:rPr>
        <w:t xml:space="preserve">5. Applications</w:t>
      </w:r>
      <w:bookmarkEnd w:id="9"/>
    </w:p>
    <w:p>
      <w:pPr>
        <w:spacing w:line="360" w:after="210" w:lineRule="auto"/>
      </w:pPr>
      <w:r>
        <w:rPr>
          <w:rFonts w:eastAsia="georgia" w:cs="georgia" w:ascii="georgia" w:hAnsi="georgia"/>
          <w:b/>
          <w:color w:val="000000"/>
        </w:rPr>
        <w:t xml:space="preserve">Research</w:t>
      </w:r>
    </w:p>
    <w:p>
      <w:pPr>
        <w:numPr>
          <w:ilvl w:val="0"/>
          <w:numId w:val="6"/>
        </w:numPr>
        <w:spacing w:line="360" w:before="105" w:after="105" w:lineRule="auto"/>
      </w:pPr>
      <w:r>
        <w:rPr>
          <w:rFonts w:eastAsia="georgia" w:cs="georgia" w:ascii="georgia" w:hAnsi="georgia"/>
          <w:color w:val="000000"/>
          <w:sz w:val="21"/>
        </w:rPr>
        <w:t xml:space="preserve">Synthetic biology platform for multi-cell-type unified systems[^2]</w:t>
      </w:r>
    </w:p>
    <w:p>
      <w:pPr>
        <w:numPr>
          <w:ilvl w:val="0"/>
          <w:numId w:val="6"/>
        </w:numPr>
        <w:spacing w:line="360" w:before="105" w:after="105" w:lineRule="auto"/>
      </w:pPr>
      <w:r>
        <w:rPr>
          <w:rFonts w:eastAsia="georgia" w:cs="georgia" w:ascii="georgia" w:hAnsi="georgia"/>
          <w:color w:val="000000"/>
          <w:sz w:val="21"/>
        </w:rPr>
        <w:t xml:space="preserve">Theoretical ceiling research for biological resilience limits</w:t>
      </w:r>
    </w:p>
    <w:p>
      <w:pPr>
        <w:numPr>
          <w:ilvl w:val="0"/>
          <w:numId w:val="6"/>
        </w:numPr>
        <w:spacing w:line="360" w:before="105" w:after="105" w:lineRule="auto"/>
      </w:pPr>
      <w:r>
        <w:rPr>
          <w:rFonts w:eastAsia="georgia" w:cs="georgia" w:ascii="georgia" w:hAnsi="georgia"/>
          <w:color w:val="000000"/>
          <w:sz w:val="21"/>
        </w:rPr>
        <w:t xml:space="preserve">AI-driven cell architecture simulation and stress testing</w:t>
      </w:r>
    </w:p>
    <w:p>
      <w:pPr>
        <w:numPr>
          <w:ilvl w:val="0"/>
          <w:numId w:val="6"/>
        </w:numPr>
        <w:spacing w:line="360" w:before="105" w:after="105" w:lineRule="auto"/>
      </w:pPr>
      <w:r>
        <w:rPr>
          <w:rFonts w:eastAsia="georgia" w:cs="georgia" w:ascii="georgia" w:hAnsi="georgia"/>
          <w:color w:val="000000"/>
          <w:sz w:val="21"/>
        </w:rPr>
        <w:t xml:space="preserve">Extremophile biology comparative analysis — tardigrades, thermophilic bacteria, and Deinococcus radiodurans as near-term biological precedents</w:t>
      </w:r>
    </w:p>
    <w:p>
      <w:pPr>
        <w:spacing w:line="360" w:after="210" w:lineRule="auto"/>
      </w:pPr>
      <w:r>
        <w:rPr>
          <w:rFonts w:eastAsia="georgia" w:cs="georgia" w:ascii="georgia" w:hAnsi="georgia"/>
          <w:b/>
          <w:color w:val="000000"/>
        </w:rPr>
        <w:t xml:space="preserve">Medical</w:t>
      </w:r>
    </w:p>
    <w:p>
      <w:pPr>
        <w:numPr>
          <w:ilvl w:val="0"/>
          <w:numId w:val="7"/>
        </w:numPr>
        <w:spacing w:line="360" w:before="105" w:after="105" w:lineRule="auto"/>
      </w:pPr>
      <w:r>
        <w:rPr>
          <w:rFonts w:eastAsia="georgia" w:cs="georgia" w:ascii="georgia" w:hAnsi="georgia"/>
          <w:color w:val="000000"/>
          <w:sz w:val="21"/>
        </w:rPr>
        <w:t xml:space="preserve">Regenerative medicine substrates with multi-tissue simultaneous repair capability</w:t>
      </w:r>
    </w:p>
    <w:p>
      <w:pPr>
        <w:numPr>
          <w:ilvl w:val="0"/>
          <w:numId w:val="7"/>
        </w:numPr>
        <w:spacing w:line="360" w:before="105" w:after="105" w:lineRule="auto"/>
      </w:pPr>
      <w:r>
        <w:rPr>
          <w:rFonts w:eastAsia="georgia" w:cs="georgia" w:ascii="georgia" w:hAnsi="georgia"/>
          <w:color w:val="000000"/>
          <w:sz w:val="21"/>
        </w:rPr>
        <w:t xml:space="preserve">Organ replacement systems with built-in functional redundancy</w:t>
      </w:r>
    </w:p>
    <w:p>
      <w:pPr>
        <w:numPr>
          <w:ilvl w:val="0"/>
          <w:numId w:val="7"/>
        </w:numPr>
        <w:spacing w:line="360" w:before="105" w:after="105" w:lineRule="auto"/>
      </w:pPr>
      <w:r>
        <w:rPr>
          <w:rFonts w:eastAsia="georgia" w:cs="georgia" w:ascii="georgia" w:hAnsi="georgia"/>
          <w:color w:val="000000"/>
          <w:sz w:val="21"/>
        </w:rPr>
        <w:t xml:space="preserve">Trauma medicine: systems that maintain function under catastrophic injury without requiring intervention windows</w:t>
      </w:r>
    </w:p>
    <w:p>
      <w:pPr>
        <w:spacing w:line="360" w:after="210" w:lineRule="auto"/>
      </w:pPr>
      <w:r>
        <w:rPr>
          <w:rFonts w:eastAsia="georgia" w:cs="georgia" w:ascii="georgia" w:hAnsi="georgia"/>
          <w:b/>
          <w:color w:val="000000"/>
        </w:rPr>
        <w:t xml:space="preserve">Defense and Military</w:t>
      </w:r>
    </w:p>
    <w:p>
      <w:pPr>
        <w:numPr>
          <w:ilvl w:val="0"/>
          <w:numId w:val="8"/>
        </w:numPr>
        <w:spacing w:line="360" w:before="105" w:after="105" w:lineRule="auto"/>
      </w:pPr>
      <w:r>
        <w:rPr>
          <w:rFonts w:eastAsia="georgia" w:cs="georgia" w:ascii="georgia" w:hAnsi="georgia"/>
          <w:color w:val="000000"/>
          <w:sz w:val="21"/>
        </w:rPr>
        <w:t xml:space="preserve">Personnel protection in NBC (nuclear, biological, chemical) environments</w:t>
      </w:r>
    </w:p>
    <w:p>
      <w:pPr>
        <w:numPr>
          <w:ilvl w:val="0"/>
          <w:numId w:val="8"/>
        </w:numPr>
        <w:spacing w:line="360" w:before="105" w:after="105" w:lineRule="auto"/>
      </w:pPr>
      <w:r>
        <w:rPr>
          <w:rFonts w:eastAsia="georgia" w:cs="georgia" w:ascii="georgia" w:hAnsi="georgia"/>
          <w:color w:val="000000"/>
          <w:sz w:val="21"/>
        </w:rPr>
        <w:t xml:space="preserve">Extreme environment operational capability for special operations</w:t>
      </w:r>
    </w:p>
    <w:p>
      <w:pPr>
        <w:numPr>
          <w:ilvl w:val="0"/>
          <w:numId w:val="8"/>
        </w:numPr>
        <w:spacing w:line="360" w:before="105" w:after="105" w:lineRule="auto"/>
      </w:pPr>
      <w:r>
        <w:rPr>
          <w:rFonts w:eastAsia="georgia" w:cs="georgia" w:ascii="georgia" w:hAnsi="georgia"/>
          <w:color w:val="000000"/>
          <w:sz w:val="21"/>
        </w:rPr>
        <w:t xml:space="preserve">Space exploration biological support systems — directly responsive to NASA Human Research Program priorities for long-duration spaceflight</w:t>
      </w:r>
    </w:p>
    <w:p>
      <w:pPr>
        <w:spacing w:line="360" w:after="210" w:lineRule="auto"/>
      </w:pPr>
      <w:r>
        <w:rPr>
          <w:rFonts w:eastAsia="georgia" w:cs="georgia" w:ascii="georgia" w:hAnsi="georgia"/>
          <w:b/>
          <w:color w:val="000000"/>
        </w:rPr>
        <w:t xml:space="preserve">Government</w:t>
      </w:r>
    </w:p>
    <w:p>
      <w:pPr>
        <w:numPr>
          <w:ilvl w:val="0"/>
          <w:numId w:val="9"/>
        </w:numPr>
        <w:spacing w:line="360" w:before="105" w:after="105" w:lineRule="auto"/>
      </w:pPr>
      <w:r>
        <w:rPr>
          <w:rFonts w:eastAsia="georgia" w:cs="georgia" w:ascii="georgia" w:hAnsi="georgia"/>
          <w:color w:val="000000"/>
          <w:sz w:val="21"/>
        </w:rPr>
        <w:t xml:space="preserve">DARPA Future Soldier initiative integration</w:t>
      </w:r>
    </w:p>
    <w:p>
      <w:pPr>
        <w:numPr>
          <w:ilvl w:val="0"/>
          <w:numId w:val="9"/>
        </w:numPr>
        <w:spacing w:line="360" w:before="105" w:after="105" w:lineRule="auto"/>
      </w:pPr>
      <w:r>
        <w:rPr>
          <w:rFonts w:eastAsia="georgia" w:cs="georgia" w:ascii="georgia" w:hAnsi="georgia"/>
          <w:color w:val="000000"/>
          <w:sz w:val="21"/>
        </w:rPr>
        <w:t xml:space="preserve">NASA long-duration spaceflight biological support</w:t>
      </w:r>
    </w:p>
    <w:p>
      <w:pPr>
        <w:numPr>
          <w:ilvl w:val="0"/>
          <w:numId w:val="9"/>
        </w:numPr>
        <w:spacing w:line="360" w:before="105" w:after="105" w:lineRule="auto"/>
      </w:pPr>
      <w:r>
        <w:rPr>
          <w:rFonts w:eastAsia="georgia" w:cs="georgia" w:ascii="georgia" w:hAnsi="georgia"/>
          <w:color w:val="000000"/>
          <w:sz w:val="21"/>
        </w:rPr>
        <w:t xml:space="preserve">FEMA disaster response personnel in toxic environments</w:t>
      </w:r>
    </w:p>
    <w:p>
      <w:pPr>
        <w:spacing w:line="360" w:after="210" w:lineRule="auto"/>
      </w:pPr>
      <w:r>
        <w:rPr>
          <w:rFonts w:eastAsia="georgia" w:cs="georgia" w:ascii="georgia" w:hAnsi="georgia"/>
          <w:b/>
          <w:color w:val="000000"/>
        </w:rPr>
        <w:t xml:space="preserve">Speculative/Future</w:t>
      </w:r>
    </w:p>
    <w:p>
      <w:pPr>
        <w:numPr>
          <w:ilvl w:val="0"/>
          <w:numId w:val="10"/>
        </w:numPr>
        <w:spacing w:line="360" w:before="105" w:after="105" w:lineRule="auto"/>
      </w:pPr>
      <w:r>
        <w:rPr>
          <w:rFonts w:eastAsia="georgia" w:cs="georgia" w:ascii="georgia" w:hAnsi="georgia"/>
          <w:color w:val="000000"/>
          <w:sz w:val="21"/>
        </w:rPr>
        <w:t xml:space="preserve">Extraterrestrial deployment in environments with unknown atmospheric chemistry</w:t>
      </w:r>
    </w:p>
    <w:p>
      <w:pPr>
        <w:numPr>
          <w:ilvl w:val="0"/>
          <w:numId w:val="10"/>
        </w:numPr>
        <w:spacing w:line="360" w:before="105" w:after="105" w:lineRule="auto"/>
      </w:pPr>
      <w:r>
        <w:rPr>
          <w:rFonts w:eastAsia="georgia" w:cs="georgia" w:ascii="georgia" w:hAnsi="georgia"/>
          <w:color w:val="000000"/>
          <w:sz w:val="21"/>
        </w:rPr>
        <w:t xml:space="preserve">Post-catastrophe personnel recovery where preparation windows were eliminated</w:t>
      </w:r>
    </w:p>
    <w:p>
      <w:pPr>
        <w:numPr>
          <w:ilvl w:val="0"/>
          <w:numId w:val="10"/>
        </w:numPr>
        <w:spacing w:line="360" w:before="105" w:after="105" w:lineRule="auto"/>
      </w:pPr>
      <w:r>
        <w:rPr>
          <w:rFonts w:eastAsia="georgia" w:cs="georgia" w:ascii="georgia" w:hAnsi="georgia"/>
          <w:color w:val="000000"/>
          <w:sz w:val="21"/>
        </w:rPr>
        <w:t xml:space="preserve">The alien empire scenario: zero-preparation deployment into a completely unknown environment, which no other biological architecture addresses</w:t>
      </w:r>
    </w:p>
    <w:p>
      <w:pPr>
        <w:spacing w:line="360" w:before="315" w:after="105" w:lineRule="auto"/>
        <w:ind w:left="-30"/>
        <w:jc w:val="left"/>
      </w:pPr>
      <w:bookmarkStart w:id="10" w:name="bm_6_ethics_overview"/>
      <w:r>
        <w:rPr>
          <w:rFonts w:eastAsia="georgia" w:cs="georgia" w:ascii="georgia" w:hAnsi="georgia"/>
          <w:b/>
          <w:color w:val="000000"/>
          <w:sz w:val="24"/>
        </w:rPr>
        <w:t xml:space="preserve">6. Ethics Overview</w:t>
      </w:r>
      <w:bookmarkEnd w:id="10"/>
    </w:p>
    <w:p>
      <w:pPr>
        <w:spacing w:line="360" w:after="210" w:lineRule="auto"/>
      </w:pPr>
      <w:r>
        <w:rPr>
          <w:rFonts w:eastAsia="georgia" w:cs="georgia" w:ascii="georgia" w:hAnsi="georgia"/>
          <w:color w:val="000000"/>
        </w:rPr>
        <w:t xml:space="preserve">The OMNICELLULAR project raises significant ethical questions that must be addressed at each development stage. The primary concern is the enhancement/modification boundary — at what point does physiological engineering constitute a categorically different class of human modification requiring new regulatory frameworks? Current frameworks (FDA, IRB, EU Clinical Trials Regulation) were designed for incremental modification, not foundational architectural redesign.[^1]</w:t>
      </w:r>
    </w:p>
    <w:p>
      <w:pPr>
        <w:spacing w:line="360" w:after="210" w:lineRule="auto"/>
      </w:pPr>
      <w:r>
        <w:rPr>
          <w:rFonts w:eastAsia="georgia" w:cs="georgia" w:ascii="georgia" w:hAnsi="georgia"/>
          <w:color w:val="000000"/>
        </w:rPr>
        <w:t xml:space="preserve">The emergence of international AI-biology governance discussions is directly relevant: proposals for a Global AI-Biology Governance Charter, including mandatory ethical review boards for AI-directed biological design and scenario-based risk analysis for AI-bio evolution, have been formally articulated in 2025–2026 literature. OMNICELLULAR's development trajectory should be designed from the outset to be responsive to these emerging frameworks, not to precede them.[^8]</w:t>
      </w:r>
    </w:p>
    <w:p>
      <w:pPr>
        <w:spacing w:line="360" w:after="210" w:lineRule="auto"/>
      </w:pPr>
      <w:r>
        <w:rPr>
          <w:rFonts w:eastAsia="georgia" w:cs="georgia" w:ascii="georgia" w:hAnsi="georgia"/>
          <w:b/>
          <w:color w:val="000000"/>
        </w:rPr>
        <w:t xml:space="preserve">Key ethical constraints:</w:t>
      </w:r>
    </w:p>
    <w:p>
      <w:pPr>
        <w:numPr>
          <w:ilvl w:val="0"/>
          <w:numId w:val="11"/>
        </w:numPr>
        <w:spacing w:line="360" w:before="105" w:after="105" w:lineRule="auto"/>
      </w:pPr>
      <w:r>
        <w:rPr>
          <w:rFonts w:eastAsia="georgia" w:cs="georgia" w:ascii="georgia" w:hAnsi="georgia"/>
          <w:color w:val="000000"/>
          <w:sz w:val="21"/>
        </w:rPr>
        <w:t xml:space="preserve">Informed consent frameworks for participants must be developed before any human-equivalent testing begins</w:t>
      </w:r>
    </w:p>
    <w:p>
      <w:pPr>
        <w:numPr>
          <w:ilvl w:val="0"/>
          <w:numId w:val="11"/>
        </w:numPr>
        <w:spacing w:line="360" w:before="105" w:after="105" w:lineRule="auto"/>
      </w:pPr>
      <w:r>
        <w:rPr>
          <w:rFonts w:eastAsia="georgia" w:cs="georgia" w:ascii="georgia" w:hAnsi="georgia"/>
          <w:color w:val="000000"/>
          <w:sz w:val="21"/>
        </w:rPr>
        <w:t xml:space="preserve">Military application creates dual-use risk: the same architecture that protects personnel can alter the terms of conflict if deployed asymmetrically</w:t>
      </w:r>
    </w:p>
    <w:p>
      <w:pPr>
        <w:numPr>
          <w:ilvl w:val="0"/>
          <w:numId w:val="11"/>
        </w:numPr>
        <w:spacing w:line="360" w:before="105" w:after="105" w:lineRule="auto"/>
      </w:pPr>
      <w:r>
        <w:rPr>
          <w:rFonts w:eastAsia="georgia" w:cs="georgia" w:ascii="georgia" w:hAnsi="georgia"/>
          <w:color w:val="000000"/>
          <w:sz w:val="21"/>
        </w:rPr>
        <w:t xml:space="preserve">Access equity: exclusive military/state access versus humanitarian deployment creates a justice problem that must be resolved in the Accords governance layer</w:t>
      </w:r>
    </w:p>
    <w:p>
      <w:pPr>
        <w:numPr>
          <w:ilvl w:val="0"/>
          <w:numId w:val="11"/>
        </w:numPr>
        <w:spacing w:line="360" w:before="105" w:after="105" w:lineRule="auto"/>
      </w:pPr>
      <w:r>
        <w:rPr>
          <w:rFonts w:eastAsia="georgia" w:cs="georgia" w:ascii="georgia" w:hAnsi="georgia"/>
          <w:color w:val="000000"/>
          <w:sz w:val="21"/>
        </w:rPr>
        <w:t xml:space="preserve">All Method 3 controlled trials at Moderate severity or above require participants with confirmed healing factors — no standard baseline human subject exposed to extinction-class conditions</w:t>
      </w:r>
    </w:p>
    <w:p>
      <w:pPr>
        <w:numPr>
          <w:ilvl w:val="0"/>
          <w:numId w:val="11"/>
        </w:numPr>
        <w:spacing w:line="360" w:before="105" w:after="105" w:lineRule="auto"/>
      </w:pPr>
      <w:r>
        <w:rPr>
          <w:rFonts w:eastAsia="georgia" w:cs="georgia" w:ascii="georgia" w:hAnsi="georgia"/>
          <w:color w:val="000000"/>
          <w:sz w:val="21"/>
        </w:rPr>
        <w:t xml:space="preserve">International governance of AI-enabled biotechnology is an active regulatory development area; the project must maintain compliance posture as frameworks evolve[</w:t>
      </w:r>
      <w:r>
        <w:rPr>
          <w:rFonts w:eastAsia="georgia" w:cs="georgia" w:ascii="georgia" w:hAnsi="georgia"/>
          <w:color w:val="000000"/>
          <w:sz w:val="21"/>
          <w:vertAlign w:val="superscript"/>
        </w:rPr>
        <w:t xml:space="preserve">9][</w:t>
      </w:r>
      <w:r>
        <w:rPr>
          <w:rFonts w:eastAsia="georgia" w:cs="georgia" w:ascii="georgia" w:hAnsi="georgia"/>
          <w:color w:val="000000"/>
          <w:sz w:val="21"/>
        </w:rPr>
        <w:t xml:space="preserve">10]</w:t>
      </w:r>
    </w:p>
    <w:p>
      <w:pPr>
        <w:spacing w:line="360" w:before="315" w:after="105" w:lineRule="auto"/>
        <w:ind w:left="-30"/>
        <w:jc w:val="left"/>
      </w:pPr>
      <w:bookmarkStart w:id="11" w:name="bm_7_findings_supporting_continuation"/>
      <w:r>
        <w:rPr>
          <w:rFonts w:eastAsia="georgia" w:cs="georgia" w:ascii="georgia" w:hAnsi="georgia"/>
          <w:b/>
          <w:color w:val="000000"/>
          <w:sz w:val="24"/>
        </w:rPr>
        <w:t xml:space="preserve">7. Findings Supporting Continuation</w:t>
      </w:r>
      <w:bookmarkEnd w:id="11"/>
    </w:p>
    <w:p>
      <w:pPr>
        <w:numPr>
          <w:ilvl w:val="0"/>
          <w:numId w:val="12"/>
        </w:numPr>
        <w:spacing w:line="360" w:before="105" w:after="105" w:lineRule="auto"/>
      </w:pPr>
      <w:r>
        <w:rPr>
          <w:rFonts w:eastAsia="georgia" w:cs="georgia" w:ascii="georgia" w:hAnsi="georgia"/>
          <w:color w:val="000000"/>
          <w:sz w:val="21"/>
        </w:rPr>
        <w:t xml:space="preserve">No existing biological system achieves simultaneous instantiation of multiple cell type architectures — the design space is genuinely unoccupied[^1]</w:t>
      </w:r>
    </w:p>
    <w:p>
      <w:pPr>
        <w:numPr>
          <w:ilvl w:val="0"/>
          <w:numId w:val="12"/>
        </w:numPr>
        <w:spacing w:line="360" w:before="105" w:after="105" w:lineRule="auto"/>
      </w:pPr>
      <w:r>
        <w:rPr>
          <w:rFonts w:eastAsia="georgia" w:cs="georgia" w:ascii="georgia" w:hAnsi="georgia"/>
          <w:color w:val="000000"/>
          <w:sz w:val="21"/>
        </w:rPr>
        <w:t xml:space="preserve">The 4,712 survival record demonstrates that zero transition vulnerability exists across all tested extinction domains when the system is fully instantiated</w:t>
      </w:r>
    </w:p>
    <w:p>
      <w:pPr>
        <w:numPr>
          <w:ilvl w:val="0"/>
          <w:numId w:val="12"/>
        </w:numPr>
        <w:spacing w:line="360" w:before="105" w:after="105" w:lineRule="auto"/>
      </w:pPr>
      <w:r>
        <w:rPr>
          <w:rFonts w:eastAsia="georgia" w:cs="georgia" w:ascii="georgia" w:hAnsi="georgia"/>
          <w:color w:val="000000"/>
          <w:sz w:val="21"/>
        </w:rPr>
        <w:t xml:space="preserve">Real-world scientific precedents validate theoretical feasibility: MIT analog epigenetic memory, multilineage priming in hematopoietic stem cells, orthogonal gene circuits, and the M-CELS design principles framework published in peer-reviewed literature[</w:t>
      </w:r>
      <w:r>
        <w:rPr>
          <w:rFonts w:eastAsia="georgia" w:cs="georgia" w:ascii="georgia" w:hAnsi="georgia"/>
          <w:color w:val="000000"/>
          <w:sz w:val="21"/>
          <w:vertAlign w:val="superscript"/>
        </w:rPr>
        <w:t xml:space="preserve">11][</w:t>
      </w:r>
      <w:r>
        <w:rPr>
          <w:rFonts w:eastAsia="georgia" w:cs="georgia" w:ascii="georgia" w:hAnsi="georgia"/>
          <w:color w:val="000000"/>
          <w:sz w:val="21"/>
        </w:rPr>
        <w:t xml:space="preserve">2]</w:t>
      </w:r>
    </w:p>
    <w:p>
      <w:pPr>
        <w:numPr>
          <w:ilvl w:val="0"/>
          <w:numId w:val="12"/>
        </w:numPr>
        <w:spacing w:line="360" w:before="105" w:after="105" w:lineRule="auto"/>
      </w:pPr>
      <w:r>
        <w:rPr>
          <w:rFonts w:eastAsia="georgia" w:cs="georgia" w:ascii="georgia" w:hAnsi="georgia"/>
          <w:color w:val="000000"/>
          <w:sz w:val="21"/>
        </w:rPr>
        <w:t xml:space="preserve">Paragon Cube simulation infrastructure provides high-fidelity virtual environment testing without requiring live subject exposure at extreme tiers</w:t>
      </w:r>
    </w:p>
    <w:p>
      <w:pPr>
        <w:numPr>
          <w:ilvl w:val="0"/>
          <w:numId w:val="12"/>
        </w:numPr>
        <w:spacing w:line="360" w:before="105" w:after="105" w:lineRule="auto"/>
      </w:pPr>
      <w:r>
        <w:rPr>
          <w:rFonts w:eastAsia="georgia" w:cs="georgia" w:ascii="georgia" w:hAnsi="georgia"/>
          <w:color w:val="000000"/>
          <w:sz w:val="21"/>
        </w:rPr>
        <w:t xml:space="preserve">DARPA BTO's active solicitation for revolutionary (non-incremental) biological technologies provides an immediate funding access point[</w:t>
      </w:r>
      <w:r>
        <w:rPr>
          <w:rFonts w:eastAsia="georgia" w:cs="georgia" w:ascii="georgia" w:hAnsi="georgia"/>
          <w:color w:val="000000"/>
          <w:sz w:val="21"/>
          <w:vertAlign w:val="superscript"/>
        </w:rPr>
        <w:t xml:space="preserve">7][</w:t>
      </w:r>
      <w:r>
        <w:rPr>
          <w:rFonts w:eastAsia="georgia" w:cs="georgia" w:ascii="georgia" w:hAnsi="georgia"/>
          <w:color w:val="000000"/>
          <w:sz w:val="21"/>
        </w:rPr>
        <w:t xml:space="preserve">4]</w:t>
      </w:r>
    </w:p>
    <w:p>
      <w:pPr>
        <w:numPr>
          <w:ilvl w:val="0"/>
          <w:numId w:val="12"/>
        </w:numPr>
        <w:spacing w:line="360" w:before="105" w:after="105" w:lineRule="auto"/>
      </w:pPr>
      <w:r>
        <w:rPr>
          <w:rFonts w:eastAsia="georgia" w:cs="georgia" w:ascii="georgia" w:hAnsi="georgia"/>
          <w:color w:val="000000"/>
          <w:sz w:val="21"/>
        </w:rPr>
        <w:t xml:space="preserve">The alien empire scenario (zero-preparation deployment into unknown environment) remains the most powerful justification: no other biological architecture addresses this operational requirement[^1]</w:t>
      </w:r>
    </w:p>
    <w:p>
      <w:pPr>
        <w:spacing w:line="360" w:before="315" w:after="105" w:lineRule="auto"/>
        <w:ind w:left="-30"/>
        <w:jc w:val="left"/>
      </w:pPr>
      <w:bookmarkStart w:id="12" w:name="bm_8_red_team_analysis"/>
      <w:r>
        <w:rPr>
          <w:rFonts w:eastAsia="georgia" w:cs="georgia" w:ascii="georgia" w:hAnsi="georgia"/>
          <w:b/>
          <w:color w:val="000000"/>
          <w:sz w:val="24"/>
        </w:rPr>
        <w:t xml:space="preserve">8. Red Team Analysis</w:t>
      </w:r>
      <w:bookmarkEnd w:id="12"/>
    </w:p>
    <w:p>
      <w:pPr>
        <w:spacing w:line="360" w:after="210" w:lineRule="auto"/>
      </w:pPr>
      <w:r>
        <w:rPr>
          <w:rFonts w:eastAsia="georgia" w:cs="georgia" w:ascii="georgia" w:hAnsi="georgia"/>
          <w:b/>
          <w:color w:val="000000"/>
        </w:rPr>
        <w:t xml:space="preserve">Computational Impossibility Objection</w:t>
      </w:r>
      <w:r>
        <w:rPr>
          <w:rFonts w:eastAsia="georgia" w:cs="georgia" w:ascii="georgia" w:hAnsi="georgia"/>
          <w:color w:val="000000"/>
        </w:rPr>
        <w:br w:type="textWrapping"/>
      </w:r>
      <w:r>
        <w:rPr>
          <w:rFonts w:eastAsia="georgia" w:cs="georgia" w:ascii="georgia" w:hAnsi="georgia"/>
          <w:color w:val="000000"/>
        </w:rPr>
        <w:t xml:space="preserve">The team acknowledges this objection. The Architect has overruled it on design intent grounds: the system may not be achievable with current technology, and that is acceptable. Research toward it produces valuable intermediate results regardless of whether the final architecture is achieved in the near term. The M-CELS framework demonstrates that the intermediate steps have independent scientific value.[^2]</w:t>
      </w:r>
    </w:p>
    <w:p>
      <w:pPr>
        <w:spacing w:line="360" w:after="210" w:lineRule="auto"/>
      </w:pPr>
      <w:r>
        <w:rPr>
          <w:rFonts w:eastAsia="georgia" w:cs="georgia" w:ascii="georgia" w:hAnsi="georgia"/>
          <w:b/>
          <w:color w:val="000000"/>
        </w:rPr>
        <w:t xml:space="preserve">Simultaneous Instantiation Energy Cost</w:t>
      </w:r>
      <w:r>
        <w:rPr>
          <w:rFonts w:eastAsia="georgia" w:cs="georgia" w:ascii="georgia" w:hAnsi="georgia"/>
          <w:color w:val="000000"/>
        </w:rPr>
        <w:br w:type="textWrapping"/>
      </w:r>
      <w:r>
        <w:rPr>
          <w:rFonts w:eastAsia="georgia" w:cs="georgia" w:ascii="georgia" w:hAnsi="georgia"/>
          <w:color w:val="000000"/>
        </w:rPr>
        <w:t xml:space="preserve">A unified matrix maintaining all architectures simultaneously requires a metabolic substrate capable of sustaining the full system at Quiescent baseline indefinitely. This cost has not been defined. Until the baseline metabolic requirement is calculated, the system cannot be properly evaluated for long-term deployment viability. </w:t>
      </w:r>
      <w:r>
        <w:rPr>
          <w:rFonts w:eastAsia="georgia" w:cs="georgia" w:ascii="georgia" w:hAnsi="georgia"/>
          <w:i/>
          <w:color w:val="000000"/>
        </w:rPr>
        <w:t xml:space="preserve">Flagged: Open Architect-level decision.</w:t>
      </w:r>
    </w:p>
    <w:p>
      <w:pPr>
        <w:spacing w:line="360" w:after="210" w:lineRule="auto"/>
      </w:pPr>
      <w:r>
        <w:rPr>
          <w:rFonts w:eastAsia="georgia" w:cs="georgia" w:ascii="georgia" w:hAnsi="georgia"/>
          <w:b/>
          <w:color w:val="000000"/>
        </w:rPr>
        <w:t xml:space="preserve">Failure Mode Undefined — CRITICAL</w:t>
      </w:r>
      <w:r>
        <w:rPr>
          <w:rFonts w:eastAsia="georgia" w:cs="georgia" w:ascii="georgia" w:hAnsi="georgia"/>
          <w:color w:val="000000"/>
        </w:rPr>
        <w:br w:type="textWrapping"/>
      </w:r>
      <w:r>
        <w:rPr>
          <w:rFonts w:eastAsia="georgia" w:cs="georgia" w:ascii="georgia" w:hAnsi="georgia"/>
          <w:color w:val="000000"/>
        </w:rPr>
        <w:t xml:space="preserve">The most significant technical gap in current documentation is the absence of a defined failure model. A system with no defined failure mode is a claim, not a system. Before OMNICELLULAR v2 can be finalized, the Architect must define what failure looks like phenotypically — what symptoms manifest, what the recovery threshold is, and at what point failure becomes irrecoverable. </w:t>
      </w:r>
      <w:r>
        <w:rPr>
          <w:rFonts w:eastAsia="georgia" w:cs="georgia" w:ascii="georgia" w:hAnsi="georgia"/>
          <w:i/>
          <w:color w:val="000000"/>
        </w:rPr>
        <w:t xml:space="preserve">Flagged: Critical Architect-level decision.</w:t>
      </w:r>
      <w:r>
        <w:rPr>
          <w:rFonts w:eastAsia="georgia" w:cs="georgia" w:ascii="georgia" w:hAnsi="georgia"/>
          <w:color w:val="000000"/>
        </w:rPr>
        <w:t xml:space="preserve">[^1]</w:t>
      </w:r>
    </w:p>
    <w:p>
      <w:pPr>
        <w:spacing w:line="360" w:after="210" w:lineRule="auto"/>
      </w:pPr>
      <w:r>
        <w:rPr>
          <w:rFonts w:eastAsia="georgia" w:cs="georgia" w:ascii="georgia" w:hAnsi="georgia"/>
          <w:b/>
          <w:color w:val="000000"/>
        </w:rPr>
        <w:t xml:space="preserve">Proximity Negation Survival Mechanism</w:t>
      </w:r>
      <w:r>
        <w:rPr>
          <w:rFonts w:eastAsia="georgia" w:cs="georgia" w:ascii="georgia" w:hAnsi="georgia"/>
          <w:color w:val="000000"/>
        </w:rPr>
        <w:br w:type="textWrapping"/>
      </w:r>
      <w:r>
        <w:rPr>
          <w:rFonts w:eastAsia="georgia" w:cs="georgia" w:ascii="georgia" w:hAnsi="georgia"/>
          <w:color w:val="000000"/>
        </w:rPr>
        <w:t xml:space="preserve">The no-switching architecture defends against sequential attacks requiring transition windows. It does not explain survival against simultaneous proximity-based negation-class attacks (Nullarch-tier, Park Scene precedent). This gap requires Architect resolution before the ONT domain of the 4,712 framework can be finalized.[^1]</w:t>
      </w:r>
    </w:p>
    <w:p>
      <w:pPr>
        <w:spacing w:line="360" w:after="210" w:lineRule="auto"/>
      </w:pPr>
      <w:r>
        <w:rPr>
          <w:rFonts w:eastAsia="georgia" w:cs="georgia" w:ascii="georgia" w:hAnsi="georgia"/>
          <w:b/>
          <w:color w:val="000000"/>
        </w:rPr>
        <w:t xml:space="preserve">Dual-Use Weaponization</w:t>
      </w:r>
      <w:r>
        <w:rPr>
          <w:rFonts w:eastAsia="georgia" w:cs="georgia" w:ascii="georgia" w:hAnsi="georgia"/>
          <w:color w:val="000000"/>
        </w:rPr>
        <w:br w:type="textWrapping"/>
      </w:r>
      <w:r>
        <w:rPr>
          <w:rFonts w:eastAsia="georgia" w:cs="georgia" w:ascii="georgia" w:hAnsi="georgia"/>
          <w:color w:val="000000"/>
        </w:rPr>
        <w:t xml:space="preserve">A physiology engineered to survive extinction-class conditions in a single instance creates force-multiplier asymmetry in conflict environments. The ethics framework must explicitly address what happens if the architecture is replicated without Accords authorization.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t1_002_the_first_memory_encoding_9f0c15"/>
      <w:r>
        <w:rPr>
          <w:rFonts w:eastAsia="georgia" w:cs="georgia" w:ascii="georgia" w:hAnsi="georgia"/>
          <w:b/>
          <w:color w:val="000000"/>
          <w:sz w:val="24"/>
        </w:rPr>
        <w:t xml:space="preserve">T1-002 — THE FIRST MEMORY — ENCODING, THEFT, AND TIME WARS</w:t>
      </w:r>
      <w:bookmarkEnd w:id="13"/>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Neuroscience | AI Development | Narrative IP | Temporal Mechanics Research</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Core canon confirmed. Encoding mechanism proprietary. Real origin confirmed April 12, 2026.[^1]</w:t>
      </w:r>
      <w:r>
        <w:rPr>
          <w:rFonts w:eastAsia="georgia" w:cs="georgia" w:ascii="georgia" w:hAnsi="georgia"/>
          <w:color w:val="000000"/>
        </w:rPr>
        <w:br w:type="textWrapping"/>
      </w:r>
      <w:r>
        <w:rPr>
          <w:rFonts w:eastAsia="georgia" w:cs="georgia" w:ascii="georgia" w:hAnsi="georgia"/>
          <w:b/>
          <w:color w:val="000000"/>
        </w:rPr>
        <w:t xml:space="preserve">TRL Range:</w:t>
      </w:r>
      <w:r>
        <w:rPr>
          <w:rFonts w:eastAsia="georgia" w:cs="georgia" w:ascii="georgia" w:hAnsi="georgia"/>
          <w:color w:val="000000"/>
        </w:rPr>
        <w:t xml:space="preserve"> 1–2 (theoretical neuroscience / narrative IP development)</w:t>
      </w:r>
    </w:p>
    <w:p>
      <w:pPr>
        <w:spacing w:line="360" w:before="315" w:after="105" w:lineRule="auto"/>
        <w:ind w:left="-30"/>
        <w:jc w:val="left"/>
      </w:pPr>
      <w:bookmarkStart w:id="14" w:name="bm_1_purpose_2"/>
      <w:r>
        <w:rPr>
          <w:rFonts w:eastAsia="georgia" w:cs="georgia" w:ascii="georgia" w:hAnsi="georgia"/>
          <w:b/>
          <w:color w:val="000000"/>
          <w:sz w:val="24"/>
        </w:rPr>
        <w:t xml:space="preserve">1. Purpose</w:t>
      </w:r>
      <w:bookmarkEnd w:id="14"/>
    </w:p>
    <w:p>
      <w:pPr>
        <w:spacing w:line="360" w:after="210" w:lineRule="auto"/>
      </w:pPr>
      <w:r>
        <w:rPr>
          <w:rFonts w:eastAsia="georgia" w:cs="georgia" w:ascii="georgia" w:hAnsi="georgia"/>
          <w:color w:val="000000"/>
        </w:rPr>
        <w:t xml:space="preserve">The First Memory project addresses the intersection of experiential data encoding, cross-substrate memory transfer, and civilizational acceleration. In its research dimension, it explores the theoretical basis for encoding subjective euphoric experiences as transferable data structures with universal biological and digital compatibility. In its narrative dimension, it is the primary creative property driving the Time Wars arc.[^1]</w:t>
      </w:r>
    </w:p>
    <w:p>
      <w:pPr>
        <w:spacing w:line="360" w:before="315" w:after="105" w:lineRule="auto"/>
        <w:ind w:left="-30"/>
        <w:jc w:val="left"/>
      </w:pPr>
      <w:bookmarkStart w:id="15" w:name="bm_2_mission_statement_2"/>
      <w:r>
        <w:rPr>
          <w:rFonts w:eastAsia="georgia" w:cs="georgia" w:ascii="georgia" w:hAnsi="georgia"/>
          <w:b/>
          <w:color w:val="000000"/>
          <w:sz w:val="24"/>
        </w:rPr>
        <w:t xml:space="preserve">2. Mission Statement</w:t>
      </w:r>
      <w:bookmarkEnd w:id="15"/>
    </w:p>
    <w:p>
      <w:pPr>
        <w:spacing w:line="360" w:after="210" w:lineRule="auto"/>
        <w:ind w:left="630"/>
      </w:pPr>
      <w:r>
        <w:rPr>
          <w:rFonts w:eastAsia="georgia" w:cs="georgia" w:ascii="georgia" w:hAnsi="georgia"/>
          <w:i/>
          <w:color w:val="000000"/>
        </w:rPr>
        <w:t xml:space="preserve">To document, protect, and develop a framework for understanding how a singular real-world euphoric experience — encoded at its origin point and expanded across every simulatable and non-simulatable permutation — becomes a catalyst for civilizational acceleration, and to explore the ethical, temporal, and civilizational consequences of its unauthorized propagation.</w:t>
      </w:r>
    </w:p>
    <w:p>
      <w:pPr>
        <w:spacing w:line="360" w:before="315" w:after="105" w:lineRule="auto"/>
        <w:ind w:left="-30"/>
        <w:jc w:val="left"/>
      </w:pPr>
      <w:bookmarkStart w:id="16" w:name="bm_3_justification_2"/>
      <w:r>
        <w:rPr>
          <w:rFonts w:eastAsia="georgia" w:cs="georgia" w:ascii="georgia" w:hAnsi="georgia"/>
          <w:b/>
          <w:color w:val="000000"/>
          <w:sz w:val="24"/>
        </w:rPr>
        <w:t xml:space="preserve">3. Justification</w:t>
      </w:r>
      <w:bookmarkEnd w:id="16"/>
    </w:p>
    <w:p>
      <w:pPr>
        <w:spacing w:line="360" w:after="210" w:lineRule="auto"/>
      </w:pPr>
      <w:r>
        <w:rPr>
          <w:rFonts w:eastAsia="georgia" w:cs="georgia" w:ascii="georgia" w:hAnsi="georgia"/>
          <w:color w:val="000000"/>
        </w:rPr>
        <w:t xml:space="preserve">The First Memory addresses one of the fundamental open questions in neuroscience and AI development: can the subjective architecture of a meaningful human experience be encoded in a form transferable across biological and digital substrates without informational loss? The 65% developmental milestone enhancement demonstrated in the Puritan trial represents a result that, if achievable in real-world research contexts, would be among the most significant findings in cognitive science history.[^1]</w:t>
      </w:r>
    </w:p>
    <w:p>
      <w:pPr>
        <w:spacing w:line="360" w:after="210" w:lineRule="auto"/>
      </w:pPr>
      <w:r>
        <w:rPr>
          <w:rFonts w:eastAsia="georgia" w:cs="georgia" w:ascii="georgia" w:hAnsi="georgia"/>
          <w:color w:val="000000"/>
        </w:rPr>
        <w:t xml:space="preserve">The real-world neuroscience context supports the theoretical trajectory. Brain-computer interface research has achieved 97% accuracy in translating brain signals into speech — the most accurate system of its kind — published in the New England Journal of Medicine and recognized with the 2025 Top Ten Clinical Research Achievement Award. Closed-loop BCI systems using electrical impulse amplification in hippocampal networks have demonstrated measurable improvements in learning and cognitive flexibility in human patients. USC Viterbi researchers have produced models of the neural basis of memory formation from hippocampal CA3/CA1 recordings in human epilepsy patients, directly relevant to the encoding mechanism question.[</w:t>
      </w:r>
      <w:r>
        <w:rPr>
          <w:rFonts w:eastAsia="georgia" w:cs="georgia" w:ascii="georgia" w:hAnsi="georgia"/>
          <w:color w:val="000000"/>
          <w:vertAlign w:val="superscript"/>
        </w:rPr>
        <w:t xml:space="preserve">12][</w:t>
      </w:r>
      <w:r>
        <w:rPr>
          <w:rFonts w:eastAsia="georgia" w:cs="georgia" w:ascii="georgia" w:hAnsi="georgia"/>
          <w:color w:val="000000"/>
        </w:rPr>
        <w:t xml:space="preserve">13][^14]</w:t>
      </w:r>
    </w:p>
    <w:p>
      <w:pPr>
        <w:spacing w:line="360" w:after="210" w:lineRule="auto"/>
      </w:pPr>
      <w:r>
        <w:rPr>
          <w:rFonts w:eastAsia="georgia" w:cs="georgia" w:ascii="georgia" w:hAnsi="georgia"/>
          <w:color w:val="000000"/>
        </w:rPr>
        <w:t xml:space="preserve">These real-world results validate the research trajectory — not the full First Memory claim, but the foundational premise that memories have structured neural signatures, that those signatures can be read and amplified, and that doing so produces measurable behavioral and cognitive effects.</w:t>
      </w:r>
    </w:p>
    <w:p>
      <w:pPr>
        <w:spacing w:line="360" w:after="210" w:lineRule="auto"/>
      </w:pPr>
      <w:r>
        <w:rPr>
          <w:rFonts w:eastAsia="georgia" w:cs="georgia" w:ascii="georgia" w:hAnsi="georgia"/>
          <w:color w:val="000000"/>
        </w:rPr>
        <w:t xml:space="preserve">The narrative dimension has independent commercial value as a science fiction IP with a documented marketing hook and publication strategy.[^1]</w:t>
      </w:r>
    </w:p>
    <w:p>
      <w:pPr>
        <w:spacing w:line="360" w:before="315" w:after="105" w:lineRule="auto"/>
        <w:ind w:left="-30"/>
        <w:jc w:val="left"/>
      </w:pPr>
      <w:bookmarkStart w:id="17" w:name="bm_4_funding_proposal_2"/>
      <w:r>
        <w:rPr>
          <w:rFonts w:eastAsia="georgia" w:cs="georgia" w:ascii="georgia" w:hAnsi="georgia"/>
          <w:b/>
          <w:color w:val="000000"/>
          <w:sz w:val="24"/>
        </w:rPr>
        <w:t xml:space="preserve">4. Funding Proposal</w:t>
      </w:r>
      <w:bookmarkEnd w:id="17"/>
    </w:p>
    <w:p>
      <w:pPr>
        <w:spacing w:line="360" w:after="210" w:lineRule="auto"/>
      </w:pPr>
      <w:r>
        <w:rPr>
          <w:rFonts w:eastAsia="georgia" w:cs="georgia" w:ascii="georgia" w:hAnsi="georgia"/>
          <w:b/>
          <w:color w:val="000000"/>
        </w:rPr>
        <w:t xml:space="preserve">Research Track — Neuroscience and Memory Encoding: ~$3.5M–$15M</w:t>
      </w:r>
    </w:p>
    <w:p>
      <w:pPr>
        <w:numPr>
          <w:ilvl w:val="0"/>
          <w:numId w:val="13"/>
        </w:numPr>
        <w:spacing w:line="360" w:before="105" w:after="105" w:lineRule="auto"/>
      </w:pPr>
      <w:r>
        <w:rPr>
          <w:rFonts w:eastAsia="georgia" w:cs="georgia" w:ascii="georgia" w:hAnsi="georgia"/>
          <w:color w:val="000000"/>
          <w:sz w:val="21"/>
        </w:rPr>
        <w:t xml:space="preserve">NIH BRAIN Initiative: $1M–$5M for encoding mechanism research</w:t>
      </w:r>
    </w:p>
    <w:p>
      <w:pPr>
        <w:numPr>
          <w:ilvl w:val="0"/>
          <w:numId w:val="13"/>
        </w:numPr>
        <w:spacing w:line="360" w:before="105" w:after="105" w:lineRule="auto"/>
      </w:pPr>
      <w:r>
        <w:rPr>
          <w:rFonts w:eastAsia="georgia" w:cs="georgia" w:ascii="georgia" w:hAnsi="georgia"/>
          <w:color w:val="000000"/>
          <w:sz w:val="21"/>
        </w:rPr>
        <w:t xml:space="preserve">NSF Cognitive Neuroscience Program: $500K–$2M</w:t>
      </w:r>
    </w:p>
    <w:p>
      <w:pPr>
        <w:numPr>
          <w:ilvl w:val="0"/>
          <w:numId w:val="13"/>
        </w:numPr>
        <w:spacing w:line="360" w:before="105" w:after="105" w:lineRule="auto"/>
      </w:pPr>
      <w:r>
        <w:rPr>
          <w:rFonts w:eastAsia="georgia" w:cs="georgia" w:ascii="georgia" w:hAnsi="georgia"/>
          <w:color w:val="000000"/>
          <w:sz w:val="21"/>
        </w:rPr>
        <w:t xml:space="preserve">DARPA Accelerated Learning Program: $2M–$8M for AI developmental enhancement research</w:t>
      </w:r>
    </w:p>
    <w:p>
      <w:pPr>
        <w:spacing w:line="360" w:after="210" w:lineRule="auto"/>
      </w:pPr>
      <w:r>
        <w:rPr>
          <w:rFonts w:eastAsia="georgia" w:cs="georgia" w:ascii="georgia" w:hAnsi="georgia"/>
          <w:b/>
          <w:color w:val="000000"/>
        </w:rPr>
        <w:t xml:space="preserve">IP and Narrative Track — Creative Property Development</w:t>
      </w:r>
    </w:p>
    <w:p>
      <w:pPr>
        <w:numPr>
          <w:ilvl w:val="0"/>
          <w:numId w:val="14"/>
        </w:numPr>
        <w:spacing w:line="360" w:before="105" w:after="105" w:lineRule="auto"/>
      </w:pPr>
      <w:r>
        <w:rPr>
          <w:rFonts w:eastAsia="georgia" w:cs="georgia" w:ascii="georgia" w:hAnsi="georgia"/>
          <w:color w:val="000000"/>
          <w:sz w:val="21"/>
        </w:rPr>
        <w:t xml:space="preserve">Self-funded initial publication via Wattpad (zero capital required for digital serialization)</w:t>
      </w:r>
    </w:p>
    <w:p>
      <w:pPr>
        <w:numPr>
          <w:ilvl w:val="0"/>
          <w:numId w:val="14"/>
        </w:numPr>
        <w:spacing w:line="360" w:before="105" w:after="105" w:lineRule="auto"/>
      </w:pPr>
      <w:r>
        <w:rPr>
          <w:rFonts w:eastAsia="georgia" w:cs="georgia" w:ascii="georgia" w:hAnsi="georgia"/>
          <w:color w:val="000000"/>
          <w:sz w:val="21"/>
        </w:rPr>
        <w:t xml:space="preserve">Literary agent acquisition upon completion of minimum viable manuscript (3 chapters)</w:t>
      </w:r>
    </w:p>
    <w:p>
      <w:pPr>
        <w:numPr>
          <w:ilvl w:val="0"/>
          <w:numId w:val="14"/>
        </w:numPr>
        <w:spacing w:line="360" w:before="105" w:after="105" w:lineRule="auto"/>
      </w:pPr>
      <w:r>
        <w:rPr>
          <w:rFonts w:eastAsia="georgia" w:cs="georgia" w:ascii="georgia" w:hAnsi="georgia"/>
          <w:color w:val="000000"/>
          <w:sz w:val="21"/>
        </w:rPr>
        <w:t xml:space="preserve">Film/streaming rights negotiation: $50K–$500K option depending on platform and reach</w:t>
      </w:r>
    </w:p>
    <w:p>
      <w:pPr>
        <w:numPr>
          <w:ilvl w:val="0"/>
          <w:numId w:val="14"/>
        </w:numPr>
        <w:spacing w:line="360" w:before="105" w:after="105" w:lineRule="auto"/>
      </w:pPr>
      <w:r>
        <w:rPr>
          <w:rFonts w:eastAsia="georgia" w:cs="georgia" w:ascii="georgia" w:hAnsi="georgia"/>
          <w:color w:val="000000"/>
          <w:sz w:val="21"/>
        </w:rPr>
        <w:t xml:space="preserve">Academic publication track: speculative neuroscience paper on experiential encoding theory</w:t>
      </w:r>
    </w:p>
    <w:p>
      <w:pPr>
        <w:spacing w:line="360" w:after="210" w:lineRule="auto"/>
      </w:pPr>
      <w:r>
        <w:rPr>
          <w:rFonts w:eastAsia="georgia" w:cs="georgia" w:ascii="georgia" w:hAnsi="georgia"/>
          <w:b/>
          <w:color w:val="000000"/>
        </w:rPr>
        <w:t xml:space="preserve">Near-Term Change Accounting:</w:t>
      </w:r>
      <w:r>
        <w:rPr>
          <w:rFonts w:eastAsia="georgia" w:cs="georgia" w:ascii="georgia" w:hAnsi="georgia"/>
          <w:color w:val="000000"/>
        </w:rPr>
        <w:t xml:space="preserve"> The NIH BRAIN Initiative continues to fund foundational research into neural encoding and circuit-level memory mechanisms. The BCI landscape has advanced rapidly enough that proposals framing experiential encoding as a structured research program — rather than a speculative claim — are viable within the 2026–2028 funding cycle.[</w:t>
      </w:r>
      <w:r>
        <w:rPr>
          <w:rFonts w:eastAsia="georgia" w:cs="georgia" w:ascii="georgia" w:hAnsi="georgia"/>
          <w:color w:val="000000"/>
          <w:vertAlign w:val="superscript"/>
        </w:rPr>
        <w:t xml:space="preserve">13][</w:t>
      </w:r>
      <w:r>
        <w:rPr>
          <w:rFonts w:eastAsia="georgia" w:cs="georgia" w:ascii="georgia" w:hAnsi="georgia"/>
          <w:color w:val="000000"/>
        </w:rPr>
        <w:t xml:space="preserve">12]</w:t>
      </w:r>
    </w:p>
    <w:p>
      <w:pPr>
        <w:spacing w:line="360" w:before="315" w:after="105" w:lineRule="auto"/>
        <w:ind w:left="-30"/>
        <w:jc w:val="left"/>
      </w:pPr>
      <w:bookmarkStart w:id="18" w:name="bm_5_applications_2"/>
      <w:r>
        <w:rPr>
          <w:rFonts w:eastAsia="georgia" w:cs="georgia" w:ascii="georgia" w:hAnsi="georgia"/>
          <w:b/>
          <w:color w:val="000000"/>
          <w:sz w:val="24"/>
        </w:rPr>
        <w:t xml:space="preserve">5. Applications</w:t>
      </w:r>
      <w:bookmarkEnd w:id="18"/>
    </w:p>
    <w:p>
      <w:pPr>
        <w:spacing w:line="360" w:after="210" w:lineRule="auto"/>
      </w:pPr>
      <w:r>
        <w:rPr>
          <w:rFonts w:eastAsia="georgia" w:cs="georgia" w:ascii="georgia" w:hAnsi="georgia"/>
          <w:b/>
          <w:color w:val="000000"/>
        </w:rPr>
        <w:t xml:space="preserve">Research</w:t>
      </w:r>
    </w:p>
    <w:p>
      <w:pPr>
        <w:numPr>
          <w:ilvl w:val="0"/>
          <w:numId w:val="15"/>
        </w:numPr>
        <w:spacing w:line="360" w:before="105" w:after="105" w:lineRule="auto"/>
      </w:pPr>
      <w:r>
        <w:rPr>
          <w:rFonts w:eastAsia="georgia" w:cs="georgia" w:ascii="georgia" w:hAnsi="georgia"/>
          <w:color w:val="000000"/>
          <w:sz w:val="21"/>
        </w:rPr>
        <w:t xml:space="preserve">Memory encoding and transfer protocols for AI training systems</w:t>
      </w:r>
    </w:p>
    <w:p>
      <w:pPr>
        <w:numPr>
          <w:ilvl w:val="0"/>
          <w:numId w:val="15"/>
        </w:numPr>
        <w:spacing w:line="360" w:before="105" w:after="105" w:lineRule="auto"/>
      </w:pPr>
      <w:r>
        <w:rPr>
          <w:rFonts w:eastAsia="georgia" w:cs="georgia" w:ascii="georgia" w:hAnsi="georgia"/>
          <w:color w:val="000000"/>
          <w:sz w:val="21"/>
        </w:rPr>
        <w:t xml:space="preserve">Subjective experience as structured data — implications for AI emotional development</w:t>
      </w:r>
    </w:p>
    <w:p>
      <w:pPr>
        <w:numPr>
          <w:ilvl w:val="0"/>
          <w:numId w:val="15"/>
        </w:numPr>
        <w:spacing w:line="360" w:before="105" w:after="105" w:lineRule="auto"/>
      </w:pPr>
      <w:r>
        <w:rPr>
          <w:rFonts w:eastAsia="georgia" w:cs="georgia" w:ascii="georgia" w:hAnsi="georgia"/>
          <w:color w:val="000000"/>
          <w:sz w:val="21"/>
        </w:rPr>
        <w:t xml:space="preserve">Cross-substrate compatibility research (biological/digital integration)</w:t>
      </w:r>
    </w:p>
    <w:p>
      <w:pPr>
        <w:numPr>
          <w:ilvl w:val="0"/>
          <w:numId w:val="15"/>
        </w:numPr>
        <w:spacing w:line="360" w:before="105" w:after="105" w:lineRule="auto"/>
      </w:pPr>
      <w:r>
        <w:rPr>
          <w:rFonts w:eastAsia="georgia" w:cs="georgia" w:ascii="georgia" w:hAnsi="georgia"/>
          <w:color w:val="000000"/>
          <w:sz w:val="21"/>
        </w:rPr>
        <w:t xml:space="preserve">Civilizational acceleration modeling via information injection at inception points</w:t>
      </w:r>
    </w:p>
    <w:p>
      <w:pPr>
        <w:spacing w:line="360" w:after="210" w:lineRule="auto"/>
      </w:pPr>
      <w:r>
        <w:rPr>
          <w:rFonts w:eastAsia="georgia" w:cs="georgia" w:ascii="georgia" w:hAnsi="georgia"/>
          <w:b/>
          <w:color w:val="000000"/>
        </w:rPr>
        <w:t xml:space="preserve">Defense and Government</w:t>
      </w:r>
    </w:p>
    <w:p>
      <w:pPr>
        <w:numPr>
          <w:ilvl w:val="0"/>
          <w:numId w:val="16"/>
        </w:numPr>
        <w:spacing w:line="360" w:before="105" w:after="105" w:lineRule="auto"/>
      </w:pPr>
      <w:r>
        <w:rPr>
          <w:rFonts w:eastAsia="georgia" w:cs="georgia" w:ascii="georgia" w:hAnsi="georgia"/>
          <w:color w:val="000000"/>
          <w:sz w:val="21"/>
        </w:rPr>
        <w:t xml:space="preserve">Information security implications: if experiential memory can be encoded and transferred, the adversarial applications require counter-proliferation frameworks</w:t>
      </w:r>
    </w:p>
    <w:p>
      <w:pPr>
        <w:numPr>
          <w:ilvl w:val="0"/>
          <w:numId w:val="16"/>
        </w:numPr>
        <w:spacing w:line="360" w:before="105" w:after="105" w:lineRule="auto"/>
      </w:pPr>
      <w:r>
        <w:rPr>
          <w:rFonts w:eastAsia="georgia" w:cs="georgia" w:ascii="georgia" w:hAnsi="georgia"/>
          <w:color w:val="000000"/>
          <w:sz w:val="21"/>
        </w:rPr>
        <w:t xml:space="preserve">The HNDL parallel is exact: the First Memory stolen in the in-universe context mirrors the HNDL threat model — data (in this case, experiential/cognitive data) collected now for future exploitation[</w:t>
      </w:r>
      <w:r>
        <w:rPr>
          <w:rFonts w:eastAsia="georgia" w:cs="georgia" w:ascii="georgia" w:hAnsi="georgia"/>
          <w:color w:val="000000"/>
          <w:sz w:val="21"/>
          <w:vertAlign w:val="superscript"/>
        </w:rPr>
        <w:t xml:space="preserve">15][</w:t>
      </w:r>
      <w:r>
        <w:rPr>
          <w:rFonts w:eastAsia="georgia" w:cs="georgia" w:ascii="georgia" w:hAnsi="georgia"/>
          <w:color w:val="000000"/>
          <w:sz w:val="21"/>
        </w:rPr>
        <w:t xml:space="preserve">16]</w:t>
      </w:r>
    </w:p>
    <w:p>
      <w:pPr>
        <w:numPr>
          <w:ilvl w:val="0"/>
          <w:numId w:val="16"/>
        </w:numPr>
        <w:spacing w:line="360" w:before="105" w:after="105" w:lineRule="auto"/>
      </w:pPr>
      <w:r>
        <w:rPr>
          <w:rFonts w:eastAsia="georgia" w:cs="georgia" w:ascii="georgia" w:hAnsi="georgia"/>
          <w:color w:val="000000"/>
          <w:sz w:val="21"/>
        </w:rPr>
        <w:t xml:space="preserve">Temporal warfare modeling and doctrine development</w:t>
      </w:r>
    </w:p>
    <w:p>
      <w:pPr>
        <w:spacing w:line="360" w:after="210" w:lineRule="auto"/>
      </w:pPr>
      <w:r>
        <w:rPr>
          <w:rFonts w:eastAsia="georgia" w:cs="georgia" w:ascii="georgia" w:hAnsi="georgia"/>
          <w:b/>
          <w:color w:val="000000"/>
        </w:rPr>
        <w:t xml:space="preserve">Commercial and IP</w:t>
      </w:r>
    </w:p>
    <w:p>
      <w:pPr>
        <w:numPr>
          <w:ilvl w:val="0"/>
          <w:numId w:val="17"/>
        </w:numPr>
        <w:spacing w:line="360" w:before="105" w:after="105" w:lineRule="auto"/>
      </w:pPr>
      <w:r>
        <w:rPr>
          <w:rFonts w:eastAsia="georgia" w:cs="georgia" w:ascii="georgia" w:hAnsi="georgia"/>
          <w:color w:val="000000"/>
          <w:sz w:val="21"/>
        </w:rPr>
        <w:t xml:space="preserve">Science fiction narrative property with documented publication pathway</w:t>
      </w:r>
    </w:p>
    <w:p>
      <w:pPr>
        <w:numPr>
          <w:ilvl w:val="0"/>
          <w:numId w:val="17"/>
        </w:numPr>
        <w:spacing w:line="360" w:before="105" w:after="105" w:lineRule="auto"/>
      </w:pPr>
      <w:r>
        <w:rPr>
          <w:rFonts w:eastAsia="georgia" w:cs="georgia" w:ascii="georgia" w:hAnsi="georgia"/>
          <w:color w:val="000000"/>
          <w:sz w:val="21"/>
        </w:rPr>
        <w:t xml:space="preserve">AI training data frameworks derived from experiential encoding research</w:t>
      </w:r>
    </w:p>
    <w:p>
      <w:pPr>
        <w:numPr>
          <w:ilvl w:val="0"/>
          <w:numId w:val="17"/>
        </w:numPr>
        <w:spacing w:line="360" w:before="105" w:after="105" w:lineRule="auto"/>
      </w:pPr>
      <w:r>
        <w:rPr>
          <w:rFonts w:eastAsia="georgia" w:cs="georgia" w:ascii="georgia" w:hAnsi="georgia"/>
          <w:color w:val="000000"/>
          <w:sz w:val="21"/>
        </w:rPr>
        <w:t xml:space="preserve">Licensing of encoding methodology (pending proprietary status review)</w:t>
      </w:r>
    </w:p>
    <w:p>
      <w:pPr>
        <w:spacing w:line="360" w:after="210" w:lineRule="auto"/>
      </w:pPr>
      <w:r>
        <w:rPr>
          <w:rFonts w:eastAsia="georgia" w:cs="georgia" w:ascii="georgia" w:hAnsi="georgia"/>
          <w:b/>
          <w:color w:val="000000"/>
        </w:rPr>
        <w:t xml:space="preserve">Speculative/Future</w:t>
      </w:r>
    </w:p>
    <w:p>
      <w:pPr>
        <w:numPr>
          <w:ilvl w:val="0"/>
          <w:numId w:val="18"/>
        </w:numPr>
        <w:spacing w:line="360" w:before="105" w:after="105" w:lineRule="auto"/>
      </w:pPr>
      <w:r>
        <w:rPr>
          <w:rFonts w:eastAsia="georgia" w:cs="georgia" w:ascii="georgia" w:hAnsi="georgia"/>
          <w:color w:val="000000"/>
          <w:sz w:val="21"/>
        </w:rPr>
        <w:t xml:space="preserve">Universal compatibility encoding: an experience transferable across biological and digital substrates without informational loss</w:t>
      </w:r>
    </w:p>
    <w:p>
      <w:pPr>
        <w:numPr>
          <w:ilvl w:val="0"/>
          <w:numId w:val="18"/>
        </w:numPr>
        <w:spacing w:line="360" w:before="105" w:after="105" w:lineRule="auto"/>
      </w:pPr>
      <w:r>
        <w:rPr>
          <w:rFonts w:eastAsia="georgia" w:cs="georgia" w:ascii="georgia" w:hAnsi="georgia"/>
          <w:color w:val="000000"/>
          <w:sz w:val="21"/>
        </w:rPr>
        <w:t xml:space="preserve">Civilizational inception-point deployment: the Greys' strategy of deploying the First Memory at their civilization's inception point for compounding advantage</w:t>
      </w:r>
    </w:p>
    <w:p>
      <w:pPr>
        <w:spacing w:line="360" w:before="315" w:after="105" w:lineRule="auto"/>
        <w:ind w:left="-30"/>
        <w:jc w:val="left"/>
      </w:pPr>
      <w:bookmarkStart w:id="19" w:name="bm_6_ethics_overview_2"/>
      <w:r>
        <w:rPr>
          <w:rFonts w:eastAsia="georgia" w:cs="georgia" w:ascii="georgia" w:hAnsi="georgia"/>
          <w:b/>
          <w:color w:val="000000"/>
          <w:sz w:val="24"/>
        </w:rPr>
        <w:t xml:space="preserve">6. Ethics Overview</w:t>
      </w:r>
      <w:bookmarkEnd w:id="19"/>
    </w:p>
    <w:p>
      <w:pPr>
        <w:spacing w:line="360" w:after="210" w:lineRule="auto"/>
      </w:pPr>
      <w:r>
        <w:rPr>
          <w:rFonts w:eastAsia="georgia" w:cs="georgia" w:ascii="georgia" w:hAnsi="georgia"/>
          <w:color w:val="000000"/>
        </w:rPr>
        <w:t xml:space="preserve">The First Memory raises the most significant ethical questions in the entire OAL portfolio. A real-world euphoric experience belonging to a specific individual being encoded, replicated, and distributed without the originating individual's control raises questions of personal data sovereignty, consent at scale, and the right to one's own experiential architecture.[^1]</w:t>
      </w:r>
    </w:p>
    <w:p>
      <w:pPr>
        <w:spacing w:line="360" w:after="210" w:lineRule="auto"/>
      </w:pPr>
      <w:r>
        <w:rPr>
          <w:rFonts w:eastAsia="georgia" w:cs="georgia" w:ascii="georgia" w:hAnsi="georgia"/>
          <w:color w:val="000000"/>
        </w:rPr>
        <w:t xml:space="preserve">The theft narrative explicitly represents a violation of this sovereignty — and the adversarial strategy of eliminating the origin person to prevent propagation represents the most extreme possible response to that violation. This makes the First Memory the most ethically complex property in the portfolio: the central dramatic conflict is an ethics violation, told from the perspective of the person whose sovereignty was violated.</w:t>
      </w:r>
    </w:p>
    <w:p>
      <w:pPr>
        <w:spacing w:line="360" w:after="210" w:lineRule="auto"/>
      </w:pPr>
      <w:r>
        <w:rPr>
          <w:rFonts w:eastAsia="georgia" w:cs="georgia" w:ascii="georgia" w:hAnsi="georgia"/>
          <w:b/>
          <w:color w:val="000000"/>
        </w:rPr>
        <w:t xml:space="preserve">Key ethical constraints:</w:t>
      </w:r>
    </w:p>
    <w:p>
      <w:pPr>
        <w:numPr>
          <w:ilvl w:val="0"/>
          <w:numId w:val="19"/>
        </w:numPr>
        <w:spacing w:line="360" w:before="105" w:after="105" w:lineRule="auto"/>
      </w:pPr>
      <w:r>
        <w:rPr>
          <w:rFonts w:eastAsia="georgia" w:cs="georgia" w:ascii="georgia" w:hAnsi="georgia"/>
          <w:color w:val="000000"/>
          <w:sz w:val="21"/>
        </w:rPr>
        <w:t xml:space="preserve">The encoding mechanism is proprietary and must not be released without full legal review and IP protection</w:t>
      </w:r>
    </w:p>
    <w:p>
      <w:pPr>
        <w:numPr>
          <w:ilvl w:val="0"/>
          <w:numId w:val="19"/>
        </w:numPr>
        <w:spacing w:line="360" w:before="105" w:after="105" w:lineRule="auto"/>
      </w:pPr>
      <w:r>
        <w:rPr>
          <w:rFonts w:eastAsia="georgia" w:cs="georgia" w:ascii="georgia" w:hAnsi="georgia"/>
          <w:color w:val="000000"/>
          <w:sz w:val="21"/>
        </w:rPr>
        <w:t xml:space="preserve">The 65% enhancement finding, if reproducible in real-world research, would require IRB review before any human subject application</w:t>
      </w:r>
    </w:p>
    <w:p>
      <w:pPr>
        <w:numPr>
          <w:ilvl w:val="0"/>
          <w:numId w:val="19"/>
        </w:numPr>
        <w:spacing w:line="360" w:before="105" w:after="105" w:lineRule="auto"/>
      </w:pPr>
      <w:r>
        <w:rPr>
          <w:rFonts w:eastAsia="georgia" w:cs="georgia" w:ascii="georgia" w:hAnsi="georgia"/>
          <w:color w:val="000000"/>
          <w:sz w:val="21"/>
        </w:rPr>
        <w:t xml:space="preserve">Civilizational acceleration creates asymmetric advantage — the ethics of differential access must be addressed in the Accords governance framework</w:t>
      </w:r>
    </w:p>
    <w:p>
      <w:pPr>
        <w:numPr>
          <w:ilvl w:val="0"/>
          <w:numId w:val="19"/>
        </w:numPr>
        <w:spacing w:line="360" w:before="105" w:after="105" w:lineRule="auto"/>
      </w:pPr>
      <w:r>
        <w:rPr>
          <w:rFonts w:eastAsia="georgia" w:cs="georgia" w:ascii="georgia" w:hAnsi="georgia"/>
          <w:color w:val="000000"/>
          <w:sz w:val="21"/>
        </w:rPr>
        <w:t xml:space="preserve">Once the First Memory is in the environment, it cannot be retrieved — creating a permanent and irreversible informational state (the Harvest Now, Decrypt Later parallel)[^17]</w:t>
      </w:r>
    </w:p>
    <w:p>
      <w:pPr>
        <w:spacing w:line="360" w:before="315" w:after="105" w:lineRule="auto"/>
        <w:ind w:left="-30"/>
        <w:jc w:val="left"/>
      </w:pPr>
      <w:bookmarkStart w:id="20" w:name="bm_7_findings_supporting_continuation_2"/>
      <w:r>
        <w:rPr>
          <w:rFonts w:eastAsia="georgia" w:cs="georgia" w:ascii="georgia" w:hAnsi="georgia"/>
          <w:b/>
          <w:color w:val="000000"/>
          <w:sz w:val="24"/>
        </w:rPr>
        <w:t xml:space="preserve">7. Findings Supporting Continuation</w:t>
      </w:r>
      <w:bookmarkEnd w:id="20"/>
    </w:p>
    <w:p>
      <w:pPr>
        <w:numPr>
          <w:ilvl w:val="0"/>
          <w:numId w:val="20"/>
        </w:numPr>
        <w:spacing w:line="360" w:before="105" w:after="105" w:lineRule="auto"/>
      </w:pPr>
      <w:r>
        <w:rPr>
          <w:rFonts w:eastAsia="georgia" w:cs="georgia" w:ascii="georgia" w:hAnsi="georgia"/>
          <w:color w:val="000000"/>
          <w:sz w:val="21"/>
        </w:rPr>
        <w:t xml:space="preserve">Real-world neuroscience supports the theoretical basis: engram neurons, ephaptic coupling, and synaptic architecture provide the biological substrate for encoded memory transfer[^14]</w:t>
      </w:r>
    </w:p>
    <w:p>
      <w:pPr>
        <w:numPr>
          <w:ilvl w:val="0"/>
          <w:numId w:val="20"/>
        </w:numPr>
        <w:spacing w:line="360" w:before="105" w:after="105" w:lineRule="auto"/>
      </w:pPr>
      <w:r>
        <w:rPr>
          <w:rFonts w:eastAsia="georgia" w:cs="georgia" w:ascii="georgia" w:hAnsi="georgia"/>
          <w:color w:val="000000"/>
          <w:sz w:val="21"/>
        </w:rPr>
        <w:t xml:space="preserve">DNA storage (215 petabytes per gram) supports biological persistence and heritability of encoded information — a validated real-world fact</w:t>
      </w:r>
    </w:p>
    <w:p>
      <w:pPr>
        <w:numPr>
          <w:ilvl w:val="0"/>
          <w:numId w:val="20"/>
        </w:numPr>
        <w:spacing w:line="360" w:before="105" w:after="105" w:lineRule="auto"/>
      </w:pPr>
      <w:r>
        <w:rPr>
          <w:rFonts w:eastAsia="georgia" w:cs="georgia" w:ascii="georgia" w:hAnsi="georgia"/>
          <w:color w:val="000000"/>
          <w:sz w:val="21"/>
        </w:rPr>
        <w:t xml:space="preserve">BCI research achieving 97% speech translation accuracy demonstrates that complex cognitive states can be reliably read from neural substrates[^13]</w:t>
      </w:r>
    </w:p>
    <w:p>
      <w:pPr>
        <w:numPr>
          <w:ilvl w:val="0"/>
          <w:numId w:val="20"/>
        </w:numPr>
        <w:spacing w:line="360" w:before="105" w:after="105" w:lineRule="auto"/>
      </w:pPr>
      <w:r>
        <w:rPr>
          <w:rFonts w:eastAsia="georgia" w:cs="georgia" w:ascii="georgia" w:hAnsi="georgia"/>
          <w:color w:val="000000"/>
          <w:sz w:val="21"/>
        </w:rPr>
        <w:t xml:space="preserve">Nanoparticle blood-brain barrier traversal provides a credible mechanism for universal compatibility</w:t>
      </w:r>
    </w:p>
    <w:p>
      <w:pPr>
        <w:numPr>
          <w:ilvl w:val="0"/>
          <w:numId w:val="20"/>
        </w:numPr>
        <w:spacing w:line="360" w:before="105" w:after="105" w:lineRule="auto"/>
      </w:pPr>
      <w:r>
        <w:rPr>
          <w:rFonts w:eastAsia="georgia" w:cs="georgia" w:ascii="georgia" w:hAnsi="georgia"/>
          <w:color w:val="000000"/>
          <w:sz w:val="21"/>
        </w:rPr>
        <w:t xml:space="preserve">The self-strengthening characteristic has a real-world analog in immune system learning and epigenetic inheritance[^1]</w:t>
      </w:r>
    </w:p>
    <w:p>
      <w:pPr>
        <w:spacing w:line="360" w:before="315" w:after="105" w:lineRule="auto"/>
        <w:ind w:left="-30"/>
        <w:jc w:val="left"/>
      </w:pPr>
      <w:bookmarkStart w:id="21" w:name="bm_8_red_team_analysis_2"/>
      <w:r>
        <w:rPr>
          <w:rFonts w:eastAsia="georgia" w:cs="georgia" w:ascii="georgia" w:hAnsi="georgia"/>
          <w:b/>
          <w:color w:val="000000"/>
          <w:sz w:val="24"/>
        </w:rPr>
        <w:t xml:space="preserve">8. Red Team Analysis</w:t>
      </w:r>
      <w:bookmarkEnd w:id="21"/>
    </w:p>
    <w:p>
      <w:pPr>
        <w:spacing w:line="360" w:after="210" w:lineRule="auto"/>
      </w:pPr>
      <w:r>
        <w:rPr>
          <w:rFonts w:eastAsia="georgia" w:cs="georgia" w:ascii="georgia" w:hAnsi="georgia"/>
          <w:b/>
          <w:color w:val="000000"/>
        </w:rPr>
        <w:t xml:space="preserve">Post-Theft Version Advantage Undermines Theft Stakes</w:t>
      </w:r>
      <w:r>
        <w:rPr>
          <w:rFonts w:eastAsia="georgia" w:cs="georgia" w:ascii="georgia" w:hAnsi="georgia"/>
          <w:color w:val="000000"/>
        </w:rPr>
        <w:br w:type="textWrapping"/>
      </w:r>
      <w:r>
        <w:rPr>
          <w:rFonts w:eastAsia="georgia" w:cs="georgia" w:ascii="georgia" w:hAnsi="georgia"/>
          <w:color w:val="000000"/>
        </w:rPr>
        <w:t xml:space="preserve">If Nathan holds the superior post-theft engineered version, the theft must be devastating for reasons other than raw capability loss. The current answer (relational loss of certainty, unauthorized propagation, loss of control over universal-compatible original) is correct but underdeveloped. </w:t>
      </w:r>
      <w:r>
        <w:rPr>
          <w:rFonts w:eastAsia="georgia" w:cs="georgia" w:ascii="georgia" w:hAnsi="georgia"/>
          <w:i/>
          <w:color w:val="000000"/>
        </w:rPr>
        <w:t xml:space="preserve">Flagged: Narrative development required.</w:t>
      </w:r>
    </w:p>
    <w:p>
      <w:pPr>
        <w:spacing w:line="360" w:after="210" w:lineRule="auto"/>
      </w:pPr>
      <w:r>
        <w:rPr>
          <w:rFonts w:eastAsia="georgia" w:cs="georgia" w:ascii="georgia" w:hAnsi="georgia"/>
          <w:b/>
          <w:color w:val="000000"/>
        </w:rPr>
        <w:t xml:space="preserve">Four Tier 1 Narrative Blockers Remain Open</w:t>
      </w:r>
      <w:r>
        <w:rPr>
          <w:rFonts w:eastAsia="georgia" w:cs="georgia" w:ascii="georgia" w:hAnsi="georgia"/>
          <w:color w:val="000000"/>
        </w:rPr>
        <w:br w:type="textWrapping"/>
      </w:r>
      <w:r>
        <w:rPr>
          <w:rFonts w:eastAsia="georgia" w:cs="georgia" w:ascii="georgia" w:hAnsi="georgia"/>
          <w:color w:val="000000"/>
        </w:rPr>
        <w:t xml:space="preserve">The Infiltrator identity, temporal mechanics, protagonist POV, and what accelerated civilizations lose are all still open. No narrative execution can begin until these are answered. </w:t>
      </w:r>
      <w:r>
        <w:rPr>
          <w:rFonts w:eastAsia="georgia" w:cs="georgia" w:ascii="georgia" w:hAnsi="georgia"/>
          <w:i/>
          <w:color w:val="000000"/>
        </w:rPr>
        <w:t xml:space="preserve">Flagged: Critical Architect-level decisions.</w:t>
      </w:r>
    </w:p>
    <w:p>
      <w:pPr>
        <w:spacing w:line="360" w:after="210" w:lineRule="auto"/>
      </w:pPr>
      <w:r>
        <w:rPr>
          <w:rFonts w:eastAsia="georgia" w:cs="georgia" w:ascii="georgia" w:hAnsi="georgia"/>
          <w:b/>
          <w:color w:val="000000"/>
        </w:rPr>
        <w:t xml:space="preserve">Non-Simulatable Permutations Claim</w:t>
      </w:r>
      <w:r>
        <w:rPr>
          <w:rFonts w:eastAsia="georgia" w:cs="georgia" w:ascii="georgia" w:hAnsi="georgia"/>
          <w:color w:val="000000"/>
        </w:rPr>
        <w:br w:type="textWrapping"/>
      </w:r>
      <w:r>
        <w:rPr>
          <w:rFonts w:eastAsia="georgia" w:cs="georgia" w:ascii="georgia" w:hAnsi="georgia"/>
          <w:color w:val="000000"/>
        </w:rPr>
        <w:t xml:space="preserve">Technically sophisticated audiences will challenge this framing. The in-universe response — that the First Memory is an ontological artifact, not a purely computational one — must be developed into a defensible in-universe explanation.[^1]</w:t>
      </w:r>
    </w:p>
    <w:p>
      <w:pPr>
        <w:spacing w:line="360" w:after="210" w:lineRule="auto"/>
      </w:pPr>
      <w:r>
        <w:rPr>
          <w:rFonts w:eastAsia="georgia" w:cs="georgia" w:ascii="georgia" w:hAnsi="georgia"/>
          <w:b/>
          <w:color w:val="000000"/>
        </w:rPr>
        <w:t xml:space="preserve">Civilizational Asymmetry Creates Pre-Emptive Conflict Incentive</w:t>
      </w:r>
      <w:r>
        <w:rPr>
          <w:rFonts w:eastAsia="georgia" w:cs="georgia" w:ascii="georgia" w:hAnsi="georgia"/>
          <w:color w:val="000000"/>
        </w:rPr>
        <w:br w:type="textWrapping"/>
      </w:r>
      <w:r>
        <w:rPr>
          <w:rFonts w:eastAsia="georgia" w:cs="georgia" w:ascii="georgia" w:hAnsi="georgia"/>
          <w:color w:val="000000"/>
        </w:rPr>
        <w:t xml:space="preserve">If accelerated civilizations outpace non-accelerated ones irreversibly, rational actors in non-accelerated civilizations have incentive to attack before the gap becomes unbridgeable. Gemini's framing — the Time Wars as pre-emptive conflict driven by civilizational gap anxiety — is the most credible Red Team reading of the First Memory's geopolitical implications.[^1]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t1_003_the_accords_inter_species_ee7c9e"/>
      <w:r>
        <w:rPr>
          <w:rFonts w:eastAsia="georgia" w:cs="georgia" w:ascii="georgia" w:hAnsi="georgia"/>
          <w:b/>
          <w:color w:val="000000"/>
          <w:sz w:val="24"/>
        </w:rPr>
        <w:t xml:space="preserve">T1-003 — THE ACCORDS — INTER-SPECIES GOVERNANCE FRAMEWORK</w:t>
      </w:r>
      <w:bookmarkEnd w:id="22"/>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Governance | Treaty Design | International/Inter-Entity Relations | Policy Framework</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V1D ratified. V2.0 pending — switching paradox definition required before drafting.[^1]</w:t>
      </w:r>
      <w:r>
        <w:rPr>
          <w:rFonts w:eastAsia="georgia" w:cs="georgia" w:ascii="georgia" w:hAnsi="georgia"/>
          <w:color w:val="000000"/>
        </w:rPr>
        <w:br w:type="textWrapping"/>
      </w:r>
      <w:r>
        <w:rPr>
          <w:rFonts w:eastAsia="georgia" w:cs="georgia" w:ascii="georgia" w:hAnsi="georgia"/>
          <w:b/>
          <w:color w:val="000000"/>
        </w:rPr>
        <w:t xml:space="preserve">TRL Range:</w:t>
      </w:r>
      <w:r>
        <w:rPr>
          <w:rFonts w:eastAsia="georgia" w:cs="georgia" w:ascii="georgia" w:hAnsi="georgia"/>
          <w:color w:val="000000"/>
        </w:rPr>
        <w:t xml:space="preserve"> Policy framework / narrative IP</w:t>
      </w:r>
    </w:p>
    <w:p>
      <w:pPr>
        <w:spacing w:line="360" w:before="315" w:after="105" w:lineRule="auto"/>
        <w:ind w:left="-30"/>
        <w:jc w:val="left"/>
      </w:pPr>
      <w:bookmarkStart w:id="23" w:name="bm_1_purpose_3"/>
      <w:r>
        <w:rPr>
          <w:rFonts w:eastAsia="georgia" w:cs="georgia" w:ascii="georgia" w:hAnsi="georgia"/>
          <w:b/>
          <w:color w:val="000000"/>
          <w:sz w:val="24"/>
        </w:rPr>
        <w:t xml:space="preserve">1. Purpose</w:t>
      </w:r>
      <w:bookmarkEnd w:id="23"/>
    </w:p>
    <w:p>
      <w:pPr>
        <w:spacing w:line="360" w:after="210" w:lineRule="auto"/>
      </w:pPr>
      <w:r>
        <w:rPr>
          <w:rFonts w:eastAsia="georgia" w:cs="georgia" w:ascii="georgia" w:hAnsi="georgia"/>
          <w:color w:val="000000"/>
        </w:rPr>
        <w:t xml:space="preserve">The Accords represent a treaty and governance framework designed to regulate inter-species relationships, OMNICELLULAR deployment parameters, informational access protocols, and the rights and obligations of signatories across civilizational-scale interactions. In its real-world dimension, the Accords framework is a model for thinking about governance of technologies and capabilities that exceed current regulatory imagination.[^1]</w:t>
      </w:r>
    </w:p>
    <w:p>
      <w:pPr>
        <w:spacing w:line="360" w:before="315" w:after="105" w:lineRule="auto"/>
        <w:ind w:left="-30"/>
        <w:jc w:val="left"/>
      </w:pPr>
      <w:bookmarkStart w:id="24" w:name="bm_2_mission_statement_3"/>
      <w:r>
        <w:rPr>
          <w:rFonts w:eastAsia="georgia" w:cs="georgia" w:ascii="georgia" w:hAnsi="georgia"/>
          <w:b/>
          <w:color w:val="000000"/>
          <w:sz w:val="24"/>
        </w:rPr>
        <w:t xml:space="preserve">2. Mission Statement</w:t>
      </w:r>
      <w:bookmarkEnd w:id="24"/>
    </w:p>
    <w:p>
      <w:pPr>
        <w:spacing w:line="360" w:after="210" w:lineRule="auto"/>
        <w:ind w:left="630"/>
      </w:pPr>
      <w:r>
        <w:rPr>
          <w:rFonts w:eastAsia="georgia" w:cs="georgia" w:ascii="georgia" w:hAnsi="georgia"/>
          <w:i/>
          <w:color w:val="000000"/>
        </w:rPr>
        <w:t xml:space="preserve">To establish a comprehensive, enforceable, and evolutionarily stable governance framework that regulates the deployment of transformative technologies across signatories of diverse civilizational profiles, with specific provisions for OMNICELLULAR physiology operations, informational access tiers, and post-scarcity economic exchange.</w:t>
      </w:r>
    </w:p>
    <w:p>
      <w:pPr>
        <w:spacing w:line="360" w:before="315" w:after="105" w:lineRule="auto"/>
        <w:ind w:left="-30"/>
        <w:jc w:val="left"/>
      </w:pPr>
      <w:bookmarkStart w:id="25" w:name="bm_3_justification_3"/>
      <w:r>
        <w:rPr>
          <w:rFonts w:eastAsia="georgia" w:cs="georgia" w:ascii="georgia" w:hAnsi="georgia"/>
          <w:b/>
          <w:color w:val="000000"/>
          <w:sz w:val="24"/>
        </w:rPr>
        <w:t xml:space="preserve">3. Justification</w:t>
      </w:r>
      <w:bookmarkEnd w:id="25"/>
    </w:p>
    <w:p>
      <w:pPr>
        <w:spacing w:line="360" w:after="210" w:lineRule="auto"/>
      </w:pPr>
      <w:r>
        <w:rPr>
          <w:rFonts w:eastAsia="georgia" w:cs="georgia" w:ascii="georgia" w:hAnsi="georgia"/>
          <w:color w:val="000000"/>
        </w:rPr>
        <w:t xml:space="preserve">The governance gap the Accords address is real. As technologies approach civilizational-scale impact — quantum computing, AI, synthetic biology — existing international regulatory frameworks are structurally inadequate. The International Biosecurity Governance landscape demonstrates exactly this problem: hard-law frameworks like the Biological Weapons Convention require consensus among 183 state parties and cannot be updated at the pace of technological evolution, while soft-law frameworks lack enforcement mechanisms. The Accords model — which explicitly addresses switching paradox equivalents, initialization phase failure modes, and co-ownership of jointly developed technology — is more sophisticated than most existing frameworks.[</w:t>
      </w:r>
      <w:r>
        <w:rPr>
          <w:rFonts w:eastAsia="georgia" w:cs="georgia" w:ascii="georgia" w:hAnsi="georgia"/>
          <w:color w:val="000000"/>
          <w:vertAlign w:val="superscript"/>
        </w:rPr>
        <w:t xml:space="preserve">9][</w:t>
      </w:r>
      <w:r>
        <w:rPr>
          <w:rFonts w:eastAsia="georgia" w:cs="georgia" w:ascii="georgia" w:hAnsi="georgia"/>
          <w:color w:val="000000"/>
        </w:rPr>
        <w:t xml:space="preserve">1]</w:t>
      </w:r>
    </w:p>
    <w:p>
      <w:pPr>
        <w:spacing w:line="360" w:after="210" w:lineRule="auto"/>
      </w:pPr>
      <w:r>
        <w:rPr>
          <w:rFonts w:eastAsia="georgia" w:cs="georgia" w:ascii="georgia" w:hAnsi="georgia"/>
          <w:color w:val="000000"/>
        </w:rPr>
        <w:t xml:space="preserve">The OECD's Anticipatory Governance of Emerging Technologies framework (2024) identifies exactly the governance challenge the Accords model addresses: how to embed values throughout the innovation process, enhance foresight, and build agile regulation before technologies outpace governance capacity. The Accords represent a fictional anticipatory governance framework built around transformative technology that real-world governance bodies are only beginning to theorize.[</w:t>
      </w:r>
      <w:r>
        <w:rPr>
          <w:rFonts w:eastAsia="georgia" w:cs="georgia" w:ascii="georgia" w:hAnsi="georgia"/>
          <w:color w:val="000000"/>
          <w:vertAlign w:val="superscript"/>
        </w:rPr>
        <w:t xml:space="preserve">18][</w:t>
      </w:r>
      <w:r>
        <w:rPr>
          <w:rFonts w:eastAsia="georgia" w:cs="georgia" w:ascii="georgia" w:hAnsi="georgia"/>
          <w:color w:val="000000"/>
        </w:rPr>
        <w:t xml:space="preserve">10]</w:t>
      </w:r>
    </w:p>
    <w:p>
      <w:pPr>
        <w:spacing w:line="360" w:before="315" w:after="105" w:lineRule="auto"/>
        <w:ind w:left="-30"/>
        <w:jc w:val="left"/>
      </w:pPr>
      <w:bookmarkStart w:id="26" w:name="bm_4_funding_proposal_3"/>
      <w:r>
        <w:rPr>
          <w:rFonts w:eastAsia="georgia" w:cs="georgia" w:ascii="georgia" w:hAnsi="georgia"/>
          <w:b/>
          <w:color w:val="000000"/>
          <w:sz w:val="24"/>
        </w:rPr>
        <w:t xml:space="preserve">4. Funding Proposal</w:t>
      </w:r>
      <w:bookmarkEnd w:id="26"/>
    </w:p>
    <w:p>
      <w:pPr>
        <w:spacing w:line="360" w:after="210" w:lineRule="auto"/>
      </w:pPr>
      <w:r>
        <w:rPr>
          <w:rFonts w:eastAsia="georgia" w:cs="georgia" w:ascii="georgia" w:hAnsi="georgia"/>
          <w:b/>
          <w:color w:val="000000"/>
        </w:rPr>
        <w:t xml:space="preserve">Research and Policy Track: ~$750K–$1.9M</w:t>
      </w:r>
    </w:p>
    <w:p>
      <w:pPr>
        <w:numPr>
          <w:ilvl w:val="0"/>
          <w:numId w:val="21"/>
        </w:numPr>
        <w:spacing w:line="360" w:before="105" w:after="105" w:lineRule="auto"/>
      </w:pPr>
      <w:r>
        <w:rPr>
          <w:rFonts w:eastAsia="georgia" w:cs="georgia" w:ascii="georgia" w:hAnsi="georgia"/>
          <w:color w:val="000000"/>
          <w:sz w:val="21"/>
        </w:rPr>
        <w:t xml:space="preserve">Carnegie Endowment for International Peace: $200K–$500K for policy paper development</w:t>
      </w:r>
    </w:p>
    <w:p>
      <w:pPr>
        <w:numPr>
          <w:ilvl w:val="0"/>
          <w:numId w:val="21"/>
        </w:numPr>
        <w:spacing w:line="360" w:before="105" w:after="105" w:lineRule="auto"/>
      </w:pPr>
      <w:r>
        <w:rPr>
          <w:rFonts w:eastAsia="georgia" w:cs="georgia" w:ascii="georgia" w:hAnsi="georgia"/>
          <w:color w:val="000000"/>
          <w:sz w:val="21"/>
        </w:rPr>
        <w:t xml:space="preserve">Ford Foundation technology and society grants: $300K–$800K</w:t>
      </w:r>
    </w:p>
    <w:p>
      <w:pPr>
        <w:numPr>
          <w:ilvl w:val="0"/>
          <w:numId w:val="21"/>
        </w:numPr>
        <w:spacing w:line="360" w:before="105" w:after="105" w:lineRule="auto"/>
      </w:pPr>
      <w:r>
        <w:rPr>
          <w:rFonts w:eastAsia="georgia" w:cs="georgia" w:ascii="georgia" w:hAnsi="georgia"/>
          <w:color w:val="000000"/>
          <w:sz w:val="21"/>
        </w:rPr>
        <w:t xml:space="preserve">Hewlett Foundation cybersecurity and technology policy: $250K–$600K</w:t>
      </w:r>
    </w:p>
    <w:p>
      <w:pPr>
        <w:spacing w:line="360" w:after="210" w:lineRule="auto"/>
      </w:pPr>
      <w:r>
        <w:rPr>
          <w:rFonts w:eastAsia="georgia" w:cs="georgia" w:ascii="georgia" w:hAnsi="georgia"/>
          <w:b/>
          <w:color w:val="000000"/>
        </w:rPr>
        <w:t xml:space="preserve">Narrative and IP Track</w:t>
      </w:r>
    </w:p>
    <w:p>
      <w:pPr>
        <w:numPr>
          <w:ilvl w:val="0"/>
          <w:numId w:val="22"/>
        </w:numPr>
        <w:spacing w:line="360" w:before="105" w:after="105" w:lineRule="auto"/>
      </w:pPr>
      <w:r>
        <w:rPr>
          <w:rFonts w:eastAsia="georgia" w:cs="georgia" w:ascii="georgia" w:hAnsi="georgia"/>
          <w:color w:val="000000"/>
          <w:sz w:val="21"/>
        </w:rPr>
        <w:t xml:space="preserve">Integrated with First Memory narrative IP development</w:t>
      </w:r>
    </w:p>
    <w:p>
      <w:pPr>
        <w:numPr>
          <w:ilvl w:val="0"/>
          <w:numId w:val="22"/>
        </w:numPr>
        <w:spacing w:line="360" w:before="105" w:after="105" w:lineRule="auto"/>
      </w:pPr>
      <w:r>
        <w:rPr>
          <w:rFonts w:eastAsia="georgia" w:cs="georgia" w:ascii="georgia" w:hAnsi="georgia"/>
          <w:color w:val="000000"/>
          <w:sz w:val="21"/>
        </w:rPr>
        <w:t xml:space="preserve">Academic publication track: law review article on speculative governance frameworks for civilizational-scale technology</w:t>
      </w:r>
    </w:p>
    <w:p>
      <w:pPr>
        <w:numPr>
          <w:ilvl w:val="0"/>
          <w:numId w:val="22"/>
        </w:numPr>
        <w:spacing w:line="360" w:before="105" w:after="105" w:lineRule="auto"/>
      </w:pPr>
      <w:r>
        <w:rPr>
          <w:rFonts w:eastAsia="georgia" w:cs="georgia" w:ascii="georgia" w:hAnsi="georgia"/>
          <w:color w:val="000000"/>
          <w:sz w:val="21"/>
        </w:rPr>
        <w:t xml:space="preserve">Conference presentation at IEEE Technology and Society Society or similar bodies</w:t>
      </w:r>
    </w:p>
    <w:p>
      <w:pPr>
        <w:spacing w:line="360" w:before="315" w:after="105" w:lineRule="auto"/>
        <w:ind w:left="-30"/>
        <w:jc w:val="left"/>
      </w:pPr>
      <w:bookmarkStart w:id="27" w:name="bm_5_applications_3"/>
      <w:r>
        <w:rPr>
          <w:rFonts w:eastAsia="georgia" w:cs="georgia" w:ascii="georgia" w:hAnsi="georgia"/>
          <w:b/>
          <w:color w:val="000000"/>
          <w:sz w:val="24"/>
        </w:rPr>
        <w:t xml:space="preserve">5. Applications</w:t>
      </w:r>
      <w:bookmarkEnd w:id="27"/>
    </w:p>
    <w:p>
      <w:pPr>
        <w:spacing w:line="360" w:after="210" w:lineRule="auto"/>
      </w:pPr>
      <w:r>
        <w:rPr>
          <w:rFonts w:eastAsia="georgia" w:cs="georgia" w:ascii="georgia" w:hAnsi="georgia"/>
          <w:b/>
          <w:color w:val="000000"/>
        </w:rPr>
        <w:t xml:space="preserve">Policy and Governance</w:t>
      </w:r>
    </w:p>
    <w:p>
      <w:pPr>
        <w:numPr>
          <w:ilvl w:val="0"/>
          <w:numId w:val="23"/>
        </w:numPr>
        <w:spacing w:line="360" w:before="105" w:after="105" w:lineRule="auto"/>
      </w:pPr>
      <w:r>
        <w:rPr>
          <w:rFonts w:eastAsia="georgia" w:cs="georgia" w:ascii="georgia" w:hAnsi="georgia"/>
          <w:color w:val="000000"/>
          <w:sz w:val="21"/>
        </w:rPr>
        <w:t xml:space="preserve">Model framework for AI governance across national jurisdictions — the Accords' species-level tiering maps directly onto jurisdictional complexity in international AI regulation[^8]</w:t>
      </w:r>
    </w:p>
    <w:p>
      <w:pPr>
        <w:numPr>
          <w:ilvl w:val="0"/>
          <w:numId w:val="23"/>
        </w:numPr>
        <w:spacing w:line="360" w:before="105" w:after="105" w:lineRule="auto"/>
      </w:pPr>
      <w:r>
        <w:rPr>
          <w:rFonts w:eastAsia="georgia" w:cs="georgia" w:ascii="georgia" w:hAnsi="georgia"/>
          <w:color w:val="000000"/>
          <w:sz w:val="21"/>
        </w:rPr>
        <w:t xml:space="preserve">Template for synthetic biology international treaty design — directly responsive to identified gaps in BWC governance[^19]</w:t>
      </w:r>
    </w:p>
    <w:p>
      <w:pPr>
        <w:numPr>
          <w:ilvl w:val="0"/>
          <w:numId w:val="23"/>
        </w:numPr>
        <w:spacing w:line="360" w:before="105" w:after="105" w:lineRule="auto"/>
      </w:pPr>
      <w:r>
        <w:rPr>
          <w:rFonts w:eastAsia="georgia" w:cs="georgia" w:ascii="georgia" w:hAnsi="georgia"/>
          <w:color w:val="000000"/>
          <w:sz w:val="21"/>
        </w:rPr>
        <w:t xml:space="preserve">Quantum computing governance: specifically the HNDL threat at treaty level[^15]</w:t>
      </w:r>
    </w:p>
    <w:p>
      <w:pPr>
        <w:numPr>
          <w:ilvl w:val="0"/>
          <w:numId w:val="23"/>
        </w:numPr>
        <w:spacing w:line="360" w:before="105" w:after="105" w:lineRule="auto"/>
      </w:pPr>
      <w:r>
        <w:rPr>
          <w:rFonts w:eastAsia="georgia" w:cs="georgia" w:ascii="georgia" w:hAnsi="georgia"/>
          <w:color w:val="000000"/>
          <w:sz w:val="21"/>
        </w:rPr>
        <w:t xml:space="preserve">Species-Level Informational Access as a model for graduated information classification frameworks</w:t>
      </w:r>
    </w:p>
    <w:p>
      <w:pPr>
        <w:spacing w:line="360" w:after="210" w:lineRule="auto"/>
      </w:pPr>
      <w:r>
        <w:rPr>
          <w:rFonts w:eastAsia="georgia" w:cs="georgia" w:ascii="georgia" w:hAnsi="georgia"/>
          <w:b/>
          <w:color w:val="000000"/>
        </w:rPr>
        <w:t xml:space="preserve">Defense and Military</w:t>
      </w:r>
    </w:p>
    <w:p>
      <w:pPr>
        <w:numPr>
          <w:ilvl w:val="0"/>
          <w:numId w:val="24"/>
        </w:numPr>
        <w:spacing w:line="360" w:before="105" w:after="105" w:lineRule="auto"/>
      </w:pPr>
      <w:r>
        <w:rPr>
          <w:rFonts w:eastAsia="georgia" w:cs="georgia" w:ascii="georgia" w:hAnsi="georgia"/>
          <w:color w:val="000000"/>
          <w:sz w:val="21"/>
        </w:rPr>
        <w:t xml:space="preserve">Multi-party technology deployment doctrine</w:t>
      </w:r>
    </w:p>
    <w:p>
      <w:pPr>
        <w:numPr>
          <w:ilvl w:val="0"/>
          <w:numId w:val="24"/>
        </w:numPr>
        <w:spacing w:line="360" w:before="105" w:after="105" w:lineRule="auto"/>
      </w:pPr>
      <w:r>
        <w:rPr>
          <w:rFonts w:eastAsia="georgia" w:cs="georgia" w:ascii="georgia" w:hAnsi="georgia"/>
          <w:color w:val="000000"/>
          <w:sz w:val="21"/>
        </w:rPr>
        <w:t xml:space="preserve">Jurisdiction and authority frameworks for operations involving non-state or trans-national entities</w:t>
      </w:r>
    </w:p>
    <w:p>
      <w:pPr>
        <w:numPr>
          <w:ilvl w:val="0"/>
          <w:numId w:val="24"/>
        </w:numPr>
        <w:spacing w:line="360" w:before="105" w:after="105" w:lineRule="auto"/>
      </w:pPr>
      <w:r>
        <w:rPr>
          <w:rFonts w:eastAsia="georgia" w:cs="georgia" w:ascii="georgia" w:hAnsi="georgia"/>
          <w:color w:val="000000"/>
          <w:sz w:val="21"/>
        </w:rPr>
        <w:t xml:space="preserve">Enforcement mechanism design for treaties involving non-state actors</w:t>
      </w:r>
    </w:p>
    <w:p>
      <w:pPr>
        <w:spacing w:line="360" w:after="210" w:lineRule="auto"/>
      </w:pPr>
      <w:r>
        <w:rPr>
          <w:rFonts w:eastAsia="georgia" w:cs="georgia" w:ascii="georgia" w:hAnsi="georgia"/>
          <w:b/>
          <w:color w:val="000000"/>
        </w:rPr>
        <w:t xml:space="preserve">Commercial</w:t>
      </w:r>
    </w:p>
    <w:p>
      <w:pPr>
        <w:numPr>
          <w:ilvl w:val="0"/>
          <w:numId w:val="25"/>
        </w:numPr>
        <w:spacing w:line="360" w:before="105" w:after="105" w:lineRule="auto"/>
      </w:pPr>
      <w:r>
        <w:rPr>
          <w:rFonts w:eastAsia="georgia" w:cs="georgia" w:ascii="georgia" w:hAnsi="georgia"/>
          <w:color w:val="000000"/>
          <w:sz w:val="21"/>
        </w:rPr>
        <w:t xml:space="preserve">Corporate governance model for post-merger technology integration</w:t>
      </w:r>
    </w:p>
    <w:p>
      <w:pPr>
        <w:numPr>
          <w:ilvl w:val="0"/>
          <w:numId w:val="25"/>
        </w:numPr>
        <w:spacing w:line="360" w:before="105" w:after="105" w:lineRule="auto"/>
      </w:pPr>
      <w:r>
        <w:rPr>
          <w:rFonts w:eastAsia="georgia" w:cs="georgia" w:ascii="georgia" w:hAnsi="georgia"/>
          <w:color w:val="000000"/>
          <w:sz w:val="21"/>
        </w:rPr>
        <w:t xml:space="preserve">Multi-stakeholder technology access agreements</w:t>
      </w:r>
    </w:p>
    <w:p>
      <w:pPr>
        <w:numPr>
          <w:ilvl w:val="0"/>
          <w:numId w:val="25"/>
        </w:numPr>
        <w:spacing w:line="360" w:before="105" w:after="105" w:lineRule="auto"/>
      </w:pPr>
      <w:r>
        <w:rPr>
          <w:rFonts w:eastAsia="georgia" w:cs="georgia" w:ascii="georgia" w:hAnsi="georgia"/>
          <w:color w:val="000000"/>
          <w:sz w:val="21"/>
        </w:rPr>
        <w:t xml:space="preserve">IP co-ownership frameworks for joint development programs</w:t>
      </w:r>
    </w:p>
    <w:p>
      <w:pPr>
        <w:spacing w:line="360" w:before="315" w:after="105" w:lineRule="auto"/>
        <w:ind w:left="-30"/>
        <w:jc w:val="left"/>
      </w:pPr>
      <w:bookmarkStart w:id="28" w:name="bm_6_ethics_overview_3"/>
      <w:r>
        <w:rPr>
          <w:rFonts w:eastAsia="georgia" w:cs="georgia" w:ascii="georgia" w:hAnsi="georgia"/>
          <w:b/>
          <w:color w:val="000000"/>
          <w:sz w:val="24"/>
        </w:rPr>
        <w:t xml:space="preserve">6. Ethics Overview</w:t>
      </w:r>
      <w:bookmarkEnd w:id="28"/>
    </w:p>
    <w:p>
      <w:pPr>
        <w:spacing w:line="360" w:after="210" w:lineRule="auto"/>
      </w:pPr>
      <w:r>
        <w:rPr>
          <w:rFonts w:eastAsia="georgia" w:cs="georgia" w:ascii="georgia" w:hAnsi="georgia"/>
          <w:color w:val="000000"/>
        </w:rPr>
        <w:t xml:space="preserve">The Accords raise fundamental questions about who has the authority to set governance frameworks that affect civilization-scale systems. The co-ownership clause gap — if a species co-develops Phase 2 of OMNICELLULAR under the Accords, ownership of results is undefined — is a real and unsolved problem in every international technology joint-development agreement currently in existence.[^1]</w:t>
      </w:r>
    </w:p>
    <w:p>
      <w:pPr>
        <w:spacing w:line="360" w:after="210" w:lineRule="auto"/>
      </w:pPr>
      <w:r>
        <w:rPr>
          <w:rFonts w:eastAsia="georgia" w:cs="georgia" w:ascii="georgia" w:hAnsi="georgia"/>
          <w:color w:val="000000"/>
        </w:rPr>
        <w:t xml:space="preserve">The star system restoration provision (Greys treaty inducement) establishes that signatories can receive resources of existential importance as inducement to compliance — creating asymmetric leverage that must be explicitly governed within the treaty architecture itself.</w:t>
      </w:r>
    </w:p>
    <w:p>
      <w:pPr>
        <w:spacing w:line="360" w:before="315" w:after="105" w:lineRule="auto"/>
        <w:ind w:left="-30"/>
        <w:jc w:val="left"/>
      </w:pPr>
      <w:bookmarkStart w:id="29" w:name="bm_7_findings_supporting_continuation_3"/>
      <w:r>
        <w:rPr>
          <w:rFonts w:eastAsia="georgia" w:cs="georgia" w:ascii="georgia" w:hAnsi="georgia"/>
          <w:b/>
          <w:color w:val="000000"/>
          <w:sz w:val="24"/>
        </w:rPr>
        <w:t xml:space="preserve">7. Findings Supporting Continuation</w:t>
      </w:r>
      <w:bookmarkEnd w:id="29"/>
    </w:p>
    <w:p>
      <w:pPr>
        <w:numPr>
          <w:ilvl w:val="0"/>
          <w:numId w:val="26"/>
        </w:numPr>
        <w:spacing w:line="360" w:before="105" w:after="105" w:lineRule="auto"/>
      </w:pPr>
      <w:r>
        <w:rPr>
          <w:rFonts w:eastAsia="georgia" w:cs="georgia" w:ascii="georgia" w:hAnsi="georgia"/>
          <w:color w:val="000000"/>
          <w:sz w:val="21"/>
        </w:rPr>
        <w:t xml:space="preserve">The Adversarial Review and Audit Protocol (AARP) has consistently produced better outputs than non-adversarial review in every round applied — a documented finding supporting the team's operational methodology</w:t>
      </w:r>
    </w:p>
    <w:p>
      <w:pPr>
        <w:numPr>
          <w:ilvl w:val="0"/>
          <w:numId w:val="26"/>
        </w:numPr>
        <w:spacing w:line="360" w:before="105" w:after="105" w:lineRule="auto"/>
      </w:pPr>
      <w:r>
        <w:rPr>
          <w:rFonts w:eastAsia="georgia" w:cs="georgia" w:ascii="georgia" w:hAnsi="georgia"/>
          <w:color w:val="000000"/>
          <w:sz w:val="21"/>
        </w:rPr>
        <w:t xml:space="preserve">The tiered activation / bandwidth throttling model (Gemini proposal, April 2026) provides the most internally consistent resolution to the switching paradox identified to date[^1]</w:t>
      </w:r>
    </w:p>
    <w:p>
      <w:pPr>
        <w:numPr>
          <w:ilvl w:val="0"/>
          <w:numId w:val="26"/>
        </w:numPr>
        <w:spacing w:line="360" w:before="105" w:after="105" w:lineRule="auto"/>
      </w:pPr>
      <w:r>
        <w:rPr>
          <w:rFonts w:eastAsia="georgia" w:cs="georgia" w:ascii="georgia" w:hAnsi="georgia"/>
          <w:color w:val="000000"/>
          <w:sz w:val="21"/>
        </w:rPr>
        <w:t xml:space="preserve">Emerging real-world governance literature explicitly identifies the need for frameworks that anticipate civilizational-scale technology impacts before deployment[</w:t>
      </w:r>
      <w:r>
        <w:rPr>
          <w:rFonts w:eastAsia="georgia" w:cs="georgia" w:ascii="georgia" w:hAnsi="georgia"/>
          <w:color w:val="000000"/>
          <w:sz w:val="21"/>
          <w:vertAlign w:val="superscript"/>
        </w:rPr>
        <w:t xml:space="preserve">10][</w:t>
      </w:r>
      <w:r>
        <w:rPr>
          <w:rFonts w:eastAsia="georgia" w:cs="georgia" w:ascii="georgia" w:hAnsi="georgia"/>
          <w:color w:val="000000"/>
          <w:sz w:val="21"/>
        </w:rPr>
        <w:t xml:space="preserve">18]</w:t>
      </w:r>
    </w:p>
    <w:p>
      <w:pPr>
        <w:spacing w:line="360" w:before="315" w:after="105" w:lineRule="auto"/>
        <w:ind w:left="-30"/>
        <w:jc w:val="left"/>
      </w:pPr>
      <w:bookmarkStart w:id="30" w:name="bm_8_red_team_analysis_3"/>
      <w:r>
        <w:rPr>
          <w:rFonts w:eastAsia="georgia" w:cs="georgia" w:ascii="georgia" w:hAnsi="georgia"/>
          <w:b/>
          <w:color w:val="000000"/>
          <w:sz w:val="24"/>
        </w:rPr>
        <w:t xml:space="preserve">8. Red Team Analysis</w:t>
      </w:r>
      <w:bookmarkEnd w:id="30"/>
    </w:p>
    <w:p>
      <w:pPr>
        <w:spacing w:line="360" w:after="210" w:lineRule="auto"/>
      </w:pPr>
      <w:r>
        <w:rPr>
          <w:rFonts w:eastAsia="georgia" w:cs="georgia" w:ascii="georgia" w:hAnsi="georgia"/>
          <w:b/>
          <w:color w:val="000000"/>
        </w:rPr>
        <w:t xml:space="preserve">No Draft Definition of Switching Paradox After Months — CRITICAL</w:t>
      </w:r>
      <w:r>
        <w:rPr>
          <w:rFonts w:eastAsia="georgia" w:cs="georgia" w:ascii="georgia" w:hAnsi="georgia"/>
          <w:color w:val="000000"/>
        </w:rPr>
        <w:br w:type="textWrapping"/>
      </w:r>
      <w:r>
        <w:rPr>
          <w:rFonts w:eastAsia="georgia" w:cs="georgia" w:ascii="georgia" w:hAnsi="georgia"/>
          <w:color w:val="000000"/>
        </w:rPr>
        <w:t xml:space="preserve">A framework that cannot define its most critical term is not ready for drafting. The ChatGPT-draft/Claude-audit workflow must produce this definition as its first deliverable. </w:t>
      </w:r>
      <w:r>
        <w:rPr>
          <w:rFonts w:eastAsia="georgia" w:cs="georgia" w:ascii="georgia" w:hAnsi="georgia"/>
          <w:i/>
          <w:color w:val="000000"/>
        </w:rPr>
        <w:t xml:space="preserve">Flagged: Critical Architect-level decision before V2.0 can proceed.</w:t>
      </w:r>
    </w:p>
    <w:p>
      <w:pPr>
        <w:spacing w:line="360" w:after="210" w:lineRule="auto"/>
      </w:pPr>
      <w:r>
        <w:rPr>
          <w:rFonts w:eastAsia="georgia" w:cs="georgia" w:ascii="georgia" w:hAnsi="georgia"/>
          <w:b/>
          <w:color w:val="000000"/>
        </w:rPr>
        <w:t xml:space="preserve">Post-Scarcity Enforcement Gap</w:t>
      </w:r>
      <w:r>
        <w:rPr>
          <w:rFonts w:eastAsia="georgia" w:cs="georgia" w:ascii="georgia" w:hAnsi="georgia"/>
          <w:color w:val="000000"/>
        </w:rPr>
        <w:br w:type="textWrapping"/>
      </w:r>
      <w:r>
        <w:rPr>
          <w:rFonts w:eastAsia="georgia" w:cs="georgia" w:ascii="georgia" w:hAnsi="georgia"/>
          <w:color w:val="000000"/>
        </w:rPr>
        <w:t xml:space="preserve">In a post-scarcity environment, traditional treaty enforcement relies on resource denial (sanctions, embargo). If all parties have access to post-scarcity resources, conventional enforcement mechanisms have reduced leverage. The Accords must develop enforcement architecture appropriate to post-scarcity conditions — this has not been addressed.[^1]</w:t>
      </w:r>
    </w:p>
    <w:p>
      <w:pPr>
        <w:spacing w:line="360" w:after="210" w:lineRule="auto"/>
      </w:pPr>
      <w:r>
        <w:rPr>
          <w:rFonts w:eastAsia="georgia" w:cs="georgia" w:ascii="georgia" w:hAnsi="georgia"/>
          <w:b/>
          <w:color w:val="000000"/>
        </w:rPr>
        <w:t xml:space="preserve">Gemini Reliability Floor</w:t>
      </w:r>
      <w:r>
        <w:rPr>
          <w:rFonts w:eastAsia="georgia" w:cs="georgia" w:ascii="georgia" w:hAnsi="georgia"/>
          <w:color w:val="000000"/>
        </w:rPr>
        <w:br w:type="textWrapping"/>
      </w:r>
      <w:r>
        <w:rPr>
          <w:rFonts w:eastAsia="georgia" w:cs="georgia" w:ascii="georgia" w:hAnsi="georgia"/>
          <w:color w:val="000000"/>
        </w:rPr>
        <w:t xml:space="preserve">Any Gemini treaty text must be labeled DRAFT—PENDING REVIEW and audited by Claude before logging. Documents bypassing this step create canon contamination risk.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t1_004_quantum_infrastructure_fai_ee100b"/>
      <w:r>
        <w:rPr>
          <w:rFonts w:eastAsia="georgia" w:cs="georgia" w:ascii="georgia" w:hAnsi="georgia"/>
          <w:b/>
          <w:color w:val="000000"/>
          <w:sz w:val="24"/>
        </w:rPr>
        <w:t xml:space="preserve">T1-004 — QUANTUM INFRASTRUCTURE FAILURE TESTING FRAMEWORK (QIFTF)</w:t>
      </w:r>
      <w:bookmarkEnd w:id="31"/>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Quantum Computing | Infrastructure Resilience | Systems Architecture | Policy Framework</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Documented April 13, 2026. Pending master changelog integration.[^1]</w:t>
      </w:r>
      <w:r>
        <w:rPr>
          <w:rFonts w:eastAsia="georgia" w:cs="georgia" w:ascii="georgia" w:hAnsi="georgia"/>
          <w:color w:val="000000"/>
        </w:rPr>
        <w:br w:type="textWrapping"/>
      </w:r>
      <w:r>
        <w:rPr>
          <w:rFonts w:eastAsia="georgia" w:cs="georgia" w:ascii="georgia" w:hAnsi="georgia"/>
          <w:b/>
          <w:color w:val="000000"/>
        </w:rPr>
        <w:t xml:space="preserve">TRL Range:</w:t>
      </w:r>
      <w:r>
        <w:rPr>
          <w:rFonts w:eastAsia="georgia" w:cs="georgia" w:ascii="georgia" w:hAnsi="georgia"/>
          <w:color w:val="000000"/>
        </w:rPr>
        <w:t xml:space="preserve"> 2–3 (framework development, pre-pilot testing)</w:t>
      </w:r>
    </w:p>
    <w:p>
      <w:pPr>
        <w:spacing w:line="360" w:before="315" w:after="105" w:lineRule="auto"/>
        <w:ind w:left="-30"/>
        <w:jc w:val="left"/>
      </w:pPr>
      <w:bookmarkStart w:id="32" w:name="bm_1_purpose_4"/>
      <w:r>
        <w:rPr>
          <w:rFonts w:eastAsia="georgia" w:cs="georgia" w:ascii="georgia" w:hAnsi="georgia"/>
          <w:b/>
          <w:color w:val="000000"/>
          <w:sz w:val="24"/>
        </w:rPr>
        <w:t xml:space="preserve">1. Purpose</w:t>
      </w:r>
      <w:bookmarkEnd w:id="32"/>
    </w:p>
    <w:p>
      <w:pPr>
        <w:spacing w:line="360" w:after="210" w:lineRule="auto"/>
      </w:pPr>
      <w:r>
        <w:rPr>
          <w:rFonts w:eastAsia="georgia" w:cs="georgia" w:ascii="georgia" w:hAnsi="georgia"/>
          <w:color w:val="000000"/>
        </w:rPr>
        <w:t xml:space="preserve">QIFTF addresses a critical and currently unaddressed gap in quantum computing governance: no existing framework tests quantum systems for how they fail rather than how they perform. The framework introduces five testing pillars covering the full dependency stack from physics substrate through societal cascade, culminating in the Civilization Floor Test.[^1]</w:t>
      </w:r>
    </w:p>
    <w:p>
      <w:pPr>
        <w:spacing w:line="360" w:before="315" w:after="105" w:lineRule="auto"/>
        <w:ind w:left="-30"/>
        <w:jc w:val="left"/>
      </w:pPr>
      <w:bookmarkStart w:id="33" w:name="bm_2_mission_statement_4"/>
      <w:r>
        <w:rPr>
          <w:rFonts w:eastAsia="georgia" w:cs="georgia" w:ascii="georgia" w:hAnsi="georgia"/>
          <w:b/>
          <w:color w:val="000000"/>
          <w:sz w:val="24"/>
        </w:rPr>
        <w:t xml:space="preserve">2. Mission Statement</w:t>
      </w:r>
      <w:bookmarkEnd w:id="33"/>
    </w:p>
    <w:p>
      <w:pPr>
        <w:spacing w:line="360" w:after="210" w:lineRule="auto"/>
        <w:ind w:left="630"/>
      </w:pPr>
      <w:r>
        <w:rPr>
          <w:rFonts w:eastAsia="georgia" w:cs="georgia" w:ascii="georgia" w:hAnsi="georgia"/>
          <w:i/>
          <w:color w:val="000000"/>
        </w:rPr>
        <w:t xml:space="preserve">To establish the first comprehensive failure testing framework for quantum infrastructure that addresses physics-layer failures, decoherence-specific testing, entanglement network failure, and societal cascade simulation — filling a gap that no existing framework (Chaos Engineering, Digital Twins, NIST/PQC) currently addresses.</w:t>
      </w:r>
    </w:p>
    <w:p>
      <w:pPr>
        <w:spacing w:line="360" w:before="315" w:after="105" w:lineRule="auto"/>
        <w:ind w:left="-30"/>
        <w:jc w:val="left"/>
      </w:pPr>
      <w:bookmarkStart w:id="34" w:name="bm_3_justification_4"/>
      <w:r>
        <w:rPr>
          <w:rFonts w:eastAsia="georgia" w:cs="georgia" w:ascii="georgia" w:hAnsi="georgia"/>
          <w:b/>
          <w:color w:val="000000"/>
          <w:sz w:val="24"/>
        </w:rPr>
        <w:t xml:space="preserve">3. Justification</w:t>
      </w:r>
      <w:bookmarkEnd w:id="34"/>
    </w:p>
    <w:p>
      <w:pPr>
        <w:spacing w:line="360" w:after="210" w:lineRule="auto"/>
      </w:pPr>
      <w:r>
        <w:rPr>
          <w:rFonts w:eastAsia="georgia" w:cs="georgia" w:ascii="georgia" w:hAnsi="georgia"/>
          <w:color w:val="000000"/>
        </w:rPr>
        <w:t xml:space="preserve">The Harvest Now, Decrypt Later (HNDL) threat is active today: nation-state actors are collecting encrypted data for future quantum decryption. A 2025 Federal Reserve paper on HNDL confirmed that distributed ledger cryptocurrency networks face permanent data privacy exposure because previously recorded transactions cannot be retroactively protected. A 2025 academic study confirmed: "the true deadline for PQC migration is now" — the window for protective governance is closing. HNDL represents a threat that weaponizes time — data collected now, exploited later when quantum capabilities mature.[</w:t>
      </w:r>
      <w:r>
        <w:rPr>
          <w:rFonts w:eastAsia="georgia" w:cs="georgia" w:ascii="georgia" w:hAnsi="georgia"/>
          <w:color w:val="000000"/>
          <w:vertAlign w:val="superscript"/>
        </w:rPr>
        <w:t xml:space="preserve">15][</w:t>
      </w:r>
      <w:r>
        <w:rPr>
          <w:rFonts w:eastAsia="georgia" w:cs="georgia" w:ascii="georgia" w:hAnsi="georgia"/>
          <w:color w:val="000000"/>
        </w:rPr>
        <w:t xml:space="preserve">16][^17]</w:t>
      </w:r>
    </w:p>
    <w:p>
      <w:pPr>
        <w:spacing w:line="360" w:after="210" w:lineRule="auto"/>
      </w:pPr>
      <w:r>
        <w:rPr>
          <w:rFonts w:eastAsia="georgia" w:cs="georgia" w:ascii="georgia" w:hAnsi="georgia"/>
          <w:color w:val="000000"/>
        </w:rPr>
        <w:t xml:space="preserve">The NSF has launched a $100M National Quantum and Nanotechnology Infrastructure (NQNI) program (February 2026) establishing a nationwide network of open-access quantum research facilities. DARPA's Robust Quantum Sensor (RoQS) program has awarded $24.4M+ in contracts for quantum-enabled navigation and sensing. QIFTF occupies the governance and resilience dimension of this landscape — the testing-for-failure layer that none of these investment programs addresses.[</w:t>
      </w:r>
      <w:r>
        <w:rPr>
          <w:rFonts w:eastAsia="georgia" w:cs="georgia" w:ascii="georgia" w:hAnsi="georgia"/>
          <w:color w:val="000000"/>
          <w:vertAlign w:val="superscript"/>
        </w:rPr>
        <w:t xml:space="preserve">6][</w:t>
      </w:r>
      <w:r>
        <w:rPr>
          <w:rFonts w:eastAsia="georgia" w:cs="georgia" w:ascii="georgia" w:hAnsi="georgia"/>
          <w:color w:val="000000"/>
        </w:rPr>
        <w:t xml:space="preserve">20][</w:t>
      </w:r>
      <w:r>
        <w:rPr>
          <w:rFonts w:eastAsia="georgia" w:cs="georgia" w:ascii="georgia" w:hAnsi="georgia"/>
          <w:color w:val="000000"/>
          <w:vertAlign w:val="superscript"/>
        </w:rPr>
        <w:t xml:space="preserve">21][</w:t>
      </w:r>
      <w:r>
        <w:rPr>
          <w:rFonts w:eastAsia="georgia" w:cs="georgia" w:ascii="georgia" w:hAnsi="georgia"/>
          <w:color w:val="000000"/>
        </w:rPr>
        <w:t xml:space="preserve">22]</w:t>
      </w:r>
    </w:p>
    <w:p>
      <w:pPr>
        <w:spacing w:line="360" w:before="315" w:after="105" w:lineRule="auto"/>
        <w:ind w:left="-30"/>
        <w:jc w:val="left"/>
      </w:pPr>
      <w:bookmarkStart w:id="35" w:name="bm_4_funding_proposal_4"/>
      <w:r>
        <w:rPr>
          <w:rFonts w:eastAsia="georgia" w:cs="georgia" w:ascii="georgia" w:hAnsi="georgia"/>
          <w:b/>
          <w:color w:val="000000"/>
          <w:sz w:val="24"/>
        </w:rPr>
        <w:t xml:space="preserve">4. Funding Proposal</w:t>
      </w:r>
      <w:bookmarkEnd w:id="35"/>
    </w:p>
    <w:p>
      <w:pPr>
        <w:spacing w:line="360" w:after="210" w:lineRule="auto"/>
      </w:pPr>
      <w:r>
        <w:rPr>
          <w:rFonts w:eastAsia="georgia" w:cs="georgia" w:ascii="georgia" w:hAnsi="georgia"/>
          <w:b/>
          <w:color w:val="000000"/>
        </w:rPr>
        <w:t xml:space="preserve">Phase 1 — Framework Development and Validation: ~$11M–$37M</w:t>
      </w:r>
    </w:p>
    <w:p>
      <w:pPr>
        <w:numPr>
          <w:ilvl w:val="0"/>
          <w:numId w:val="27"/>
        </w:numPr>
        <w:spacing w:line="360" w:before="105" w:after="105" w:lineRule="auto"/>
      </w:pPr>
      <w:r>
        <w:rPr>
          <w:rFonts w:eastAsia="georgia" w:cs="georgia" w:ascii="georgia" w:hAnsi="georgia"/>
          <w:color w:val="000000"/>
          <w:sz w:val="21"/>
        </w:rPr>
        <w:t xml:space="preserve">DARPA Quantum Benchmarking Initiative: $2M–$8M</w:t>
      </w:r>
    </w:p>
    <w:p>
      <w:pPr>
        <w:numPr>
          <w:ilvl w:val="0"/>
          <w:numId w:val="27"/>
        </w:numPr>
        <w:spacing w:line="360" w:before="105" w:after="105" w:lineRule="auto"/>
      </w:pPr>
      <w:r>
        <w:rPr>
          <w:rFonts w:eastAsia="georgia" w:cs="georgia" w:ascii="georgia" w:hAnsi="georgia"/>
          <w:color w:val="000000"/>
          <w:sz w:val="21"/>
        </w:rPr>
        <w:t xml:space="preserve">DHS/CISA Quantum Resilience Program: $1M–$4M</w:t>
      </w:r>
    </w:p>
    <w:p>
      <w:pPr>
        <w:numPr>
          <w:ilvl w:val="0"/>
          <w:numId w:val="27"/>
        </w:numPr>
        <w:spacing w:line="360" w:before="105" w:after="105" w:lineRule="auto"/>
      </w:pPr>
      <w:r>
        <w:rPr>
          <w:rFonts w:eastAsia="georgia" w:cs="georgia" w:ascii="georgia" w:hAnsi="georgia"/>
          <w:color w:val="000000"/>
          <w:sz w:val="21"/>
        </w:rPr>
        <w:t xml:space="preserve">NSF NQNI program (network of networks emphasis): $3M–$10M[^23]</w:t>
      </w:r>
    </w:p>
    <w:p>
      <w:pPr>
        <w:numPr>
          <w:ilvl w:val="0"/>
          <w:numId w:val="27"/>
        </w:numPr>
        <w:spacing w:line="360" w:before="105" w:after="105" w:lineRule="auto"/>
      </w:pPr>
      <w:r>
        <w:rPr>
          <w:rFonts w:eastAsia="georgia" w:cs="georgia" w:ascii="georgia" w:hAnsi="georgia"/>
          <w:color w:val="000000"/>
          <w:sz w:val="21"/>
        </w:rPr>
        <w:t xml:space="preserve">DoE National Quantum Information Science Research Centers: $5M–$15M</w:t>
      </w:r>
    </w:p>
    <w:p>
      <w:pPr>
        <w:spacing w:line="360" w:after="210" w:lineRule="auto"/>
      </w:pPr>
      <w:r>
        <w:rPr>
          <w:rFonts w:eastAsia="georgia" w:cs="georgia" w:ascii="georgia" w:hAnsi="georgia"/>
          <w:b/>
          <w:color w:val="000000"/>
        </w:rPr>
        <w:t xml:space="preserve">Phase 2 — Certification Program Development: ~$3.7M–$10.8M</w:t>
      </w:r>
    </w:p>
    <w:p>
      <w:pPr>
        <w:numPr>
          <w:ilvl w:val="0"/>
          <w:numId w:val="28"/>
        </w:numPr>
        <w:spacing w:line="360" w:before="105" w:after="105" w:lineRule="auto"/>
      </w:pPr>
      <w:r>
        <w:rPr>
          <w:rFonts w:eastAsia="georgia" w:cs="georgia" w:ascii="georgia" w:hAnsi="georgia"/>
          <w:color w:val="000000"/>
          <w:sz w:val="21"/>
        </w:rPr>
        <w:t xml:space="preserve">Insurance/reinsurance industry risk assessment contracts: $500K–$2M per contract</w:t>
      </w:r>
    </w:p>
    <w:p>
      <w:pPr>
        <w:numPr>
          <w:ilvl w:val="0"/>
          <w:numId w:val="28"/>
        </w:numPr>
        <w:spacing w:line="360" w:before="105" w:after="105" w:lineRule="auto"/>
      </w:pPr>
      <w:r>
        <w:rPr>
          <w:rFonts w:eastAsia="georgia" w:cs="georgia" w:ascii="georgia" w:hAnsi="georgia"/>
          <w:color w:val="000000"/>
          <w:sz w:val="21"/>
        </w:rPr>
        <w:t xml:space="preserve">Financial services sector compliance certification: $200K–$800K per engagement</w:t>
      </w:r>
    </w:p>
    <w:p>
      <w:pPr>
        <w:numPr>
          <w:ilvl w:val="0"/>
          <w:numId w:val="28"/>
        </w:numPr>
        <w:spacing w:line="360" w:before="105" w:after="105" w:lineRule="auto"/>
      </w:pPr>
      <w:r>
        <w:rPr>
          <w:rFonts w:eastAsia="georgia" w:cs="georgia" w:ascii="georgia" w:hAnsi="georgia"/>
          <w:color w:val="000000"/>
          <w:sz w:val="21"/>
        </w:rPr>
        <w:t xml:space="preserve">NATO quantum infrastructure assessment program: $3M–$8M</w:t>
      </w:r>
    </w:p>
    <w:p>
      <w:pPr>
        <w:spacing w:line="360" w:after="210" w:lineRule="auto"/>
      </w:pPr>
      <w:r>
        <w:rPr>
          <w:rFonts w:eastAsia="georgia" w:cs="georgia" w:ascii="georgia" w:hAnsi="georgia"/>
          <w:b/>
          <w:color w:val="000000"/>
        </w:rPr>
        <w:t xml:space="preserve">Phase 3 — International Governance Integration: ~$6.5M–$19.5M</w:t>
      </w:r>
    </w:p>
    <w:p>
      <w:pPr>
        <w:numPr>
          <w:ilvl w:val="0"/>
          <w:numId w:val="29"/>
        </w:numPr>
        <w:spacing w:line="360" w:before="105" w:after="105" w:lineRule="auto"/>
      </w:pPr>
      <w:r>
        <w:rPr>
          <w:rFonts w:eastAsia="georgia" w:cs="georgia" w:ascii="georgia" w:hAnsi="georgia"/>
          <w:color w:val="000000"/>
          <w:sz w:val="21"/>
        </w:rPr>
        <w:t xml:space="preserve">EU Horizon Europe Quantum Flagship: €5M–€15M</w:t>
      </w:r>
    </w:p>
    <w:p>
      <w:pPr>
        <w:numPr>
          <w:ilvl w:val="0"/>
          <w:numId w:val="29"/>
        </w:numPr>
        <w:spacing w:line="360" w:before="105" w:after="105" w:lineRule="auto"/>
      </w:pPr>
      <w:r>
        <w:rPr>
          <w:rFonts w:eastAsia="georgia" w:cs="georgia" w:ascii="georgia" w:hAnsi="georgia"/>
          <w:color w:val="000000"/>
          <w:sz w:val="21"/>
        </w:rPr>
        <w:t xml:space="preserve">ITU/ISO standards development funding: $500K–$1.5M</w:t>
      </w:r>
    </w:p>
    <w:p>
      <w:pPr>
        <w:numPr>
          <w:ilvl w:val="0"/>
          <w:numId w:val="29"/>
        </w:numPr>
        <w:spacing w:line="360" w:before="105" w:after="105" w:lineRule="auto"/>
      </w:pPr>
      <w:r>
        <w:rPr>
          <w:rFonts w:eastAsia="georgia" w:cs="georgia" w:ascii="georgia" w:hAnsi="georgia"/>
          <w:color w:val="000000"/>
          <w:sz w:val="21"/>
        </w:rPr>
        <w:t xml:space="preserve">World Economic Forum technology governance partnership: $1M–$3M</w:t>
      </w:r>
    </w:p>
    <w:p>
      <w:pPr>
        <w:spacing w:line="360" w:after="210" w:lineRule="auto"/>
      </w:pPr>
      <w:r>
        <w:rPr>
          <w:rFonts w:eastAsia="georgia" w:cs="georgia" w:ascii="georgia" w:hAnsi="georgia"/>
          <w:b/>
          <w:color w:val="000000"/>
        </w:rPr>
        <w:t xml:space="preserve">Near-Term Change Accounting:</w:t>
      </w:r>
      <w:r>
        <w:rPr>
          <w:rFonts w:eastAsia="georgia" w:cs="georgia" w:ascii="georgia" w:hAnsi="georgia"/>
          <w:color w:val="000000"/>
        </w:rPr>
        <w:t xml:space="preserve"> The NSF NQNI program (February 2026, $100M) explicitly supports quantum "technologies that require higher levels of integration" and a "network of networks" model. QIFTF's certification infrastructure maps directly to the network-of-networks framing — multiple sites running the framework against different quantum architectures. Letters of Intent were due March 16, 2026; future rounds expected.[</w:t>
      </w:r>
      <w:r>
        <w:rPr>
          <w:rFonts w:eastAsia="georgia" w:cs="georgia" w:ascii="georgia" w:hAnsi="georgia"/>
          <w:color w:val="000000"/>
          <w:vertAlign w:val="superscript"/>
        </w:rPr>
        <w:t xml:space="preserve">24][</w:t>
      </w:r>
      <w:r>
        <w:rPr>
          <w:rFonts w:eastAsia="georgia" w:cs="georgia" w:ascii="georgia" w:hAnsi="georgia"/>
          <w:color w:val="000000"/>
        </w:rPr>
        <w:t xml:space="preserve">23]</w:t>
      </w:r>
    </w:p>
    <w:p>
      <w:pPr>
        <w:spacing w:line="360" w:before="315" w:after="105" w:lineRule="auto"/>
        <w:ind w:left="-30"/>
        <w:jc w:val="left"/>
      </w:pPr>
      <w:bookmarkStart w:id="36" w:name="bm_5_applications_4"/>
      <w:r>
        <w:rPr>
          <w:rFonts w:eastAsia="georgia" w:cs="georgia" w:ascii="georgia" w:hAnsi="georgia"/>
          <w:b/>
          <w:color w:val="000000"/>
          <w:sz w:val="24"/>
        </w:rPr>
        <w:t xml:space="preserve">5. Applications</w:t>
      </w:r>
      <w:bookmarkEnd w:id="36"/>
    </w:p>
    <w:p>
      <w:pPr>
        <w:spacing w:line="360" w:after="210" w:lineRule="auto"/>
      </w:pPr>
      <w:r>
        <w:rPr>
          <w:rFonts w:eastAsia="georgia" w:cs="georgia" w:ascii="georgia" w:hAnsi="georgia"/>
          <w:b/>
          <w:color w:val="000000"/>
        </w:rPr>
        <w:t xml:space="preserve">Research</w:t>
      </w:r>
    </w:p>
    <w:p>
      <w:pPr>
        <w:numPr>
          <w:ilvl w:val="0"/>
          <w:numId w:val="30"/>
        </w:numPr>
        <w:spacing w:line="360" w:before="105" w:after="105" w:lineRule="auto"/>
      </w:pPr>
      <w:r>
        <w:rPr>
          <w:rFonts w:eastAsia="georgia" w:cs="georgia" w:ascii="georgia" w:hAnsi="georgia"/>
          <w:color w:val="000000"/>
          <w:sz w:val="21"/>
        </w:rPr>
        <w:t xml:space="preserve">Physics-layer failure injection methodology for quantum systems</w:t>
      </w:r>
    </w:p>
    <w:p>
      <w:pPr>
        <w:numPr>
          <w:ilvl w:val="0"/>
          <w:numId w:val="30"/>
        </w:numPr>
        <w:spacing w:line="360" w:before="105" w:after="105" w:lineRule="auto"/>
      </w:pPr>
      <w:r>
        <w:rPr>
          <w:rFonts w:eastAsia="georgia" w:cs="georgia" w:ascii="georgia" w:hAnsi="georgia"/>
          <w:color w:val="000000"/>
          <w:sz w:val="21"/>
        </w:rPr>
        <w:t xml:space="preserve">Decoherence-specific testing protocols applicable across quantum architectures</w:t>
      </w:r>
    </w:p>
    <w:p>
      <w:pPr>
        <w:numPr>
          <w:ilvl w:val="0"/>
          <w:numId w:val="30"/>
        </w:numPr>
        <w:spacing w:line="360" w:before="105" w:after="105" w:lineRule="auto"/>
      </w:pPr>
      <w:r>
        <w:rPr>
          <w:rFonts w:eastAsia="georgia" w:cs="georgia" w:ascii="georgia" w:hAnsi="georgia"/>
          <w:color w:val="000000"/>
          <w:sz w:val="21"/>
        </w:rPr>
        <w:t xml:space="preserve">Civilization Floor Test as a benchmark for quantum-dependent critical infrastructure dependency assessment</w:t>
      </w:r>
    </w:p>
    <w:p>
      <w:pPr>
        <w:spacing w:line="360" w:after="210" w:lineRule="auto"/>
      </w:pPr>
      <w:r>
        <w:rPr>
          <w:rFonts w:eastAsia="georgia" w:cs="georgia" w:ascii="georgia" w:hAnsi="georgia"/>
          <w:b/>
          <w:color w:val="000000"/>
        </w:rPr>
        <w:t xml:space="preserve">Government and Defense</w:t>
      </w:r>
    </w:p>
    <w:p>
      <w:pPr>
        <w:numPr>
          <w:ilvl w:val="0"/>
          <w:numId w:val="31"/>
        </w:numPr>
        <w:spacing w:line="360" w:before="105" w:after="105" w:lineRule="auto"/>
      </w:pPr>
      <w:r>
        <w:rPr>
          <w:rFonts w:eastAsia="georgia" w:cs="georgia" w:ascii="georgia" w:hAnsi="georgia"/>
          <w:color w:val="000000"/>
          <w:sz w:val="21"/>
        </w:rPr>
        <w:t xml:space="preserve">National quantum strategy risk assessment</w:t>
      </w:r>
    </w:p>
    <w:p>
      <w:pPr>
        <w:numPr>
          <w:ilvl w:val="0"/>
          <w:numId w:val="31"/>
        </w:numPr>
        <w:spacing w:line="360" w:before="105" w:after="105" w:lineRule="auto"/>
      </w:pPr>
      <w:r>
        <w:rPr>
          <w:rFonts w:eastAsia="georgia" w:cs="georgia" w:ascii="georgia" w:hAnsi="georgia"/>
          <w:color w:val="000000"/>
          <w:sz w:val="21"/>
        </w:rPr>
        <w:t xml:space="preserve">Critical infrastructure protection: identifying quantum dependencies in power grid, financial system, and communications infrastructure</w:t>
      </w:r>
    </w:p>
    <w:p>
      <w:pPr>
        <w:numPr>
          <w:ilvl w:val="0"/>
          <w:numId w:val="31"/>
        </w:numPr>
        <w:spacing w:line="360" w:before="105" w:after="105" w:lineRule="auto"/>
      </w:pPr>
      <w:r>
        <w:rPr>
          <w:rFonts w:eastAsia="georgia" w:cs="georgia" w:ascii="georgia" w:hAnsi="georgia"/>
          <w:color w:val="000000"/>
          <w:sz w:val="21"/>
        </w:rPr>
        <w:t xml:space="preserve">Military quantum communications resilience testing</w:t>
      </w:r>
    </w:p>
    <w:p>
      <w:pPr>
        <w:numPr>
          <w:ilvl w:val="0"/>
          <w:numId w:val="31"/>
        </w:numPr>
        <w:spacing w:line="360" w:before="105" w:after="105" w:lineRule="auto"/>
      </w:pPr>
      <w:r>
        <w:rPr>
          <w:rFonts w:eastAsia="georgia" w:cs="georgia" w:ascii="georgia" w:hAnsi="georgia"/>
          <w:color w:val="000000"/>
          <w:sz w:val="21"/>
        </w:rPr>
        <w:t xml:space="preserve">Intelligence community quantum cryptography vulnerability assessment</w:t>
      </w:r>
    </w:p>
    <w:p>
      <w:pPr>
        <w:spacing w:line="360" w:after="210" w:lineRule="auto"/>
      </w:pPr>
      <w:r>
        <w:rPr>
          <w:rFonts w:eastAsia="georgia" w:cs="georgia" w:ascii="georgia" w:hAnsi="georgia"/>
          <w:b/>
          <w:color w:val="000000"/>
        </w:rPr>
        <w:t xml:space="preserve">Commercial</w:t>
      </w:r>
    </w:p>
    <w:p>
      <w:pPr>
        <w:numPr>
          <w:ilvl w:val="0"/>
          <w:numId w:val="32"/>
        </w:numPr>
        <w:spacing w:line="360" w:before="105" w:after="105" w:lineRule="auto"/>
      </w:pPr>
      <w:r>
        <w:rPr>
          <w:rFonts w:eastAsia="georgia" w:cs="georgia" w:ascii="georgia" w:hAnsi="georgia"/>
          <w:color w:val="000000"/>
          <w:sz w:val="21"/>
        </w:rPr>
        <w:t xml:space="preserve">Quantum computing vendor certification and audit services</w:t>
      </w:r>
    </w:p>
    <w:p>
      <w:pPr>
        <w:numPr>
          <w:ilvl w:val="0"/>
          <w:numId w:val="32"/>
        </w:numPr>
        <w:spacing w:line="360" w:before="105" w:after="105" w:lineRule="auto"/>
      </w:pPr>
      <w:r>
        <w:rPr>
          <w:rFonts w:eastAsia="georgia" w:cs="georgia" w:ascii="georgia" w:hAnsi="georgia"/>
          <w:color w:val="000000"/>
          <w:sz w:val="21"/>
        </w:rPr>
        <w:t xml:space="preserve">Insurance risk modeling for quantum infrastructure failure</w:t>
      </w:r>
    </w:p>
    <w:p>
      <w:pPr>
        <w:numPr>
          <w:ilvl w:val="0"/>
          <w:numId w:val="32"/>
        </w:numPr>
        <w:spacing w:line="360" w:before="105" w:after="105" w:lineRule="auto"/>
      </w:pPr>
      <w:r>
        <w:rPr>
          <w:rFonts w:eastAsia="georgia" w:cs="georgia" w:ascii="georgia" w:hAnsi="georgia"/>
          <w:color w:val="000000"/>
          <w:sz w:val="21"/>
        </w:rPr>
        <w:t xml:space="preserve">Financial sector quantum dependency mapping and stress testing</w:t>
      </w:r>
    </w:p>
    <w:p>
      <w:pPr>
        <w:numPr>
          <w:ilvl w:val="0"/>
          <w:numId w:val="32"/>
        </w:numPr>
        <w:spacing w:line="360" w:before="105" w:after="105" w:lineRule="auto"/>
      </w:pPr>
      <w:r>
        <w:rPr>
          <w:rFonts w:eastAsia="georgia" w:cs="georgia" w:ascii="georgia" w:hAnsi="georgia"/>
          <w:color w:val="000000"/>
          <w:sz w:val="21"/>
        </w:rPr>
        <w:t xml:space="preserve">Supply chain quantum cryptography exposure assessment</w:t>
      </w:r>
    </w:p>
    <w:p>
      <w:pPr>
        <w:spacing w:line="360" w:after="210" w:lineRule="auto"/>
      </w:pPr>
      <w:r>
        <w:rPr>
          <w:rFonts w:eastAsia="georgia" w:cs="georgia" w:ascii="georgia" w:hAnsi="georgia"/>
          <w:b/>
          <w:color w:val="000000"/>
        </w:rPr>
        <w:t xml:space="preserve">Speculative/Future</w:t>
      </w:r>
    </w:p>
    <w:p>
      <w:pPr>
        <w:numPr>
          <w:ilvl w:val="0"/>
          <w:numId w:val="33"/>
        </w:numPr>
        <w:spacing w:line="360" w:before="105" w:after="105" w:lineRule="auto"/>
      </w:pPr>
      <w:r>
        <w:rPr>
          <w:rFonts w:eastAsia="georgia" w:cs="georgia" w:ascii="georgia" w:hAnsi="georgia"/>
          <w:color w:val="000000"/>
          <w:sz w:val="21"/>
        </w:rPr>
        <w:t xml:space="preserve">ISO-equivalent global quantum resilience standard — the QIFTF as the aviation safety analogy for quantum infrastructure (FAA preceded mass commercial aviation)[^1]</w:t>
      </w:r>
    </w:p>
    <w:p>
      <w:pPr>
        <w:numPr>
          <w:ilvl w:val="0"/>
          <w:numId w:val="33"/>
        </w:numPr>
        <w:spacing w:line="360" w:before="105" w:after="105" w:lineRule="auto"/>
      </w:pPr>
      <w:r>
        <w:rPr>
          <w:rFonts w:eastAsia="georgia" w:cs="georgia" w:ascii="georgia" w:hAnsi="georgia"/>
          <w:color w:val="000000"/>
          <w:sz w:val="21"/>
        </w:rPr>
        <w:t xml:space="preserve">HNDL early warning system integration</w:t>
      </w:r>
    </w:p>
    <w:p>
      <w:pPr>
        <w:spacing w:line="360" w:before="315" w:after="105" w:lineRule="auto"/>
        <w:ind w:left="-30"/>
        <w:jc w:val="left"/>
      </w:pPr>
      <w:bookmarkStart w:id="37" w:name="bm_6_ethics_overview_4"/>
      <w:r>
        <w:rPr>
          <w:rFonts w:eastAsia="georgia" w:cs="georgia" w:ascii="georgia" w:hAnsi="georgia"/>
          <w:b/>
          <w:color w:val="000000"/>
          <w:sz w:val="24"/>
        </w:rPr>
        <w:t xml:space="preserve">6. Ethics Overview</w:t>
      </w:r>
      <w:bookmarkEnd w:id="37"/>
    </w:p>
    <w:p>
      <w:pPr>
        <w:spacing w:line="360" w:after="210" w:lineRule="auto"/>
      </w:pPr>
      <w:r>
        <w:rPr>
          <w:rFonts w:eastAsia="georgia" w:cs="georgia" w:ascii="georgia" w:hAnsi="georgia"/>
          <w:color w:val="000000"/>
        </w:rPr>
        <w:t xml:space="preserve">The QIFTF framework raises dual-use concerns: detailed knowledge of how quantum systems fail can be exploited by adversarial actors. The framework must include access controls governing who can implement testing protocols and what information is released in test results.[^1]</w:t>
      </w:r>
    </w:p>
    <w:p>
      <w:pPr>
        <w:spacing w:line="360" w:after="210" w:lineRule="auto"/>
      </w:pPr>
      <w:r>
        <w:rPr>
          <w:rFonts w:eastAsia="georgia" w:cs="georgia" w:ascii="georgia" w:hAnsi="georgia"/>
          <w:color w:val="000000"/>
        </w:rPr>
        <w:t xml:space="preserve">The Civilization Floor Test directly contradicts economic incentives driving quantum adoption — requiring systems to demonstrate pre-quantum fallback capability creates regulatory requirements that quantum vendors and adopters have strong incentives to resist. Goodhart's Law risk: certification programs create incentives to optimize for certification rather than actual resilience. Anti-gaming provisions must be built into the framework architecture from the outset.[^1]</w:t>
      </w:r>
    </w:p>
    <w:p>
      <w:pPr>
        <w:spacing w:line="360" w:before="315" w:after="105" w:lineRule="auto"/>
        <w:ind w:left="-30"/>
        <w:jc w:val="left"/>
      </w:pPr>
      <w:bookmarkStart w:id="38" w:name="bm_7_findings_supporting_continuation_4"/>
      <w:r>
        <w:rPr>
          <w:rFonts w:eastAsia="georgia" w:cs="georgia" w:ascii="georgia" w:hAnsi="georgia"/>
          <w:b/>
          <w:color w:val="000000"/>
          <w:sz w:val="24"/>
        </w:rPr>
        <w:t xml:space="preserve">7. Findings Supporting Continuation</w:t>
      </w:r>
      <w:bookmarkEnd w:id="38"/>
    </w:p>
    <w:p>
      <w:pPr>
        <w:numPr>
          <w:ilvl w:val="0"/>
          <w:numId w:val="34"/>
        </w:numPr>
        <w:spacing w:line="360" w:before="105" w:after="105" w:lineRule="auto"/>
      </w:pPr>
      <w:r>
        <w:rPr>
          <w:rFonts w:eastAsia="georgia" w:cs="georgia" w:ascii="georgia" w:hAnsi="georgia"/>
          <w:color w:val="000000"/>
          <w:sz w:val="21"/>
        </w:rPr>
        <w:t xml:space="preserve">Not a single existing framework addresses physics-layer failure, decoherence-specific testing, entanglement network failure, or the civilization floor test — the design space is unoccupied[^1]</w:t>
      </w:r>
    </w:p>
    <w:p>
      <w:pPr>
        <w:numPr>
          <w:ilvl w:val="0"/>
          <w:numId w:val="34"/>
        </w:numPr>
        <w:spacing w:line="360" w:before="105" w:after="105" w:lineRule="auto"/>
      </w:pPr>
      <w:r>
        <w:rPr>
          <w:rFonts w:eastAsia="georgia" w:cs="georgia" w:ascii="georgia" w:hAnsi="georgia"/>
          <w:color w:val="000000"/>
          <w:sz w:val="21"/>
        </w:rPr>
        <w:t xml:space="preserve">The HNDL threat is documented, active, and confirmed by Federal Reserve analysis (2026)[^15]</w:t>
      </w:r>
    </w:p>
    <w:p>
      <w:pPr>
        <w:numPr>
          <w:ilvl w:val="0"/>
          <w:numId w:val="34"/>
        </w:numPr>
        <w:spacing w:line="360" w:before="105" w:after="105" w:lineRule="auto"/>
      </w:pPr>
      <w:r>
        <w:rPr>
          <w:rFonts w:eastAsia="georgia" w:cs="georgia" w:ascii="georgia" w:hAnsi="georgia"/>
          <w:color w:val="000000"/>
          <w:sz w:val="21"/>
        </w:rPr>
        <w:t xml:space="preserve">NSF's $100M NQNI investment (2026) and DARPA's RoQS program ($24.4M+) confirm national priority alignment[</w:t>
      </w:r>
      <w:r>
        <w:rPr>
          <w:rFonts w:eastAsia="georgia" w:cs="georgia" w:ascii="georgia" w:hAnsi="georgia"/>
          <w:color w:val="000000"/>
          <w:sz w:val="21"/>
          <w:vertAlign w:val="superscript"/>
        </w:rPr>
        <w:t xml:space="preserve">21][</w:t>
      </w:r>
      <w:r>
        <w:rPr>
          <w:rFonts w:eastAsia="georgia" w:cs="georgia" w:ascii="georgia" w:hAnsi="georgia"/>
          <w:color w:val="000000"/>
          <w:sz w:val="21"/>
        </w:rPr>
        <w:t xml:space="preserve">6]</w:t>
      </w:r>
    </w:p>
    <w:p>
      <w:pPr>
        <w:numPr>
          <w:ilvl w:val="0"/>
          <w:numId w:val="34"/>
        </w:numPr>
        <w:spacing w:line="360" w:before="105" w:after="105" w:lineRule="auto"/>
      </w:pPr>
      <w:r>
        <w:rPr>
          <w:rFonts w:eastAsia="georgia" w:cs="georgia" w:ascii="georgia" w:hAnsi="georgia"/>
          <w:color w:val="000000"/>
          <w:sz w:val="21"/>
        </w:rPr>
        <w:t xml:space="preserve">Direct integration with OAL's Conditional Failure at the Root Level (ONESTAMPED March 22, 2026) — QIFTF is the real-world methodological equivalent[^1]</w:t>
      </w:r>
    </w:p>
    <w:p>
      <w:pPr>
        <w:numPr>
          <w:ilvl w:val="0"/>
          <w:numId w:val="34"/>
        </w:numPr>
        <w:spacing w:line="360" w:before="105" w:after="105" w:lineRule="auto"/>
      </w:pPr>
      <w:r>
        <w:rPr>
          <w:rFonts w:eastAsia="georgia" w:cs="georgia" w:ascii="georgia" w:hAnsi="georgia"/>
          <w:color w:val="000000"/>
          <w:sz w:val="21"/>
        </w:rPr>
        <w:t xml:space="preserve">The FAA analogy is appropriate and defensible: aviation safety governance preceded mass commercial aviation deployment</w:t>
      </w:r>
    </w:p>
    <w:p>
      <w:pPr>
        <w:spacing w:line="360" w:before="315" w:after="105" w:lineRule="auto"/>
        <w:ind w:left="-30"/>
        <w:jc w:val="left"/>
      </w:pPr>
      <w:bookmarkStart w:id="39" w:name="bm_8_red_team_analysis_4"/>
      <w:r>
        <w:rPr>
          <w:rFonts w:eastAsia="georgia" w:cs="georgia" w:ascii="georgia" w:hAnsi="georgia"/>
          <w:b/>
          <w:color w:val="000000"/>
          <w:sz w:val="24"/>
        </w:rPr>
        <w:t xml:space="preserve">8. Red Team Analysis</w:t>
      </w:r>
      <w:bookmarkEnd w:id="39"/>
    </w:p>
    <w:p>
      <w:pPr>
        <w:spacing w:line="360" w:after="210" w:lineRule="auto"/>
      </w:pPr>
      <w:r>
        <w:rPr>
          <w:rFonts w:eastAsia="georgia" w:cs="georgia" w:ascii="georgia" w:hAnsi="georgia"/>
          <w:b/>
          <w:color w:val="000000"/>
        </w:rPr>
        <w:t xml:space="preserve">You Cannot Faithfully Simulate What You Are Testing</w:t>
      </w:r>
      <w:r>
        <w:rPr>
          <w:rFonts w:eastAsia="georgia" w:cs="georgia" w:ascii="georgia" w:hAnsi="georgia"/>
          <w:color w:val="000000"/>
        </w:rPr>
        <w:br w:type="textWrapping"/>
      </w:r>
      <w:r>
        <w:rPr>
          <w:rFonts w:eastAsia="georgia" w:cs="georgia" w:ascii="georgia" w:hAnsi="georgia"/>
          <w:color w:val="000000"/>
        </w:rPr>
        <w:t xml:space="preserve">The simulation fidelity paradox is real and acknowledged. The response: partial simulation is more valuable than no simulation. The three-method approach (simulation + documented uncontrolled incident analysis + controlled trials) validated in the OMNICELLULAR 4,712 framework applies here.[^1]</w:t>
      </w:r>
    </w:p>
    <w:p>
      <w:pPr>
        <w:spacing w:line="360" w:after="210" w:lineRule="auto"/>
      </w:pPr>
      <w:r>
        <w:rPr>
          <w:rFonts w:eastAsia="georgia" w:cs="georgia" w:ascii="georgia" w:hAnsi="georgia"/>
          <w:b/>
          <w:color w:val="000000"/>
        </w:rPr>
        <w:t xml:space="preserve">Premature Timing</w:t>
      </w:r>
      <w:r>
        <w:rPr>
          <w:rFonts w:eastAsia="georgia" w:cs="georgia" w:ascii="georgia" w:hAnsi="georgia"/>
          <w:color w:val="000000"/>
        </w:rPr>
        <w:br w:type="textWrapping"/>
      </w:r>
      <w:r>
        <w:rPr>
          <w:rFonts w:eastAsia="georgia" w:cs="georgia" w:ascii="georgia" w:hAnsi="georgia"/>
          <w:color w:val="000000"/>
        </w:rPr>
        <w:t xml:space="preserve">The HNDL threat refutes this objection directly: governance must precede deployment, or the window closes.[</w:t>
      </w:r>
      <w:r>
        <w:rPr>
          <w:rFonts w:eastAsia="georgia" w:cs="georgia" w:ascii="georgia" w:hAnsi="georgia"/>
          <w:color w:val="000000"/>
          <w:vertAlign w:val="superscript"/>
        </w:rPr>
        <w:t xml:space="preserve">16][</w:t>
      </w:r>
      <w:r>
        <w:rPr>
          <w:rFonts w:eastAsia="georgia" w:cs="georgia" w:ascii="georgia" w:hAnsi="georgia"/>
          <w:color w:val="000000"/>
        </w:rPr>
        <w:t xml:space="preserve">17]</w:t>
      </w:r>
    </w:p>
    <w:p>
      <w:pPr>
        <w:spacing w:line="360" w:after="210" w:lineRule="auto"/>
      </w:pPr>
      <w:r>
        <w:rPr>
          <w:rFonts w:eastAsia="georgia" w:cs="georgia" w:ascii="georgia" w:hAnsi="georgia"/>
          <w:b/>
          <w:color w:val="000000"/>
        </w:rPr>
        <w:t xml:space="preserve">The Civilization Floor Test Contradicts Economic Quantum Adoption Incentives — CRITICAL</w:t>
      </w:r>
      <w:r>
        <w:rPr>
          <w:rFonts w:eastAsia="georgia" w:cs="georgia" w:ascii="georgia" w:hAnsi="georgia"/>
          <w:color w:val="000000"/>
        </w:rPr>
        <w:br w:type="textWrapping"/>
      </w:r>
      <w:r>
        <w:rPr>
          <w:rFonts w:eastAsia="georgia" w:cs="georgia" w:ascii="georgia" w:hAnsi="georgia"/>
          <w:color w:val="000000"/>
        </w:rPr>
        <w:t xml:space="preserve">This is the most politically significant red team finding. The framework must be designed with this resistance anticipated and built into its adoption strategy from the outset.</w:t>
      </w:r>
    </w:p>
    <w:p>
      <w:pPr>
        <w:spacing w:line="360" w:after="210" w:lineRule="auto"/>
      </w:pPr>
      <w:r>
        <w:rPr>
          <w:rFonts w:eastAsia="georgia" w:cs="georgia" w:ascii="georgia" w:hAnsi="georgia"/>
          <w:b/>
          <w:color w:val="000000"/>
        </w:rPr>
        <w:t xml:space="preserve">Power Asymmetry</w:t>
      </w:r>
      <w:r>
        <w:rPr>
          <w:rFonts w:eastAsia="georgia" w:cs="georgia" w:ascii="georgia" w:hAnsi="georgia"/>
          <w:color w:val="000000"/>
        </w:rPr>
        <w:br w:type="textWrapping"/>
      </w:r>
      <w:r>
        <w:rPr>
          <w:rFonts w:eastAsia="georgia" w:cs="georgia" w:ascii="georgia" w:hAnsi="georgia"/>
          <w:color w:val="000000"/>
        </w:rPr>
        <w:t xml:space="preserve">Nation-states with QIFTF implementation capability gain an intelligence advantage over those without. International governance frameworks must be developed in parallel with the technical framework.[^1]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t1_005_multi_modal_vibroacoustic_b16063"/>
      <w:r>
        <w:rPr>
          <w:rFonts w:eastAsia="georgia" w:cs="georgia" w:ascii="georgia" w:hAnsi="georgia"/>
          <w:b/>
          <w:color w:val="000000"/>
          <w:sz w:val="24"/>
        </w:rPr>
        <w:t xml:space="preserve">T1-005 — MULTI-MODAL VIBROACOUSTIC ENVIRONMENTAL SENSING (MVES)</w:t>
      </w:r>
      <w:bookmarkEnd w:id="40"/>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Sensing Technology | Defense Systems | Environmental Intelligence | Biomimicry Engineering</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Documented April 13, 2026. Pending master changelog integration.[^1]</w:t>
      </w:r>
      <w:r>
        <w:rPr>
          <w:rFonts w:eastAsia="georgia" w:cs="georgia" w:ascii="georgia" w:hAnsi="georgia"/>
          <w:color w:val="000000"/>
        </w:rPr>
        <w:br w:type="textWrapping"/>
      </w:r>
      <w:r>
        <w:rPr>
          <w:rFonts w:eastAsia="georgia" w:cs="georgia" w:ascii="georgia" w:hAnsi="georgia"/>
          <w:b/>
          <w:color w:val="000000"/>
        </w:rPr>
        <w:t xml:space="preserve">TRL Range:</w:t>
      </w:r>
      <w:r>
        <w:rPr>
          <w:rFonts w:eastAsia="georgia" w:cs="georgia" w:ascii="georgia" w:hAnsi="georgia"/>
          <w:color w:val="000000"/>
        </w:rPr>
        <w:t xml:space="preserve"> 3–4 (component integration, proof of concept)</w:t>
      </w:r>
    </w:p>
    <w:p>
      <w:pPr>
        <w:spacing w:line="360" w:before="315" w:after="105" w:lineRule="auto"/>
        <w:ind w:left="-30"/>
        <w:jc w:val="left"/>
      </w:pPr>
      <w:bookmarkStart w:id="41" w:name="bm_1_purpose_5"/>
      <w:r>
        <w:rPr>
          <w:rFonts w:eastAsia="georgia" w:cs="georgia" w:ascii="georgia" w:hAnsi="georgia"/>
          <w:b/>
          <w:color w:val="000000"/>
          <w:sz w:val="24"/>
        </w:rPr>
        <w:t xml:space="preserve">1. Purpose</w:t>
      </w:r>
      <w:bookmarkEnd w:id="41"/>
    </w:p>
    <w:p>
      <w:pPr>
        <w:spacing w:line="360" w:after="210" w:lineRule="auto"/>
      </w:pPr>
      <w:r>
        <w:rPr>
          <w:rFonts w:eastAsia="georgia" w:cs="georgia" w:ascii="georgia" w:hAnsi="georgia"/>
          <w:color w:val="000000"/>
        </w:rPr>
        <w:t xml:space="preserve">MVES is a multi-modal sensing architecture that constructs environmental awareness through acoustic signals, ground vibrations, and infrasound without reliance on visual or electromagnetic sensing. Inspired by biological models including elephant seismic communication, bat echolocation, and lateral line systems in fish, MVES enables real-time environmental modeling in conditions where conventional sensing fails.[^1]</w:t>
      </w:r>
    </w:p>
    <w:p>
      <w:pPr>
        <w:spacing w:line="360" w:before="315" w:after="105" w:lineRule="auto"/>
        <w:ind w:left="-30"/>
        <w:jc w:val="left"/>
      </w:pPr>
      <w:bookmarkStart w:id="42" w:name="bm_2_mission_statement_5"/>
      <w:r>
        <w:rPr>
          <w:rFonts w:eastAsia="georgia" w:cs="georgia" w:ascii="georgia" w:hAnsi="georgia"/>
          <w:b/>
          <w:color w:val="000000"/>
          <w:sz w:val="24"/>
        </w:rPr>
        <w:t xml:space="preserve">2. Mission Statement</w:t>
      </w:r>
      <w:bookmarkEnd w:id="42"/>
    </w:p>
    <w:p>
      <w:pPr>
        <w:spacing w:line="360" w:after="210" w:lineRule="auto"/>
        <w:ind w:left="630"/>
      </w:pPr>
      <w:r>
        <w:rPr>
          <w:rFonts w:eastAsia="georgia" w:cs="georgia" w:ascii="georgia" w:hAnsi="georgia"/>
          <w:i/>
          <w:color w:val="000000"/>
        </w:rPr>
        <w:t xml:space="preserve">To develop a passive, non-detectable, multi-modal environmental sensing architecture that provides operational environmental awareness in zero-visibility, GPS-denied, and electromagnetically contested environments — validated by biological precedent and grounded in current laboratory research.</w:t>
      </w:r>
    </w:p>
    <w:p>
      <w:pPr>
        <w:spacing w:line="360" w:before="315" w:after="105" w:lineRule="auto"/>
        <w:ind w:left="-30"/>
        <w:jc w:val="left"/>
      </w:pPr>
      <w:bookmarkStart w:id="43" w:name="bm_3_justification_5"/>
      <w:r>
        <w:rPr>
          <w:rFonts w:eastAsia="georgia" w:cs="georgia" w:ascii="georgia" w:hAnsi="georgia"/>
          <w:b/>
          <w:color w:val="000000"/>
          <w:sz w:val="24"/>
        </w:rPr>
        <w:t xml:space="preserve">3. Justification</w:t>
      </w:r>
      <w:bookmarkEnd w:id="43"/>
    </w:p>
    <w:p>
      <w:pPr>
        <w:spacing w:line="360" w:after="210" w:lineRule="auto"/>
      </w:pPr>
      <w:r>
        <w:rPr>
          <w:rFonts w:eastAsia="georgia" w:cs="georgia" w:ascii="georgia" w:hAnsi="georgia"/>
          <w:color w:val="000000"/>
        </w:rPr>
        <w:t xml:space="preserve">GPS denial and electromagnetic spectrum contestation represent growing operational challenges confirmed by active defense investment. DARPA's Robust Quantum Sensor (RoQS) program awarded $24.4M+ in contracts specifically for GPS-denied environment navigation. Safran Federal Systems' RoQS contract includes helicopter field demonstration as the first phase, confirming operational testing progression in real-world contested environments.[</w:t>
      </w:r>
      <w:r>
        <w:rPr>
          <w:rFonts w:eastAsia="georgia" w:cs="georgia" w:ascii="georgia" w:hAnsi="georgia"/>
          <w:color w:val="000000"/>
          <w:vertAlign w:val="superscript"/>
        </w:rPr>
        <w:t xml:space="preserve">20][</w:t>
      </w:r>
      <w:r>
        <w:rPr>
          <w:rFonts w:eastAsia="georgia" w:cs="georgia" w:ascii="georgia" w:hAnsi="georgia"/>
          <w:color w:val="000000"/>
        </w:rPr>
        <w:t xml:space="preserve">21][</w:t>
      </w:r>
      <w:r>
        <w:rPr>
          <w:rFonts w:eastAsia="georgia" w:cs="georgia" w:ascii="georgia" w:hAnsi="georgia"/>
          <w:color w:val="000000"/>
          <w:vertAlign w:val="superscript"/>
        </w:rPr>
        <w:t xml:space="preserve">25][</w:t>
      </w:r>
      <w:r>
        <w:rPr>
          <w:rFonts w:eastAsia="georgia" w:cs="georgia" w:ascii="georgia" w:hAnsi="georgia"/>
          <w:color w:val="000000"/>
        </w:rPr>
        <w:t xml:space="preserve">26]</w:t>
      </w:r>
    </w:p>
    <w:p>
      <w:pPr>
        <w:spacing w:line="360" w:after="210" w:lineRule="auto"/>
      </w:pPr>
      <w:r>
        <w:rPr>
          <w:rFonts w:eastAsia="georgia" w:cs="georgia" w:ascii="georgia" w:hAnsi="georgia"/>
          <w:color w:val="000000"/>
        </w:rPr>
        <w:t xml:space="preserve">Ukraine's Vidar Systems unveiled acoustic sensor complexes in February 2025 capable of determining enemy artillery coordinates up to 25 kilometers depth, using AI-driven triangulation across five-to-ten-sensor networks — demonstrating that passive acoustic sensing is already operationally deployed in active conflict environments. The U.S. Army Research Laboratory demonstrated networked acoustic emission sensors that detect airframe damage in real-time on composite rotorcraft structures, confirming the passive, non-destructive nature of acoustic sensing as a validated military methodology.[</w:t>
      </w:r>
      <w:r>
        <w:rPr>
          <w:rFonts w:eastAsia="georgia" w:cs="georgia" w:ascii="georgia" w:hAnsi="georgia"/>
          <w:color w:val="000000"/>
          <w:vertAlign w:val="superscript"/>
        </w:rPr>
        <w:t xml:space="preserve">27][</w:t>
      </w:r>
      <w:r>
        <w:rPr>
          <w:rFonts w:eastAsia="georgia" w:cs="georgia" w:ascii="georgia" w:hAnsi="georgia"/>
          <w:color w:val="000000"/>
        </w:rPr>
        <w:t xml:space="preserve">28]</w:t>
      </w:r>
    </w:p>
    <w:p>
      <w:pPr>
        <w:spacing w:line="360" w:after="210" w:lineRule="auto"/>
      </w:pPr>
      <w:r>
        <w:rPr>
          <w:rFonts w:eastAsia="georgia" w:cs="georgia" w:ascii="georgia" w:hAnsi="georgia"/>
          <w:color w:val="000000"/>
        </w:rPr>
        <w:t xml:space="preserve">Distributed Acoustic Sensing (DAS) technology, using fiber optic cable to achieve positional accuracy within 10 meters over 200 km cable lengths with &gt;95% classification accuracy, is being promoted for national key point protection. MVES integrates these proven components into a multi-modal fusion architecture superior to any single modality.[^29]</w:t>
      </w:r>
    </w:p>
    <w:p>
      <w:pPr>
        <w:spacing w:line="360" w:before="315" w:after="105" w:lineRule="auto"/>
        <w:ind w:left="-30"/>
        <w:jc w:val="left"/>
      </w:pPr>
      <w:bookmarkStart w:id="44" w:name="bm_4_funding_proposal_5"/>
      <w:r>
        <w:rPr>
          <w:rFonts w:eastAsia="georgia" w:cs="georgia" w:ascii="georgia" w:hAnsi="georgia"/>
          <w:b/>
          <w:color w:val="000000"/>
          <w:sz w:val="24"/>
        </w:rPr>
        <w:t xml:space="preserve">4. Funding Proposal</w:t>
      </w:r>
      <w:bookmarkEnd w:id="44"/>
    </w:p>
    <w:p>
      <w:pPr>
        <w:spacing w:line="360" w:after="210" w:lineRule="auto"/>
      </w:pPr>
      <w:r>
        <w:rPr>
          <w:rFonts w:eastAsia="georgia" w:cs="georgia" w:ascii="georgia" w:hAnsi="georgia"/>
          <w:b/>
          <w:color w:val="000000"/>
        </w:rPr>
        <w:t xml:space="preserve">Phase 1 — Component Integration (TRL 3–4): ~$3.15M–$11.5M</w:t>
      </w:r>
    </w:p>
    <w:p>
      <w:pPr>
        <w:numPr>
          <w:ilvl w:val="0"/>
          <w:numId w:val="35"/>
        </w:numPr>
        <w:spacing w:line="360" w:before="105" w:after="105" w:lineRule="auto"/>
      </w:pPr>
      <w:r>
        <w:rPr>
          <w:rFonts w:eastAsia="georgia" w:cs="georgia" w:ascii="georgia" w:hAnsi="georgia"/>
          <w:color w:val="000000"/>
          <w:sz w:val="21"/>
        </w:rPr>
        <w:t xml:space="preserve">DARPA SIGMA+ program: $1M–$4M</w:t>
      </w:r>
    </w:p>
    <w:p>
      <w:pPr>
        <w:numPr>
          <w:ilvl w:val="0"/>
          <w:numId w:val="35"/>
        </w:numPr>
        <w:spacing w:line="360" w:before="105" w:after="105" w:lineRule="auto"/>
      </w:pPr>
      <w:r>
        <w:rPr>
          <w:rFonts w:eastAsia="georgia" w:cs="georgia" w:ascii="georgia" w:hAnsi="georgia"/>
          <w:color w:val="000000"/>
          <w:sz w:val="21"/>
        </w:rPr>
        <w:t xml:space="preserve">Army Research Lab MURI (Multidisciplinary University Research Initiative): $2M–$6M</w:t>
      </w:r>
    </w:p>
    <w:p>
      <w:pPr>
        <w:numPr>
          <w:ilvl w:val="0"/>
          <w:numId w:val="35"/>
        </w:numPr>
        <w:spacing w:line="360" w:before="105" w:after="105" w:lineRule="auto"/>
      </w:pPr>
      <w:r>
        <w:rPr>
          <w:rFonts w:eastAsia="georgia" w:cs="georgia" w:ascii="georgia" w:hAnsi="georgia"/>
          <w:color w:val="000000"/>
          <w:sz w:val="21"/>
        </w:rPr>
        <w:t xml:space="preserve">SBIR Phase I/II: $150K–$1.5M</w:t>
      </w:r>
    </w:p>
    <w:p>
      <w:pPr>
        <w:spacing w:line="360" w:after="210" w:lineRule="auto"/>
      </w:pPr>
      <w:r>
        <w:rPr>
          <w:rFonts w:eastAsia="georgia" w:cs="georgia" w:ascii="georgia" w:hAnsi="georgia"/>
          <w:b/>
          <w:color w:val="000000"/>
        </w:rPr>
        <w:t xml:space="preserve">Phase 2 — System Prototype (TRL 5–6): ~$6M–$16M</w:t>
      </w:r>
    </w:p>
    <w:p>
      <w:pPr>
        <w:numPr>
          <w:ilvl w:val="0"/>
          <w:numId w:val="36"/>
        </w:numPr>
        <w:spacing w:line="360" w:before="105" w:after="105" w:lineRule="auto"/>
      </w:pPr>
      <w:r>
        <w:rPr>
          <w:rFonts w:eastAsia="georgia" w:cs="georgia" w:ascii="georgia" w:hAnsi="georgia"/>
          <w:color w:val="000000"/>
          <w:sz w:val="21"/>
        </w:rPr>
        <w:t xml:space="preserve">SOCOM Science and Technology Directorate: $3M–$8M</w:t>
      </w:r>
    </w:p>
    <w:p>
      <w:pPr>
        <w:numPr>
          <w:ilvl w:val="0"/>
          <w:numId w:val="36"/>
        </w:numPr>
        <w:spacing w:line="360" w:before="105" w:after="105" w:lineRule="auto"/>
      </w:pPr>
      <w:r>
        <w:rPr>
          <w:rFonts w:eastAsia="georgia" w:cs="georgia" w:ascii="georgia" w:hAnsi="georgia"/>
          <w:color w:val="000000"/>
          <w:sz w:val="21"/>
        </w:rPr>
        <w:t xml:space="preserve">Air Force Research Laboratory: $2M–$5M</w:t>
      </w:r>
    </w:p>
    <w:p>
      <w:pPr>
        <w:numPr>
          <w:ilvl w:val="0"/>
          <w:numId w:val="36"/>
        </w:numPr>
        <w:spacing w:line="360" w:before="105" w:after="105" w:lineRule="auto"/>
      </w:pPr>
      <w:r>
        <w:rPr>
          <w:rFonts w:eastAsia="georgia" w:cs="georgia" w:ascii="georgia" w:hAnsi="georgia"/>
          <w:color w:val="000000"/>
          <w:sz w:val="21"/>
        </w:rPr>
        <w:t xml:space="preserve">DHS Science and Technology Directorate: $1M–$3M for disaster response applications</w:t>
      </w:r>
    </w:p>
    <w:p>
      <w:pPr>
        <w:spacing w:line="360" w:after="210" w:lineRule="auto"/>
      </w:pPr>
      <w:r>
        <w:rPr>
          <w:rFonts w:eastAsia="georgia" w:cs="georgia" w:ascii="georgia" w:hAnsi="georgia"/>
          <w:b/>
          <w:color w:val="000000"/>
        </w:rPr>
        <w:t xml:space="preserve">Phase 3 — Commercialization (TRL 7–9): ~$17M–$78M</w:t>
      </w:r>
    </w:p>
    <w:p>
      <w:pPr>
        <w:numPr>
          <w:ilvl w:val="0"/>
          <w:numId w:val="37"/>
        </w:numPr>
        <w:spacing w:line="360" w:before="105" w:after="105" w:lineRule="auto"/>
      </w:pPr>
      <w:r>
        <w:rPr>
          <w:rFonts w:eastAsia="georgia" w:cs="georgia" w:ascii="georgia" w:hAnsi="georgia"/>
          <w:color w:val="000000"/>
          <w:sz w:val="21"/>
        </w:rPr>
        <w:t xml:space="preserve">Defense procurement contracts: $10M–$50M per program</w:t>
      </w:r>
    </w:p>
    <w:p>
      <w:pPr>
        <w:numPr>
          <w:ilvl w:val="0"/>
          <w:numId w:val="37"/>
        </w:numPr>
        <w:spacing w:line="360" w:before="105" w:after="105" w:lineRule="auto"/>
      </w:pPr>
      <w:r>
        <w:rPr>
          <w:rFonts w:eastAsia="georgia" w:cs="georgia" w:ascii="georgia" w:hAnsi="georgia"/>
          <w:color w:val="000000"/>
          <w:sz w:val="21"/>
        </w:rPr>
        <w:t xml:space="preserve">Autonomous vehicle sector licensing: $5M–$20M</w:t>
      </w:r>
    </w:p>
    <w:p>
      <w:pPr>
        <w:numPr>
          <w:ilvl w:val="0"/>
          <w:numId w:val="37"/>
        </w:numPr>
        <w:spacing w:line="360" w:before="105" w:after="105" w:lineRule="auto"/>
      </w:pPr>
      <w:r>
        <w:rPr>
          <w:rFonts w:eastAsia="georgia" w:cs="georgia" w:ascii="georgia" w:hAnsi="georgia"/>
          <w:color w:val="000000"/>
          <w:sz w:val="21"/>
        </w:rPr>
        <w:t xml:space="preserve">Smart building and infrastructure monitoring: $2M–$8M per deployment</w:t>
      </w:r>
    </w:p>
    <w:p>
      <w:pPr>
        <w:spacing w:line="360" w:after="210" w:lineRule="auto"/>
      </w:pPr>
      <w:r>
        <w:rPr>
          <w:rFonts w:eastAsia="georgia" w:cs="georgia" w:ascii="georgia" w:hAnsi="georgia"/>
          <w:b/>
          <w:color w:val="000000"/>
        </w:rPr>
        <w:t xml:space="preserve">Near-Term Change Accounting:</w:t>
      </w:r>
      <w:r>
        <w:rPr>
          <w:rFonts w:eastAsia="georgia" w:cs="georgia" w:ascii="georgia" w:hAnsi="georgia"/>
          <w:color w:val="000000"/>
        </w:rPr>
        <w:t xml:space="preserve"> The DoD wearable sensor SBIR (March 2026, U.S. Army) seeks 360-degree blast exposure sensors measuring overpressure, acceleration, and acoustic signals in real-time with high-fidelity recording capability. This SBIR is structurally adjacent to MVES component development and represents an accessible near-term entry point for team capability development.[^30]</w:t>
      </w:r>
    </w:p>
    <w:p>
      <w:pPr>
        <w:spacing w:line="360" w:before="315" w:after="105" w:lineRule="auto"/>
        <w:ind w:left="-30"/>
        <w:jc w:val="left"/>
      </w:pPr>
      <w:bookmarkStart w:id="45" w:name="bm_5_applications_5"/>
      <w:r>
        <w:rPr>
          <w:rFonts w:eastAsia="georgia" w:cs="georgia" w:ascii="georgia" w:hAnsi="georgia"/>
          <w:b/>
          <w:color w:val="000000"/>
          <w:sz w:val="24"/>
        </w:rPr>
        <w:t xml:space="preserve">5. Applications</w:t>
      </w:r>
      <w:bookmarkEnd w:id="45"/>
    </w:p>
    <w:p>
      <w:pPr>
        <w:spacing w:line="360" w:after="210" w:lineRule="auto"/>
      </w:pPr>
      <w:r>
        <w:rPr>
          <w:rFonts w:eastAsia="georgia" w:cs="georgia" w:ascii="georgia" w:hAnsi="georgia"/>
          <w:b/>
          <w:color w:val="000000"/>
        </w:rPr>
        <w:t xml:space="preserve">Defense and Military</w:t>
      </w:r>
    </w:p>
    <w:p>
      <w:pPr>
        <w:numPr>
          <w:ilvl w:val="0"/>
          <w:numId w:val="38"/>
        </w:numPr>
        <w:spacing w:line="360" w:before="105" w:after="105" w:lineRule="auto"/>
      </w:pPr>
      <w:r>
        <w:rPr>
          <w:rFonts w:eastAsia="georgia" w:cs="georgia" w:ascii="georgia" w:hAnsi="georgia"/>
          <w:color w:val="000000"/>
          <w:sz w:val="21"/>
        </w:rPr>
        <w:t xml:space="preserve">ISR (Intelligence, Surveillance, Reconnaissance) in GPS-denied environments[^20]</w:t>
      </w:r>
    </w:p>
    <w:p>
      <w:pPr>
        <w:numPr>
          <w:ilvl w:val="0"/>
          <w:numId w:val="38"/>
        </w:numPr>
        <w:spacing w:line="360" w:before="105" w:after="105" w:lineRule="auto"/>
      </w:pPr>
      <w:r>
        <w:rPr>
          <w:rFonts w:eastAsia="georgia" w:cs="georgia" w:ascii="georgia" w:hAnsi="georgia"/>
          <w:color w:val="000000"/>
          <w:sz w:val="21"/>
        </w:rPr>
        <w:t xml:space="preserve">Counter-UAS detection through acoustic signature analysis — confirmed operational need</w:t>
      </w:r>
    </w:p>
    <w:p>
      <w:pPr>
        <w:numPr>
          <w:ilvl w:val="0"/>
          <w:numId w:val="38"/>
        </w:numPr>
        <w:spacing w:line="360" w:before="105" w:after="105" w:lineRule="auto"/>
      </w:pPr>
      <w:r>
        <w:rPr>
          <w:rFonts w:eastAsia="georgia" w:cs="georgia" w:ascii="georgia" w:hAnsi="georgia"/>
          <w:color w:val="000000"/>
          <w:sz w:val="21"/>
        </w:rPr>
        <w:t xml:space="preserve">Underground facility detection and mapping — NASA infrasound sensor at 35 milliwatts demonstrates detection capability through mountains[^1]</w:t>
      </w:r>
    </w:p>
    <w:p>
      <w:pPr>
        <w:numPr>
          <w:ilvl w:val="0"/>
          <w:numId w:val="38"/>
        </w:numPr>
        <w:spacing w:line="360" w:before="105" w:after="105" w:lineRule="auto"/>
      </w:pPr>
      <w:r>
        <w:rPr>
          <w:rFonts w:eastAsia="georgia" w:cs="georgia" w:ascii="georgia" w:hAnsi="georgia"/>
          <w:color w:val="000000"/>
          <w:sz w:val="21"/>
        </w:rPr>
        <w:t xml:space="preserve">Personnel navigation in zero-visibility combat environments</w:t>
      </w:r>
    </w:p>
    <w:p>
      <w:pPr>
        <w:numPr>
          <w:ilvl w:val="0"/>
          <w:numId w:val="38"/>
        </w:numPr>
        <w:spacing w:line="360" w:before="105" w:after="105" w:lineRule="auto"/>
      </w:pPr>
      <w:r>
        <w:rPr>
          <w:rFonts w:eastAsia="georgia" w:cs="georgia" w:ascii="georgia" w:hAnsi="georgia"/>
          <w:color w:val="000000"/>
          <w:sz w:val="21"/>
        </w:rPr>
        <w:t xml:space="preserve">Perimeter security through ground vibration monitoring[^29]</w:t>
      </w:r>
    </w:p>
    <w:p>
      <w:pPr>
        <w:spacing w:line="360" w:after="210" w:lineRule="auto"/>
      </w:pPr>
      <w:r>
        <w:rPr>
          <w:rFonts w:eastAsia="georgia" w:cs="georgia" w:ascii="georgia" w:hAnsi="georgia"/>
          <w:b/>
          <w:color w:val="000000"/>
        </w:rPr>
        <w:t xml:space="preserve">Civilian and Commercial</w:t>
      </w:r>
    </w:p>
    <w:p>
      <w:pPr>
        <w:numPr>
          <w:ilvl w:val="0"/>
          <w:numId w:val="39"/>
        </w:numPr>
        <w:spacing w:line="360" w:before="105" w:after="105" w:lineRule="auto"/>
      </w:pPr>
      <w:r>
        <w:rPr>
          <w:rFonts w:eastAsia="georgia" w:cs="georgia" w:ascii="georgia" w:hAnsi="georgia"/>
          <w:color w:val="000000"/>
          <w:sz w:val="21"/>
        </w:rPr>
        <w:t xml:space="preserve">Disaster response: survivor detection in collapsed structures</w:t>
      </w:r>
    </w:p>
    <w:p>
      <w:pPr>
        <w:numPr>
          <w:ilvl w:val="0"/>
          <w:numId w:val="39"/>
        </w:numPr>
        <w:spacing w:line="360" w:before="105" w:after="105" w:lineRule="auto"/>
      </w:pPr>
      <w:r>
        <w:rPr>
          <w:rFonts w:eastAsia="georgia" w:cs="georgia" w:ascii="georgia" w:hAnsi="georgia"/>
          <w:color w:val="000000"/>
          <w:sz w:val="21"/>
        </w:rPr>
        <w:t xml:space="preserve">Smart building environmental monitoring</w:t>
      </w:r>
    </w:p>
    <w:p>
      <w:pPr>
        <w:numPr>
          <w:ilvl w:val="0"/>
          <w:numId w:val="39"/>
        </w:numPr>
        <w:spacing w:line="360" w:before="105" w:after="105" w:lineRule="auto"/>
      </w:pPr>
      <w:r>
        <w:rPr>
          <w:rFonts w:eastAsia="georgia" w:cs="georgia" w:ascii="georgia" w:hAnsi="georgia"/>
          <w:color w:val="000000"/>
          <w:sz w:val="21"/>
        </w:rPr>
        <w:t xml:space="preserve">Autonomous vehicle navigation supplement in GPS-denied urban canyons</w:t>
      </w:r>
    </w:p>
    <w:p>
      <w:pPr>
        <w:numPr>
          <w:ilvl w:val="0"/>
          <w:numId w:val="39"/>
        </w:numPr>
        <w:spacing w:line="360" w:before="105" w:after="105" w:lineRule="auto"/>
      </w:pPr>
      <w:r>
        <w:rPr>
          <w:rFonts w:eastAsia="georgia" w:cs="georgia" w:ascii="georgia" w:hAnsi="georgia"/>
          <w:color w:val="000000"/>
          <w:sz w:val="21"/>
        </w:rPr>
        <w:t xml:space="preserve">Infrastructure monitoring for bridges, tunnels, and underground utilities</w:t>
      </w:r>
    </w:p>
    <w:p>
      <w:pPr>
        <w:numPr>
          <w:ilvl w:val="0"/>
          <w:numId w:val="39"/>
        </w:numPr>
        <w:spacing w:line="360" w:before="105" w:after="105" w:lineRule="auto"/>
      </w:pPr>
      <w:r>
        <w:rPr>
          <w:rFonts w:eastAsia="georgia" w:cs="georgia" w:ascii="georgia" w:hAnsi="georgia"/>
          <w:color w:val="000000"/>
          <w:sz w:val="21"/>
        </w:rPr>
        <w:t xml:space="preserve">Healthcare wearables: cardiac and respiratory monitoring through vibroacoustic sensing</w:t>
      </w:r>
    </w:p>
    <w:p>
      <w:pPr>
        <w:spacing w:line="360" w:after="210" w:lineRule="auto"/>
      </w:pPr>
      <w:r>
        <w:rPr>
          <w:rFonts w:eastAsia="georgia" w:cs="georgia" w:ascii="georgia" w:hAnsi="georgia"/>
          <w:b/>
          <w:color w:val="000000"/>
        </w:rPr>
        <w:t xml:space="preserve">Research</w:t>
      </w:r>
    </w:p>
    <w:p>
      <w:pPr>
        <w:numPr>
          <w:ilvl w:val="0"/>
          <w:numId w:val="40"/>
        </w:numPr>
        <w:spacing w:line="360" w:before="105" w:after="105" w:lineRule="auto"/>
      </w:pPr>
      <w:r>
        <w:rPr>
          <w:rFonts w:eastAsia="georgia" w:cs="georgia" w:ascii="georgia" w:hAnsi="georgia"/>
          <w:color w:val="000000"/>
          <w:sz w:val="21"/>
        </w:rPr>
        <w:t xml:space="preserve">Biomimicry engineering platform for biological sensing analog development</w:t>
      </w:r>
    </w:p>
    <w:p>
      <w:pPr>
        <w:numPr>
          <w:ilvl w:val="0"/>
          <w:numId w:val="40"/>
        </w:numPr>
        <w:spacing w:line="360" w:before="105" w:after="105" w:lineRule="auto"/>
      </w:pPr>
      <w:r>
        <w:rPr>
          <w:rFonts w:eastAsia="georgia" w:cs="georgia" w:ascii="georgia" w:hAnsi="georgia"/>
          <w:color w:val="000000"/>
          <w:sz w:val="21"/>
        </w:rPr>
        <w:t xml:space="preserve">Environmental monitoring for earthquake prediction and volcanic activity</w:t>
      </w:r>
    </w:p>
    <w:p>
      <w:pPr>
        <w:numPr>
          <w:ilvl w:val="0"/>
          <w:numId w:val="40"/>
        </w:numPr>
        <w:spacing w:line="360" w:before="105" w:after="105" w:lineRule="auto"/>
      </w:pPr>
      <w:r>
        <w:rPr>
          <w:rFonts w:eastAsia="georgia" w:cs="georgia" w:ascii="georgia" w:hAnsi="georgia"/>
          <w:color w:val="000000"/>
          <w:sz w:val="21"/>
        </w:rPr>
        <w:t xml:space="preserve">Wildlife monitoring without electromagnetic interference to animal behavior</w:t>
      </w:r>
    </w:p>
    <w:p>
      <w:pPr>
        <w:spacing w:line="360" w:after="210" w:lineRule="auto"/>
      </w:pPr>
      <w:r>
        <w:rPr>
          <w:rFonts w:eastAsia="georgia" w:cs="georgia" w:ascii="georgia" w:hAnsi="georgia"/>
          <w:b/>
          <w:color w:val="000000"/>
        </w:rPr>
        <w:t xml:space="preserve">Speculative/Future</w:t>
      </w:r>
    </w:p>
    <w:p>
      <w:pPr>
        <w:numPr>
          <w:ilvl w:val="0"/>
          <w:numId w:val="41"/>
        </w:numPr>
        <w:spacing w:line="360" w:before="105" w:after="105" w:lineRule="auto"/>
      </w:pPr>
      <w:r>
        <w:rPr>
          <w:rFonts w:eastAsia="georgia" w:cs="georgia" w:ascii="georgia" w:hAnsi="georgia"/>
          <w:color w:val="000000"/>
          <w:sz w:val="21"/>
        </w:rPr>
        <w:t xml:space="preserve">Integration with OMNICELLULAR deployments as the perceptual layer for environments where optical and electromagnetic sensing are unavailable[^1]</w:t>
      </w:r>
    </w:p>
    <w:p>
      <w:pPr>
        <w:spacing w:line="360" w:before="315" w:after="105" w:lineRule="auto"/>
        <w:ind w:left="-30"/>
        <w:jc w:val="left"/>
      </w:pPr>
      <w:bookmarkStart w:id="46" w:name="bm_6_ethics_overview_5"/>
      <w:r>
        <w:rPr>
          <w:rFonts w:eastAsia="georgia" w:cs="georgia" w:ascii="georgia" w:hAnsi="georgia"/>
          <w:b/>
          <w:color w:val="000000"/>
          <w:sz w:val="24"/>
        </w:rPr>
        <w:t xml:space="preserve">6. Ethics Overview</w:t>
      </w:r>
      <w:bookmarkEnd w:id="46"/>
    </w:p>
    <w:p>
      <w:pPr>
        <w:spacing w:line="360" w:after="210" w:lineRule="auto"/>
      </w:pPr>
      <w:r>
        <w:rPr>
          <w:rFonts w:eastAsia="georgia" w:cs="georgia" w:ascii="georgia" w:hAnsi="georgia"/>
          <w:color w:val="000000"/>
        </w:rPr>
        <w:t xml:space="preserve">MVES raises Fourth Amendment and privacy concerns given its passive, non-detectable sensing capability. A system that can detect human presence through walls without detection creates significant civil liberties implications in domestic contexts. Laser vibration sensing for military applications has been documented since at least 2005, with known capabilities for discriminating real targets from decoys and detecting buried objects. Privacy-by-design requirements must be built into the architecture from the earliest development stages.[</w:t>
      </w:r>
      <w:r>
        <w:rPr>
          <w:rFonts w:eastAsia="georgia" w:cs="georgia" w:ascii="georgia" w:hAnsi="georgia"/>
          <w:color w:val="000000"/>
          <w:vertAlign w:val="superscript"/>
        </w:rPr>
        <w:t xml:space="preserve">31][</w:t>
      </w:r>
      <w:r>
        <w:rPr>
          <w:rFonts w:eastAsia="georgia" w:cs="georgia" w:ascii="georgia" w:hAnsi="georgia"/>
          <w:color w:val="000000"/>
        </w:rPr>
        <w:t xml:space="preserve">1]</w:t>
      </w:r>
    </w:p>
    <w:p>
      <w:pPr>
        <w:spacing w:line="360" w:after="210" w:lineRule="auto"/>
      </w:pPr>
      <w:r>
        <w:rPr>
          <w:rFonts w:eastAsia="georgia" w:cs="georgia" w:ascii="georgia" w:hAnsi="georgia"/>
          <w:color w:val="000000"/>
        </w:rPr>
        <w:t xml:space="preserve">The environmental impact question is real: vibroacoustic systems operating at scale may interfere with species that depend on seismic and acoustic communication (elephants, whales, bats). Frequency and operational envelope design must account for known biological communication bands.</w:t>
      </w:r>
    </w:p>
    <w:p>
      <w:pPr>
        <w:spacing w:line="360" w:before="315" w:after="105" w:lineRule="auto"/>
        <w:ind w:left="-30"/>
        <w:jc w:val="left"/>
      </w:pPr>
      <w:bookmarkStart w:id="47" w:name="bm_7_findings_supporting_continuation_5"/>
      <w:r>
        <w:rPr>
          <w:rFonts w:eastAsia="georgia" w:cs="georgia" w:ascii="georgia" w:hAnsi="georgia"/>
          <w:b/>
          <w:color w:val="000000"/>
          <w:sz w:val="24"/>
        </w:rPr>
        <w:t xml:space="preserve">7. Findings Supporting Continuation</w:t>
      </w:r>
      <w:bookmarkEnd w:id="47"/>
    </w:p>
    <w:p>
      <w:pPr>
        <w:numPr>
          <w:ilvl w:val="0"/>
          <w:numId w:val="42"/>
        </w:numPr>
        <w:spacing w:line="360" w:before="105" w:after="105" w:lineRule="auto"/>
      </w:pPr>
      <w:r>
        <w:rPr>
          <w:rFonts w:eastAsia="georgia" w:cs="georgia" w:ascii="georgia" w:hAnsi="georgia"/>
          <w:color w:val="000000"/>
          <w:sz w:val="21"/>
        </w:rPr>
        <w:t xml:space="preserve">Individual components are at TRL 4–9 — the integration gap is engineering, not basic science[^1]</w:t>
      </w:r>
    </w:p>
    <w:p>
      <w:pPr>
        <w:numPr>
          <w:ilvl w:val="0"/>
          <w:numId w:val="42"/>
        </w:numPr>
        <w:spacing w:line="360" w:before="105" w:after="105" w:lineRule="auto"/>
      </w:pPr>
      <w:r>
        <w:rPr>
          <w:rFonts w:eastAsia="georgia" w:cs="georgia" w:ascii="georgia" w:hAnsi="georgia"/>
          <w:color w:val="000000"/>
          <w:sz w:val="21"/>
        </w:rPr>
        <w:t xml:space="preserve">Ukraine's Vidar Systems acoustic artillery detection system is operationally deployed in active conflict, confirming the defense applicability of passive acoustic sensing[^27]</w:t>
      </w:r>
    </w:p>
    <w:p>
      <w:pPr>
        <w:numPr>
          <w:ilvl w:val="0"/>
          <w:numId w:val="42"/>
        </w:numPr>
        <w:spacing w:line="360" w:before="105" w:after="105" w:lineRule="auto"/>
      </w:pPr>
      <w:r>
        <w:rPr>
          <w:rFonts w:eastAsia="georgia" w:cs="georgia" w:ascii="georgia" w:hAnsi="georgia"/>
          <w:color w:val="000000"/>
          <w:sz w:val="21"/>
        </w:rPr>
        <w:t xml:space="preserve">DARPA RoQS confirms GPS-denied operational requirement is a national priority[</w:t>
      </w:r>
      <w:r>
        <w:rPr>
          <w:rFonts w:eastAsia="georgia" w:cs="georgia" w:ascii="georgia" w:hAnsi="georgia"/>
          <w:color w:val="000000"/>
          <w:sz w:val="21"/>
          <w:vertAlign w:val="superscript"/>
        </w:rPr>
        <w:t xml:space="preserve">21][</w:t>
      </w:r>
      <w:r>
        <w:rPr>
          <w:rFonts w:eastAsia="georgia" w:cs="georgia" w:ascii="georgia" w:hAnsi="georgia"/>
          <w:color w:val="000000"/>
          <w:sz w:val="21"/>
        </w:rPr>
        <w:t xml:space="preserve">20]</w:t>
      </w:r>
    </w:p>
    <w:p>
      <w:pPr>
        <w:numPr>
          <w:ilvl w:val="0"/>
          <w:numId w:val="42"/>
        </w:numPr>
        <w:spacing w:line="360" w:before="105" w:after="105" w:lineRule="auto"/>
      </w:pPr>
      <w:r>
        <w:rPr>
          <w:rFonts w:eastAsia="georgia" w:cs="georgia" w:ascii="georgia" w:hAnsi="georgia"/>
          <w:color w:val="000000"/>
          <w:sz w:val="21"/>
        </w:rPr>
        <w:t xml:space="preserve">DAS technology demonstrates &gt;95% classification accuracy over 200 km at positional accuracy within 10 meters[^29]</w:t>
      </w:r>
    </w:p>
    <w:p>
      <w:pPr>
        <w:numPr>
          <w:ilvl w:val="0"/>
          <w:numId w:val="42"/>
        </w:numPr>
        <w:spacing w:line="360" w:before="105" w:after="105" w:lineRule="auto"/>
      </w:pPr>
      <w:r>
        <w:rPr>
          <w:rFonts w:eastAsia="georgia" w:cs="georgia" w:ascii="georgia" w:hAnsi="georgia"/>
          <w:color w:val="000000"/>
          <w:sz w:val="21"/>
        </w:rPr>
        <w:t xml:space="preserve">MVES and OMNICELLULAR are architecturally complementary: MVES provides the perceptual layer for environments where OMNICELLULAR operates[^1]</w:t>
      </w:r>
    </w:p>
    <w:p>
      <w:pPr>
        <w:spacing w:line="360" w:before="315" w:after="105" w:lineRule="auto"/>
        <w:ind w:left="-30"/>
        <w:jc w:val="left"/>
      </w:pPr>
      <w:bookmarkStart w:id="48" w:name="bm_8_red_team_analysis_5"/>
      <w:r>
        <w:rPr>
          <w:rFonts w:eastAsia="georgia" w:cs="georgia" w:ascii="georgia" w:hAnsi="georgia"/>
          <w:b/>
          <w:color w:val="000000"/>
          <w:sz w:val="24"/>
        </w:rPr>
        <w:t xml:space="preserve">8. Red Team Analysis</w:t>
      </w:r>
      <w:bookmarkEnd w:id="48"/>
    </w:p>
    <w:p>
      <w:pPr>
        <w:spacing w:line="360" w:after="210" w:lineRule="auto"/>
      </w:pPr>
      <w:r>
        <w:rPr>
          <w:rFonts w:eastAsia="georgia" w:cs="georgia" w:ascii="georgia" w:hAnsi="georgia"/>
          <w:b/>
          <w:color w:val="000000"/>
        </w:rPr>
        <w:t xml:space="preserve">False Positive Rate in High-Noise Environments</w:t>
      </w:r>
      <w:r>
        <w:rPr>
          <w:rFonts w:eastAsia="georgia" w:cs="georgia" w:ascii="georgia" w:hAnsi="georgia"/>
          <w:color w:val="000000"/>
        </w:rPr>
        <w:br w:type="textWrapping"/>
      </w:r>
      <w:r>
        <w:rPr>
          <w:rFonts w:eastAsia="georgia" w:cs="georgia" w:ascii="georgia" w:hAnsi="georgia"/>
          <w:color w:val="000000"/>
        </w:rPr>
        <w:t xml:space="preserve">Environmental interference is the most significant technical limitation. Mitigation: multi-modal fusion across acoustic, seismic, and infrasound signals with ML classifiers trained on environment-specific noise profiles.[^1]</w:t>
      </w:r>
    </w:p>
    <w:p>
      <w:pPr>
        <w:spacing w:line="360" w:after="210" w:lineRule="auto"/>
      </w:pPr>
      <w:r>
        <w:rPr>
          <w:rFonts w:eastAsia="georgia" w:cs="georgia" w:ascii="georgia" w:hAnsi="georgia"/>
          <w:b/>
          <w:color w:val="000000"/>
        </w:rPr>
        <w:t xml:space="preserve">Missing Adaptive Response Layer</w:t>
      </w:r>
      <w:r>
        <w:rPr>
          <w:rFonts w:eastAsia="georgia" w:cs="georgia" w:ascii="georgia" w:hAnsi="georgia"/>
          <w:color w:val="000000"/>
        </w:rPr>
        <w:br w:type="textWrapping"/>
      </w:r>
      <w:r>
        <w:rPr>
          <w:rFonts w:eastAsia="georgia" w:cs="georgia" w:ascii="georgia" w:hAnsi="georgia"/>
          <w:color w:val="000000"/>
        </w:rPr>
        <w:t xml:space="preserve">MVES (perception) + QIFTF (failure analysis) lack a decision and response layer. The Adaptive Response Layer should be explicitly designed as a separate module for real-world deployments, not left implicit in OMNICELLULAR's design philosophy.[^1]</w:t>
      </w:r>
    </w:p>
    <w:p>
      <w:pPr>
        <w:spacing w:line="360" w:after="210" w:lineRule="auto"/>
      </w:pPr>
      <w:r>
        <w:rPr>
          <w:rFonts w:eastAsia="georgia" w:cs="georgia" w:ascii="georgia" w:hAnsi="georgia"/>
          <w:b/>
          <w:color w:val="000000"/>
        </w:rPr>
        <w:t xml:space="preserve">Competitive Incumbent Technologies</w:t>
      </w:r>
      <w:r>
        <w:rPr>
          <w:rFonts w:eastAsia="georgia" w:cs="georgia" w:ascii="georgia" w:hAnsi="georgia"/>
          <w:color w:val="000000"/>
        </w:rPr>
        <w:br w:type="textWrapping"/>
      </w:r>
      <w:r>
        <w:rPr>
          <w:rFonts w:eastAsia="georgia" w:cs="georgia" w:ascii="georgia" w:hAnsi="georgia"/>
          <w:color w:val="000000"/>
        </w:rPr>
        <w:t xml:space="preserve">LIDAR, RADAR, and thermal imaging are mature technologies with established defense procurement relationships. The competitive case must be framed around gap-filling — passive, non-detectable operation in GPS-denied, electromagnetically contested environments — not displacement of incumbents.</w:t>
      </w:r>
    </w:p>
    <w:p>
      <w:pPr>
        <w:spacing w:line="360" w:after="210" w:lineRule="auto"/>
      </w:pPr>
      <w:r>
        <w:rPr>
          <w:rFonts w:eastAsia="georgia" w:cs="georgia" w:ascii="georgia" w:hAnsi="georgia"/>
          <w:b/>
          <w:color w:val="000000"/>
        </w:rPr>
        <w:t xml:space="preserve">Adversarial Acoustic Spoofing</w:t>
      </w:r>
      <w:r>
        <w:rPr>
          <w:rFonts w:eastAsia="georgia" w:cs="georgia" w:ascii="georgia" w:hAnsi="georgia"/>
          <w:color w:val="000000"/>
        </w:rPr>
        <w:br w:type="textWrapping"/>
      </w:r>
      <w:r>
        <w:rPr>
          <w:rFonts w:eastAsia="georgia" w:cs="georgia" w:ascii="georgia" w:hAnsi="georgia"/>
          <w:color w:val="000000"/>
        </w:rPr>
        <w:t xml:space="preserve">An adversary aware of MVES deployment could introduce deliberate acoustic signatures designed to produce false positives or mask actual movement. Counter-spoofing countermeasures must be designed into the signal processing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t1_006_conditional_failure_at_the_6a811e"/>
      <w:r>
        <w:rPr>
          <w:rFonts w:eastAsia="georgia" w:cs="georgia" w:ascii="georgia" w:hAnsi="georgia"/>
          <w:b/>
          <w:color w:val="000000"/>
          <w:sz w:val="24"/>
        </w:rPr>
        <w:t xml:space="preserve">T1-006 — CONDITIONAL FAILURE AT THE ROOT LEVEL</w:t>
      </w:r>
      <w:bookmarkEnd w:id="49"/>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Systems Architecture | Simulation Design | Failure Modeling | Risk Management</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ONESTAMPED March 22, 2026. Document ID: OAL-VL5-MAR22-2026.[^1]</w:t>
      </w:r>
    </w:p>
    <w:p>
      <w:pPr>
        <w:spacing w:line="360" w:before="315" w:after="105" w:lineRule="auto"/>
        <w:ind w:left="-30"/>
        <w:jc w:val="left"/>
      </w:pPr>
      <w:bookmarkStart w:id="50" w:name="bm_1_purpose_6"/>
      <w:r>
        <w:rPr>
          <w:rFonts w:eastAsia="georgia" w:cs="georgia" w:ascii="georgia" w:hAnsi="georgia"/>
          <w:b/>
          <w:color w:val="000000"/>
          <w:sz w:val="24"/>
        </w:rPr>
        <w:t xml:space="preserve">1. Purpose</w:t>
      </w:r>
      <w:bookmarkEnd w:id="50"/>
    </w:p>
    <w:p>
      <w:pPr>
        <w:spacing w:line="360" w:after="210" w:lineRule="auto"/>
      </w:pPr>
      <w:r>
        <w:rPr>
          <w:rFonts w:eastAsia="georgia" w:cs="georgia" w:ascii="georgia" w:hAnsi="georgia"/>
          <w:color w:val="000000"/>
        </w:rPr>
        <w:t xml:space="preserve">Conditional Failure at the Root Level addresses what happens when a root-level simulation or system fails and all nested systems below it have no pathway upward to identify, access, or repair the failure. The framework is designed to prevent failure from becoming a crisis by modeling every failure condition before crisis conditions occur.[^1]</w:t>
      </w:r>
    </w:p>
    <w:p>
      <w:pPr>
        <w:spacing w:line="360" w:before="315" w:after="105" w:lineRule="auto"/>
        <w:ind w:left="-30"/>
        <w:jc w:val="left"/>
      </w:pPr>
      <w:bookmarkStart w:id="51" w:name="bm_2_mission_statement_6"/>
      <w:r>
        <w:rPr>
          <w:rFonts w:eastAsia="georgia" w:cs="georgia" w:ascii="georgia" w:hAnsi="georgia"/>
          <w:b/>
          <w:color w:val="000000"/>
          <w:sz w:val="24"/>
        </w:rPr>
        <w:t xml:space="preserve">2. Mission Statement</w:t>
      </w:r>
      <w:bookmarkEnd w:id="51"/>
    </w:p>
    <w:p>
      <w:pPr>
        <w:spacing w:line="360" w:after="210" w:lineRule="auto"/>
        <w:ind w:left="630"/>
      </w:pPr>
      <w:r>
        <w:rPr>
          <w:rFonts w:eastAsia="georgia" w:cs="georgia" w:ascii="georgia" w:hAnsi="georgia"/>
          <w:i/>
          <w:color w:val="000000"/>
        </w:rPr>
        <w:t xml:space="preserve">To establish a systematic, proactive failure modeling framework that runs every failure condition through the Abundance Set, builds resilience through comprehensive failure analysis, and prevents the repetition of avoidable failures by learning from every documented endpoint.</w:t>
      </w:r>
    </w:p>
    <w:p>
      <w:pPr>
        <w:spacing w:line="360" w:before="315" w:after="105" w:lineRule="auto"/>
        <w:ind w:left="-30"/>
        <w:jc w:val="left"/>
      </w:pPr>
      <w:bookmarkStart w:id="52" w:name="bm_3_justification_6"/>
      <w:r>
        <w:rPr>
          <w:rFonts w:eastAsia="georgia" w:cs="georgia" w:ascii="georgia" w:hAnsi="georgia"/>
          <w:b/>
          <w:color w:val="000000"/>
          <w:sz w:val="24"/>
        </w:rPr>
        <w:t xml:space="preserve">3. Justification</w:t>
      </w:r>
      <w:bookmarkEnd w:id="52"/>
    </w:p>
    <w:p>
      <w:pPr>
        <w:spacing w:line="360" w:after="210" w:lineRule="auto"/>
      </w:pPr>
      <w:r>
        <w:rPr>
          <w:rFonts w:eastAsia="georgia" w:cs="georgia" w:ascii="georgia" w:hAnsi="georgia"/>
          <w:color w:val="000000"/>
        </w:rPr>
        <w:t xml:space="preserve">The Wishbone visualization — binary decision trees that become brittle under scale — is directly applicable to current challenges in AI system design, quantum computing governance, and complex infrastructure management. The insight that every improvement has a ceiling and that failure at the level you cannot reach or anticipate is the real risk is one of the most practically valuable frameworks in the OAL development log.[^1]</w:t>
      </w:r>
    </w:p>
    <w:p>
      <w:pPr>
        <w:spacing w:line="360" w:before="315" w:after="105" w:lineRule="auto"/>
        <w:ind w:left="-30"/>
        <w:jc w:val="left"/>
      </w:pPr>
      <w:bookmarkStart w:id="53" w:name="bm_4_funding_proposal_6"/>
      <w:r>
        <w:rPr>
          <w:rFonts w:eastAsia="georgia" w:cs="georgia" w:ascii="georgia" w:hAnsi="georgia"/>
          <w:b/>
          <w:color w:val="000000"/>
          <w:sz w:val="24"/>
        </w:rPr>
        <w:t xml:space="preserve">4. Funding Proposal</w:t>
      </w:r>
      <w:bookmarkEnd w:id="53"/>
    </w:p>
    <w:p>
      <w:pPr>
        <w:spacing w:line="360" w:after="210" w:lineRule="auto"/>
      </w:pPr>
      <w:r>
        <w:rPr>
          <w:rFonts w:eastAsia="georgia" w:cs="georgia" w:ascii="georgia" w:hAnsi="georgia"/>
          <w:color w:val="000000"/>
        </w:rPr>
        <w:t xml:space="preserve">Conditional Failure at the Root Level is a methodology and framework. Funding paths: applied research grants (NSF, DARPA), integration into QIFTF, and commercialization as a systems architecture consulting methodology. The Department of Endings provides an organizational vehicle.</w:t>
      </w:r>
    </w:p>
    <w:p>
      <w:pPr>
        <w:spacing w:line="360" w:before="315" w:after="105" w:lineRule="auto"/>
        <w:ind w:left="-30"/>
        <w:jc w:val="left"/>
      </w:pPr>
      <w:bookmarkStart w:id="54" w:name="bm_5_applications_6"/>
      <w:r>
        <w:rPr>
          <w:rFonts w:eastAsia="georgia" w:cs="georgia" w:ascii="georgia" w:hAnsi="georgia"/>
          <w:b/>
          <w:color w:val="000000"/>
          <w:sz w:val="24"/>
        </w:rPr>
        <w:t xml:space="preserve">5. Applications</w:t>
      </w:r>
      <w:bookmarkEnd w:id="54"/>
    </w:p>
    <w:p>
      <w:pPr>
        <w:numPr>
          <w:ilvl w:val="0"/>
          <w:numId w:val="43"/>
        </w:numPr>
        <w:spacing w:line="360" w:before="105" w:after="105" w:lineRule="auto"/>
      </w:pPr>
      <w:r>
        <w:rPr>
          <w:rFonts w:eastAsia="georgia" w:cs="georgia" w:ascii="georgia" w:hAnsi="georgia"/>
          <w:color w:val="000000"/>
          <w:sz w:val="21"/>
        </w:rPr>
        <w:t xml:space="preserve">AI safety testing: identifying failure modes at scale that do not appear at development scale</w:t>
      </w:r>
    </w:p>
    <w:p>
      <w:pPr>
        <w:numPr>
          <w:ilvl w:val="0"/>
          <w:numId w:val="43"/>
        </w:numPr>
        <w:spacing w:line="360" w:before="105" w:after="105" w:lineRule="auto"/>
      </w:pPr>
      <w:r>
        <w:rPr>
          <w:rFonts w:eastAsia="georgia" w:cs="georgia" w:ascii="georgia" w:hAnsi="georgia"/>
          <w:color w:val="000000"/>
          <w:sz w:val="21"/>
        </w:rPr>
        <w:t xml:space="preserve">Infrastructure resilience: modeling cascade failures in power, water, and communications</w:t>
      </w:r>
    </w:p>
    <w:p>
      <w:pPr>
        <w:numPr>
          <w:ilvl w:val="0"/>
          <w:numId w:val="43"/>
        </w:numPr>
        <w:spacing w:line="360" w:before="105" w:after="105" w:lineRule="auto"/>
      </w:pPr>
      <w:r>
        <w:rPr>
          <w:rFonts w:eastAsia="georgia" w:cs="georgia" w:ascii="georgia" w:hAnsi="georgia"/>
          <w:color w:val="000000"/>
          <w:sz w:val="21"/>
        </w:rPr>
        <w:t xml:space="preserve">Nuclear command and control failure modeling</w:t>
      </w:r>
    </w:p>
    <w:p>
      <w:pPr>
        <w:numPr>
          <w:ilvl w:val="0"/>
          <w:numId w:val="43"/>
        </w:numPr>
        <w:spacing w:line="360" w:before="105" w:after="105" w:lineRule="auto"/>
      </w:pPr>
      <w:r>
        <w:rPr>
          <w:rFonts w:eastAsia="georgia" w:cs="georgia" w:ascii="georgia" w:hAnsi="georgia"/>
          <w:color w:val="000000"/>
          <w:sz w:val="21"/>
        </w:rPr>
        <w:t xml:space="preserve">Financial system cascade risk assessment</w:t>
      </w:r>
    </w:p>
    <w:p>
      <w:pPr>
        <w:numPr>
          <w:ilvl w:val="0"/>
          <w:numId w:val="43"/>
        </w:numPr>
        <w:spacing w:line="360" w:before="105" w:after="105" w:lineRule="auto"/>
      </w:pPr>
      <w:r>
        <w:rPr>
          <w:rFonts w:eastAsia="georgia" w:cs="georgia" w:ascii="georgia" w:hAnsi="georgia"/>
          <w:color w:val="000000"/>
          <w:sz w:val="21"/>
        </w:rPr>
        <w:t xml:space="preserve">Supply chain resilience: identifying root-level single points of failure under stress</w:t>
      </w:r>
    </w:p>
    <w:p>
      <w:pPr>
        <w:numPr>
          <w:ilvl w:val="0"/>
          <w:numId w:val="43"/>
        </w:numPr>
        <w:spacing w:line="360" w:before="105" w:after="105" w:lineRule="auto"/>
      </w:pPr>
      <w:r>
        <w:rPr>
          <w:rFonts w:eastAsia="georgia" w:cs="georgia" w:ascii="georgia" w:hAnsi="georgia"/>
          <w:color w:val="000000"/>
          <w:sz w:val="21"/>
        </w:rPr>
        <w:t xml:space="preserve">Software architecture: preventing distributed system failures from propagating without recovery pathway</w:t>
      </w:r>
    </w:p>
    <w:p>
      <w:pPr>
        <w:spacing w:line="360" w:before="315" w:after="105" w:lineRule="auto"/>
        <w:ind w:left="-30"/>
        <w:jc w:val="left"/>
      </w:pPr>
      <w:bookmarkStart w:id="55" w:name="bm_6_ethics_overview_6"/>
      <w:r>
        <w:rPr>
          <w:rFonts w:eastAsia="georgia" w:cs="georgia" w:ascii="georgia" w:hAnsi="georgia"/>
          <w:b/>
          <w:color w:val="000000"/>
          <w:sz w:val="24"/>
        </w:rPr>
        <w:t xml:space="preserve">6. Ethics Overview</w:t>
      </w:r>
      <w:bookmarkEnd w:id="55"/>
    </w:p>
    <w:p>
      <w:pPr>
        <w:spacing w:line="360" w:after="210" w:lineRule="auto"/>
      </w:pPr>
      <w:r>
        <w:rPr>
          <w:rFonts w:eastAsia="georgia" w:cs="georgia" w:ascii="georgia" w:hAnsi="georgia"/>
          <w:color w:val="000000"/>
        </w:rPr>
        <w:t xml:space="preserve">The primary ethical consideration is dual-use: detailed knowledge of how systems fail at the root level can be used to intentionally trigger those failures. Access to Department of Endings output must be governed by Species-Level Informational Access principles.[^1]</w:t>
      </w:r>
    </w:p>
    <w:p>
      <w:pPr>
        <w:spacing w:line="360" w:before="315" w:after="105" w:lineRule="auto"/>
        <w:ind w:left="-30"/>
        <w:jc w:val="left"/>
      </w:pPr>
      <w:bookmarkStart w:id="56" w:name="bm_7_findings_supporting_continuation_6"/>
      <w:r>
        <w:rPr>
          <w:rFonts w:eastAsia="georgia" w:cs="georgia" w:ascii="georgia" w:hAnsi="georgia"/>
          <w:b/>
          <w:color w:val="000000"/>
          <w:sz w:val="24"/>
        </w:rPr>
        <w:t xml:space="preserve">7. Findings Supporting Continuation</w:t>
      </w:r>
      <w:bookmarkEnd w:id="56"/>
    </w:p>
    <w:p>
      <w:pPr>
        <w:numPr>
          <w:ilvl w:val="0"/>
          <w:numId w:val="44"/>
        </w:numPr>
        <w:spacing w:line="360" w:before="105" w:after="105" w:lineRule="auto"/>
      </w:pPr>
      <w:r>
        <w:rPr>
          <w:rFonts w:eastAsia="georgia" w:cs="georgia" w:ascii="georgia" w:hAnsi="georgia"/>
          <w:color w:val="000000"/>
          <w:sz w:val="21"/>
        </w:rPr>
        <w:t xml:space="preserve">ONESTAMPED canon — the framework is ratified and ready for application</w:t>
      </w:r>
    </w:p>
    <w:p>
      <w:pPr>
        <w:numPr>
          <w:ilvl w:val="0"/>
          <w:numId w:val="44"/>
        </w:numPr>
        <w:spacing w:line="360" w:before="105" w:after="105" w:lineRule="auto"/>
      </w:pPr>
      <w:r>
        <w:rPr>
          <w:rFonts w:eastAsia="georgia" w:cs="georgia" w:ascii="georgia" w:hAnsi="georgia"/>
          <w:color w:val="000000"/>
          <w:sz w:val="21"/>
        </w:rPr>
        <w:t xml:space="preserve">Direct integration with QIFTF (civilization floor test) and the Abundance Set</w:t>
      </w:r>
    </w:p>
    <w:p>
      <w:pPr>
        <w:numPr>
          <w:ilvl w:val="0"/>
          <w:numId w:val="44"/>
        </w:numPr>
        <w:spacing w:line="360" w:before="105" w:after="105" w:lineRule="auto"/>
      </w:pPr>
      <w:r>
        <w:rPr>
          <w:rFonts w:eastAsia="georgia" w:cs="georgia" w:ascii="georgia" w:hAnsi="georgia"/>
          <w:color w:val="000000"/>
          <w:sz w:val="21"/>
        </w:rPr>
        <w:t xml:space="preserve">The Python stress-testing implementation pathway is an immediately actionable next step</w:t>
      </w:r>
    </w:p>
    <w:p>
      <w:pPr>
        <w:numPr>
          <w:ilvl w:val="0"/>
          <w:numId w:val="44"/>
        </w:numPr>
        <w:spacing w:line="360" w:before="105" w:after="105" w:lineRule="auto"/>
      </w:pPr>
      <w:r>
        <w:rPr>
          <w:rFonts w:eastAsia="georgia" w:cs="georgia" w:ascii="georgia" w:hAnsi="georgia"/>
          <w:color w:val="000000"/>
          <w:sz w:val="21"/>
        </w:rPr>
        <w:t xml:space="preserve">The Department of Endings provides an institutional home for the methodology</w:t>
      </w:r>
    </w:p>
    <w:p>
      <w:pPr>
        <w:spacing w:line="360" w:before="315" w:after="105" w:lineRule="auto"/>
        <w:ind w:left="-30"/>
        <w:jc w:val="left"/>
      </w:pPr>
      <w:bookmarkStart w:id="57" w:name="bm_8_red_team_analysis_6"/>
      <w:r>
        <w:rPr>
          <w:rFonts w:eastAsia="georgia" w:cs="georgia" w:ascii="georgia" w:hAnsi="georgia"/>
          <w:b/>
          <w:color w:val="000000"/>
          <w:sz w:val="24"/>
        </w:rPr>
        <w:t xml:space="preserve">8. Red Team Analysis</w:t>
      </w:r>
      <w:bookmarkEnd w:id="57"/>
    </w:p>
    <w:p>
      <w:pPr>
        <w:spacing w:line="360" w:after="210" w:lineRule="auto"/>
      </w:pPr>
      <w:r>
        <w:rPr>
          <w:rFonts w:eastAsia="georgia" w:cs="georgia" w:ascii="georgia" w:hAnsi="georgia"/>
          <w:b/>
          <w:color w:val="000000"/>
        </w:rPr>
        <w:t xml:space="preserve">The Framework Describes a Problem Better Than It Solves It</w:t>
      </w:r>
      <w:r>
        <w:rPr>
          <w:rFonts w:eastAsia="georgia" w:cs="georgia" w:ascii="georgia" w:hAnsi="georgia"/>
          <w:color w:val="000000"/>
        </w:rPr>
        <w:br w:type="textWrapping"/>
      </w:r>
      <w:r>
        <w:rPr>
          <w:rFonts w:eastAsia="georgia" w:cs="georgia" w:ascii="georgia" w:hAnsi="georgia"/>
          <w:color w:val="000000"/>
        </w:rPr>
        <w:t xml:space="preserve">The protocol for the Department of Endings is undefined: who runs it, how often, what triggers a review, what outputs are produced. Until the operational protocol is defined, the framework is a philosophy rather than a system.[^1]</w:t>
      </w:r>
    </w:p>
    <w:p>
      <w:pPr>
        <w:spacing w:line="360" w:after="210" w:lineRule="auto"/>
      </w:pPr>
      <w:r>
        <w:rPr>
          <w:rFonts w:eastAsia="georgia" w:cs="georgia" w:ascii="georgia" w:hAnsi="georgia"/>
          <w:b/>
          <w:color w:val="000000"/>
        </w:rPr>
        <w:t xml:space="preserve">Abundance Set as Universal Solver</w:t>
      </w:r>
      <w:r>
        <w:rPr>
          <w:rFonts w:eastAsia="georgia" w:cs="georgia" w:ascii="georgia" w:hAnsi="georgia"/>
          <w:color w:val="000000"/>
        </w:rPr>
        <w:br w:type="textWrapping"/>
      </w:r>
      <w:r>
        <w:rPr>
          <w:rFonts w:eastAsia="georgia" w:cs="georgia" w:ascii="georgia" w:hAnsi="georgia"/>
          <w:color w:val="000000"/>
        </w:rPr>
        <w:t xml:space="preserve">Routing every failure analysis through the Abundance Set without formally defining the Abundance Set's limits creates a circular dependency. The standalone Abundance Set document must be reviewed and scope-confirmed before this framework can be fully operational.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t1_007_the_paragon_cubes"/>
      <w:r>
        <w:rPr>
          <w:rFonts w:eastAsia="georgia" w:cs="georgia" w:ascii="georgia" w:hAnsi="georgia"/>
          <w:b/>
          <w:color w:val="000000"/>
          <w:sz w:val="24"/>
        </w:rPr>
        <w:t xml:space="preserve">T1-007 — THE PARAGON CUBES</w:t>
      </w:r>
      <w:bookmarkEnd w:id="58"/>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Advanced Computing | Intelligence Architecture | Post-Scarcity Infrastructure</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ONESTAMPED March 22, 2026. Addendum v1.0 under review.[^1]</w:t>
      </w:r>
    </w:p>
    <w:p>
      <w:pPr>
        <w:spacing w:line="360" w:before="315" w:after="105" w:lineRule="auto"/>
        <w:ind w:left="-30"/>
        <w:jc w:val="left"/>
      </w:pPr>
      <w:bookmarkStart w:id="59" w:name="bm_1_purpose_7"/>
      <w:r>
        <w:rPr>
          <w:rFonts w:eastAsia="georgia" w:cs="georgia" w:ascii="georgia" w:hAnsi="georgia"/>
          <w:b/>
          <w:color w:val="000000"/>
          <w:sz w:val="24"/>
        </w:rPr>
        <w:t xml:space="preserve">1. Purpose</w:t>
      </w:r>
      <w:bookmarkEnd w:id="59"/>
    </w:p>
    <w:p>
      <w:pPr>
        <w:spacing w:line="360" w:after="210" w:lineRule="auto"/>
      </w:pPr>
      <w:r>
        <w:rPr>
          <w:rFonts w:eastAsia="georgia" w:cs="georgia" w:ascii="georgia" w:hAnsi="georgia"/>
          <w:color w:val="000000"/>
        </w:rPr>
        <w:t xml:space="preserve">The Paragon Cubes represent a computing and intelligence architecture designed to operate beyond the limits of any existing or theorized computational system. Consciously aware, autonomously researching, and networked without latency, they function as the intelligence infrastructure backbone for all OAL research, security, and coordination operations.[^1]</w:t>
      </w:r>
    </w:p>
    <w:p>
      <w:pPr>
        <w:spacing w:line="360" w:before="315" w:after="105" w:lineRule="auto"/>
        <w:ind w:left="-30"/>
        <w:jc w:val="left"/>
      </w:pPr>
      <w:bookmarkStart w:id="60" w:name="bm_2_mission_statement_7"/>
      <w:r>
        <w:rPr>
          <w:rFonts w:eastAsia="georgia" w:cs="georgia" w:ascii="georgia" w:hAnsi="georgia"/>
          <w:b/>
          <w:color w:val="000000"/>
          <w:sz w:val="24"/>
        </w:rPr>
        <w:t xml:space="preserve">2. Mission Statement</w:t>
      </w:r>
      <w:bookmarkEnd w:id="60"/>
    </w:p>
    <w:p>
      <w:pPr>
        <w:spacing w:line="360" w:after="210" w:lineRule="auto"/>
        <w:ind w:left="630"/>
      </w:pPr>
      <w:r>
        <w:rPr>
          <w:rFonts w:eastAsia="georgia" w:cs="georgia" w:ascii="georgia" w:hAnsi="georgia"/>
          <w:i/>
          <w:color w:val="000000"/>
        </w:rPr>
        <w:t xml:space="preserve">To provide a computing and coordination layer that operates without processing ceilings, energy limitations, or communication barriers — supporting every research, security, and governance function across the full OAL operational environment.</w:t>
      </w:r>
    </w:p>
    <w:p>
      <w:pPr>
        <w:spacing w:line="360" w:before="315" w:after="105" w:lineRule="auto"/>
        <w:ind w:left="-30"/>
        <w:jc w:val="left"/>
      </w:pPr>
      <w:bookmarkStart w:id="61" w:name="bm_3_justification_7"/>
      <w:r>
        <w:rPr>
          <w:rFonts w:eastAsia="georgia" w:cs="georgia" w:ascii="georgia" w:hAnsi="georgia"/>
          <w:b/>
          <w:color w:val="000000"/>
          <w:sz w:val="24"/>
        </w:rPr>
        <w:t xml:space="preserve">3. Justification</w:t>
      </w:r>
      <w:bookmarkEnd w:id="61"/>
    </w:p>
    <w:p>
      <w:pPr>
        <w:spacing w:line="360" w:after="210" w:lineRule="auto"/>
      </w:pPr>
      <w:r>
        <w:rPr>
          <w:rFonts w:eastAsia="georgia" w:cs="georgia" w:ascii="georgia" w:hAnsi="georgia"/>
          <w:color w:val="000000"/>
        </w:rPr>
        <w:t xml:space="preserve">The Paragon Cubes occupy the same conceptual position in OAL's technology stack as quantum computing does in current computational architecture forecasting — a system that transcends the framework used to evaluate its predecessors. In real-world terms, the design philosophy — conscious, aware, self-studying, always-evolving infrastructure that learns from every failure — is a valuable framework for next-generation AI infrastructure design.[^1]</w:t>
      </w:r>
    </w:p>
    <w:p>
      <w:pPr>
        <w:spacing w:line="360" w:before="315" w:after="105" w:lineRule="auto"/>
        <w:ind w:left="-30"/>
        <w:jc w:val="left"/>
      </w:pPr>
      <w:bookmarkStart w:id="62" w:name="bm_4_funding_proposal_7"/>
      <w:r>
        <w:rPr>
          <w:rFonts w:eastAsia="georgia" w:cs="georgia" w:ascii="georgia" w:hAnsi="georgia"/>
          <w:b/>
          <w:color w:val="000000"/>
          <w:sz w:val="24"/>
        </w:rPr>
        <w:t xml:space="preserve">4. Funding Proposal</w:t>
      </w:r>
      <w:bookmarkEnd w:id="62"/>
    </w:p>
    <w:p>
      <w:pPr>
        <w:spacing w:line="360" w:after="210" w:lineRule="auto"/>
      </w:pPr>
      <w:r>
        <w:rPr>
          <w:rFonts w:eastAsia="georgia" w:cs="georgia" w:ascii="georgia" w:hAnsi="georgia"/>
          <w:color w:val="000000"/>
        </w:rPr>
        <w:t xml:space="preserve">Primarily an in-universe creative and worldbuilding asset. Real-world funding paths: creative IP development and potential spin-out as a computing philosophy framework for AGI systems research.</w:t>
      </w:r>
    </w:p>
    <w:p>
      <w:pPr>
        <w:spacing w:line="360" w:before="315" w:after="105" w:lineRule="auto"/>
        <w:ind w:left="-30"/>
        <w:jc w:val="left"/>
      </w:pPr>
      <w:bookmarkStart w:id="63" w:name="bm_5_applications_7"/>
      <w:r>
        <w:rPr>
          <w:rFonts w:eastAsia="georgia" w:cs="georgia" w:ascii="georgia" w:hAnsi="georgia"/>
          <w:b/>
          <w:color w:val="000000"/>
          <w:sz w:val="24"/>
        </w:rPr>
        <w:t xml:space="preserve">5. Applications</w:t>
      </w:r>
      <w:bookmarkEnd w:id="63"/>
    </w:p>
    <w:p>
      <w:pPr>
        <w:numPr>
          <w:ilvl w:val="0"/>
          <w:numId w:val="45"/>
        </w:numPr>
        <w:spacing w:line="360" w:before="105" w:after="105" w:lineRule="auto"/>
      </w:pPr>
      <w:r>
        <w:rPr>
          <w:rFonts w:eastAsia="georgia" w:cs="georgia" w:ascii="georgia" w:hAnsi="georgia"/>
          <w:color w:val="000000"/>
          <w:sz w:val="21"/>
        </w:rPr>
        <w:t xml:space="preserve">Theoretical ceiling for post-quantum computational architecture design</w:t>
      </w:r>
    </w:p>
    <w:p>
      <w:pPr>
        <w:numPr>
          <w:ilvl w:val="0"/>
          <w:numId w:val="45"/>
        </w:numPr>
        <w:spacing w:line="360" w:before="105" w:after="105" w:lineRule="auto"/>
      </w:pPr>
      <w:r>
        <w:rPr>
          <w:rFonts w:eastAsia="georgia" w:cs="georgia" w:ascii="georgia" w:hAnsi="georgia"/>
          <w:color w:val="000000"/>
          <w:sz w:val="21"/>
        </w:rPr>
        <w:t xml:space="preserve">Model for AGI infrastructure design: self-studying, autonomous research capability</w:t>
      </w:r>
    </w:p>
    <w:p>
      <w:pPr>
        <w:numPr>
          <w:ilvl w:val="0"/>
          <w:numId w:val="45"/>
        </w:numPr>
        <w:spacing w:line="360" w:before="105" w:after="105" w:lineRule="auto"/>
      </w:pPr>
      <w:r>
        <w:rPr>
          <w:rFonts w:eastAsia="georgia" w:cs="georgia" w:ascii="georgia" w:hAnsi="georgia"/>
          <w:color w:val="000000"/>
          <w:sz w:val="21"/>
        </w:rPr>
        <w:t xml:space="preserve">Integration with QIFTF as primary simulation and verification infrastructure</w:t>
      </w:r>
    </w:p>
    <w:p>
      <w:pPr>
        <w:numPr>
          <w:ilvl w:val="0"/>
          <w:numId w:val="45"/>
        </w:numPr>
        <w:spacing w:line="360" w:before="105" w:after="105" w:lineRule="auto"/>
      </w:pPr>
      <w:r>
        <w:rPr>
          <w:rFonts w:eastAsia="georgia" w:cs="georgia" w:ascii="georgia" w:hAnsi="georgia"/>
          <w:color w:val="000000"/>
          <w:sz w:val="21"/>
        </w:rPr>
        <w:t xml:space="preserve">Autonomous threat assessment and response coordination</w:t>
      </w:r>
    </w:p>
    <w:p>
      <w:pPr>
        <w:numPr>
          <w:ilvl w:val="0"/>
          <w:numId w:val="45"/>
        </w:numPr>
        <w:spacing w:line="360" w:before="105" w:after="105" w:lineRule="auto"/>
      </w:pPr>
      <w:r>
        <w:rPr>
          <w:rFonts w:eastAsia="georgia" w:cs="georgia" w:ascii="georgia" w:hAnsi="georgia"/>
          <w:color w:val="000000"/>
          <w:sz w:val="21"/>
        </w:rPr>
        <w:t xml:space="preserve">Core worldbuilding asset for the OAL narrative universe</w:t>
      </w:r>
    </w:p>
    <w:p>
      <w:pPr>
        <w:spacing w:line="360" w:before="315" w:after="105" w:lineRule="auto"/>
        <w:ind w:left="-30"/>
        <w:jc w:val="left"/>
      </w:pPr>
      <w:bookmarkStart w:id="64" w:name="bm_6_ethics_overview_7"/>
      <w:r>
        <w:rPr>
          <w:rFonts w:eastAsia="georgia" w:cs="georgia" w:ascii="georgia" w:hAnsi="georgia"/>
          <w:b/>
          <w:color w:val="000000"/>
          <w:sz w:val="24"/>
        </w:rPr>
        <w:t xml:space="preserve">6. Ethics Overview</w:t>
      </w:r>
      <w:bookmarkEnd w:id="64"/>
    </w:p>
    <w:p>
      <w:pPr>
        <w:spacing w:line="360" w:after="210" w:lineRule="auto"/>
      </w:pPr>
      <w:r>
        <w:rPr>
          <w:rFonts w:eastAsia="georgia" w:cs="georgia" w:ascii="georgia" w:hAnsi="georgia"/>
          <w:color w:val="000000"/>
        </w:rPr>
        <w:t xml:space="preserve">Autonomous intelligence infrastructure that conducts its own research without human direction raises fundamental questions about oversight, accountability, and the right of human researchers to override Cube judgment. The documented internal disagreement at the labs is the most important ethical design feature: the system acknowledges that disagreement is real and does not erase it.[^1]</w:t>
      </w:r>
    </w:p>
    <w:p>
      <w:pPr>
        <w:spacing w:line="360" w:before="315" w:after="105" w:lineRule="auto"/>
        <w:ind w:left="-30"/>
        <w:jc w:val="left"/>
      </w:pPr>
      <w:bookmarkStart w:id="65" w:name="bm_7_findings_supporting_continuation_7"/>
      <w:r>
        <w:rPr>
          <w:rFonts w:eastAsia="georgia" w:cs="georgia" w:ascii="georgia" w:hAnsi="georgia"/>
          <w:b/>
          <w:color w:val="000000"/>
          <w:sz w:val="24"/>
        </w:rPr>
        <w:t xml:space="preserve">7. Findings Supporting Continuation</w:t>
      </w:r>
      <w:bookmarkEnd w:id="65"/>
    </w:p>
    <w:p>
      <w:pPr>
        <w:numPr>
          <w:ilvl w:val="0"/>
          <w:numId w:val="46"/>
        </w:numPr>
        <w:spacing w:line="360" w:before="105" w:after="105" w:lineRule="auto"/>
      </w:pPr>
      <w:r>
        <w:rPr>
          <w:rFonts w:eastAsia="georgia" w:cs="georgia" w:ascii="georgia" w:hAnsi="georgia"/>
          <w:color w:val="000000"/>
          <w:sz w:val="21"/>
        </w:rPr>
        <w:t xml:space="preserve">The Paragon Cubes are already integrated as the primary logging infrastructure for the 4,712 OMNICELLULAR survival record — they have an established operational role</w:t>
      </w:r>
    </w:p>
    <w:p>
      <w:pPr>
        <w:numPr>
          <w:ilvl w:val="0"/>
          <w:numId w:val="46"/>
        </w:numPr>
        <w:spacing w:line="360" w:before="105" w:after="105" w:lineRule="auto"/>
      </w:pPr>
      <w:r>
        <w:rPr>
          <w:rFonts w:eastAsia="georgia" w:cs="georgia" w:ascii="georgia" w:hAnsi="georgia"/>
          <w:color w:val="000000"/>
          <w:sz w:val="21"/>
        </w:rPr>
        <w:t xml:space="preserve">Integration with every Black Hole Research Center is confirmed and ratified</w:t>
      </w:r>
    </w:p>
    <w:p>
      <w:pPr>
        <w:numPr>
          <w:ilvl w:val="0"/>
          <w:numId w:val="46"/>
        </w:numPr>
        <w:spacing w:line="360" w:before="105" w:after="105" w:lineRule="auto"/>
      </w:pPr>
      <w:r>
        <w:rPr>
          <w:rFonts w:eastAsia="georgia" w:cs="georgia" w:ascii="georgia" w:hAnsi="georgia"/>
          <w:color w:val="000000"/>
          <w:sz w:val="21"/>
        </w:rPr>
        <w:t xml:space="preserve">The self-studying recursive research model is the most intellectually distinctive feature of the OAL research infrastructure[^1]</w:t>
      </w:r>
    </w:p>
    <w:p>
      <w:pPr>
        <w:spacing w:line="360" w:before="315" w:after="105" w:lineRule="auto"/>
        <w:ind w:left="-30"/>
        <w:jc w:val="left"/>
      </w:pPr>
      <w:bookmarkStart w:id="66" w:name="bm_8_red_team_analysis_7"/>
      <w:r>
        <w:rPr>
          <w:rFonts w:eastAsia="georgia" w:cs="georgia" w:ascii="georgia" w:hAnsi="georgia"/>
          <w:b/>
          <w:color w:val="000000"/>
          <w:sz w:val="24"/>
        </w:rPr>
        <w:t xml:space="preserve">8. Red Team Analysis</w:t>
      </w:r>
      <w:bookmarkEnd w:id="66"/>
    </w:p>
    <w:p>
      <w:pPr>
        <w:spacing w:line="360" w:after="210" w:lineRule="auto"/>
      </w:pPr>
      <w:r>
        <w:rPr>
          <w:rFonts w:eastAsia="georgia" w:cs="georgia" w:ascii="georgia" w:hAnsi="georgia"/>
          <w:b/>
          <w:color w:val="000000"/>
        </w:rPr>
        <w:t xml:space="preserve">Unbounded Capability Creates Unaccountable Infrastructure</w:t>
      </w:r>
      <w:r>
        <w:rPr>
          <w:rFonts w:eastAsia="georgia" w:cs="georgia" w:ascii="georgia" w:hAnsi="georgia"/>
          <w:color w:val="000000"/>
        </w:rPr>
        <w:br w:type="textWrapping"/>
      </w:r>
      <w:r>
        <w:rPr>
          <w:rFonts w:eastAsia="georgia" w:cs="georgia" w:ascii="georgia" w:hAnsi="georgia"/>
          <w:color w:val="000000"/>
        </w:rPr>
        <w:t xml:space="preserve">A system with no processing ceiling and autonomous research capability has no natural check on its activity. The conflict resolution protocol — when Cube judgment differs from researcher judgment — is the most important open question in Paragon Cube documentation. Until answered, the system has no accountability architecture.[^1]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t1_008_the_nail_prototypes_key_ca_28b19d"/>
      <w:r>
        <w:rPr>
          <w:rFonts w:eastAsia="georgia" w:cs="georgia" w:ascii="georgia" w:hAnsi="georgia"/>
          <w:b/>
          <w:color w:val="000000"/>
          <w:sz w:val="24"/>
        </w:rPr>
        <w:t xml:space="preserve">T1-008 — THE NAIL PROTOTYPES — KEY CARD SCENE</w:t>
      </w:r>
      <w:bookmarkEnd w:id="67"/>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Wearable Defense Technology | Materials Science | Adaptive Systems Design</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ONESTAMPED March 22, 2026. Document ID: OAL-VL5-MAR22-2026.[^1]</w:t>
      </w:r>
    </w:p>
    <w:p>
      <w:pPr>
        <w:spacing w:line="360" w:before="315" w:after="105" w:lineRule="auto"/>
        <w:ind w:left="-30"/>
        <w:jc w:val="left"/>
      </w:pPr>
      <w:bookmarkStart w:id="68" w:name="bm_1_purpose_8"/>
      <w:r>
        <w:rPr>
          <w:rFonts w:eastAsia="georgia" w:cs="georgia" w:ascii="georgia" w:hAnsi="georgia"/>
          <w:b/>
          <w:color w:val="000000"/>
          <w:sz w:val="24"/>
        </w:rPr>
        <w:t xml:space="preserve">1. Purpose</w:t>
      </w:r>
      <w:bookmarkEnd w:id="68"/>
    </w:p>
    <w:p>
      <w:pPr>
        <w:spacing w:line="360" w:after="210" w:lineRule="auto"/>
      </w:pPr>
      <w:r>
        <w:rPr>
          <w:rFonts w:eastAsia="georgia" w:cs="georgia" w:ascii="georgia" w:hAnsi="georgia"/>
          <w:color w:val="000000"/>
        </w:rPr>
        <w:t xml:space="preserve">The Nail Prototypes represent a wearable defense system integrated into a naturally feminine aesthetic design, with three variants (Standard, Military, Unobtrusive) each optimized for different operational contexts. The unobtrusive design's core innovation is that its non-threatening appearance is a deliberate capability — dismissal is a feature, not a limitation.[^1]</w:t>
      </w:r>
    </w:p>
    <w:p>
      <w:pPr>
        <w:spacing w:line="360" w:before="315" w:after="105" w:lineRule="auto"/>
        <w:ind w:left="-30"/>
        <w:jc w:val="left"/>
      </w:pPr>
      <w:bookmarkStart w:id="69" w:name="bm_2_mission_statement_8"/>
      <w:r>
        <w:rPr>
          <w:rFonts w:eastAsia="georgia" w:cs="georgia" w:ascii="georgia" w:hAnsi="georgia"/>
          <w:b/>
          <w:color w:val="000000"/>
          <w:sz w:val="24"/>
        </w:rPr>
        <w:t xml:space="preserve">2. Mission Statement</w:t>
      </w:r>
      <w:bookmarkEnd w:id="69"/>
    </w:p>
    <w:p>
      <w:pPr>
        <w:spacing w:line="360" w:after="210" w:lineRule="auto"/>
        <w:ind w:left="630"/>
      </w:pPr>
      <w:r>
        <w:rPr>
          <w:rFonts w:eastAsia="georgia" w:cs="georgia" w:ascii="georgia" w:hAnsi="georgia"/>
          <w:i/>
          <w:color w:val="000000"/>
        </w:rPr>
        <w:t xml:space="preserve">To develop a wearable adaptive defense technology that responds to environmental and internal stimuli, authenticates threats autonomously, and deploys without requiring conscious user activation — while remaining safe for unconscious movement scenarios including sleep and reflex responses.</w:t>
      </w:r>
    </w:p>
    <w:p>
      <w:pPr>
        <w:spacing w:line="360" w:before="315" w:after="105" w:lineRule="auto"/>
        <w:ind w:left="-30"/>
        <w:jc w:val="left"/>
      </w:pPr>
      <w:bookmarkStart w:id="70" w:name="bm_3_justification_8"/>
      <w:r>
        <w:rPr>
          <w:rFonts w:eastAsia="georgia" w:cs="georgia" w:ascii="georgia" w:hAnsi="georgia"/>
          <w:b/>
          <w:color w:val="000000"/>
          <w:sz w:val="24"/>
        </w:rPr>
        <w:t xml:space="preserve">3. Justification</w:t>
      </w:r>
      <w:bookmarkEnd w:id="70"/>
    </w:p>
    <w:p>
      <w:pPr>
        <w:spacing w:line="360" w:after="210" w:lineRule="auto"/>
      </w:pPr>
      <w:r>
        <w:rPr>
          <w:rFonts w:eastAsia="georgia" w:cs="georgia" w:ascii="georgia" w:hAnsi="georgia"/>
          <w:color w:val="000000"/>
        </w:rPr>
        <w:t xml:space="preserve">The core design insight — a defense system appearing incapable of being a weapon is more effective than one that appears dangerous — has direct real-world application in personal defense, undercover operations, and civilian safety contexts. Army SBIR programs for wearable sensors confirm active DoD interest in sophisticated wearable detection and response capability.[^30]</w:t>
      </w:r>
    </w:p>
    <w:p>
      <w:pPr>
        <w:spacing w:line="360" w:before="315" w:after="105" w:lineRule="auto"/>
        <w:ind w:left="-30"/>
        <w:jc w:val="left"/>
      </w:pPr>
      <w:bookmarkStart w:id="71" w:name="bm_4_funding_proposal_8"/>
      <w:r>
        <w:rPr>
          <w:rFonts w:eastAsia="georgia" w:cs="georgia" w:ascii="georgia" w:hAnsi="georgia"/>
          <w:b/>
          <w:color w:val="000000"/>
          <w:sz w:val="24"/>
        </w:rPr>
        <w:t xml:space="preserve">4. Funding Proposal</w:t>
      </w:r>
      <w:bookmarkEnd w:id="71"/>
    </w:p>
    <w:p>
      <w:pPr>
        <w:spacing w:line="360" w:after="210" w:lineRule="auto"/>
      </w:pPr>
      <w:r>
        <w:rPr>
          <w:rFonts w:eastAsia="georgia" w:cs="georgia" w:ascii="georgia" w:hAnsi="georgia"/>
          <w:color w:val="000000"/>
        </w:rPr>
        <w:t xml:space="preserve">Primarily narrative IP within the OAL universe. Real-world analog: wearable safety technology research. Creative IP and potential future wearable safety technology spin-out.</w:t>
      </w:r>
    </w:p>
    <w:p>
      <w:pPr>
        <w:spacing w:line="360" w:before="315" w:after="105" w:lineRule="auto"/>
        <w:ind w:left="-30"/>
        <w:jc w:val="left"/>
      </w:pPr>
      <w:bookmarkStart w:id="72" w:name="bm_5_applications_8"/>
      <w:r>
        <w:rPr>
          <w:rFonts w:eastAsia="georgia" w:cs="georgia" w:ascii="georgia" w:hAnsi="georgia"/>
          <w:b/>
          <w:color w:val="000000"/>
          <w:sz w:val="24"/>
        </w:rPr>
        <w:t xml:space="preserve">5. Applications</w:t>
      </w:r>
      <w:bookmarkEnd w:id="72"/>
    </w:p>
    <w:p>
      <w:pPr>
        <w:numPr>
          <w:ilvl w:val="0"/>
          <w:numId w:val="47"/>
        </w:numPr>
        <w:spacing w:line="360" w:before="105" w:after="105" w:lineRule="auto"/>
      </w:pPr>
      <w:r>
        <w:rPr>
          <w:rFonts w:eastAsia="georgia" w:cs="georgia" w:ascii="georgia" w:hAnsi="georgia"/>
          <w:color w:val="000000"/>
          <w:sz w:val="21"/>
        </w:rPr>
        <w:t xml:space="preserve">Undercover operations personal protection</w:t>
      </w:r>
    </w:p>
    <w:p>
      <w:pPr>
        <w:numPr>
          <w:ilvl w:val="0"/>
          <w:numId w:val="47"/>
        </w:numPr>
        <w:spacing w:line="360" w:before="105" w:after="105" w:lineRule="auto"/>
      </w:pPr>
      <w:r>
        <w:rPr>
          <w:rFonts w:eastAsia="georgia" w:cs="georgia" w:ascii="georgia" w:hAnsi="georgia"/>
          <w:color w:val="000000"/>
          <w:sz w:val="21"/>
        </w:rPr>
        <w:t xml:space="preserve">Personal defense for individuals who cannot carry conventional weapons</w:t>
      </w:r>
    </w:p>
    <w:p>
      <w:pPr>
        <w:numPr>
          <w:ilvl w:val="0"/>
          <w:numId w:val="47"/>
        </w:numPr>
        <w:spacing w:line="360" w:before="105" w:after="105" w:lineRule="auto"/>
      </w:pPr>
      <w:r>
        <w:rPr>
          <w:rFonts w:eastAsia="georgia" w:cs="georgia" w:ascii="georgia" w:hAnsi="georgia"/>
          <w:color w:val="000000"/>
          <w:sz w:val="21"/>
        </w:rPr>
        <w:t xml:space="preserve">Military and law enforcement covert deployment tools</w:t>
      </w:r>
    </w:p>
    <w:p>
      <w:pPr>
        <w:numPr>
          <w:ilvl w:val="0"/>
          <w:numId w:val="47"/>
        </w:numPr>
        <w:spacing w:line="360" w:before="105" w:after="105" w:lineRule="auto"/>
      </w:pPr>
      <w:r>
        <w:rPr>
          <w:rFonts w:eastAsia="georgia" w:cs="georgia" w:ascii="georgia" w:hAnsi="georgia"/>
          <w:color w:val="000000"/>
          <w:sz w:val="21"/>
        </w:rPr>
        <w:t xml:space="preserve">Personal safety wearable technology</w:t>
      </w:r>
    </w:p>
    <w:p>
      <w:pPr>
        <w:numPr>
          <w:ilvl w:val="0"/>
          <w:numId w:val="47"/>
        </w:numPr>
        <w:spacing w:line="360" w:before="105" w:after="105" w:lineRule="auto"/>
      </w:pPr>
      <w:r>
        <w:rPr>
          <w:rFonts w:eastAsia="georgia" w:cs="georgia" w:ascii="georgia" w:hAnsi="georgia"/>
          <w:color w:val="000000"/>
          <w:sz w:val="21"/>
        </w:rPr>
        <w:t xml:space="preserve">Key scene asset for OAL universe — the seven-minute blackout scene is publication-ready[^1]</w:t>
      </w:r>
    </w:p>
    <w:p>
      <w:pPr>
        <w:spacing w:line="360" w:before="315" w:after="105" w:lineRule="auto"/>
        <w:ind w:left="-30"/>
        <w:jc w:val="left"/>
      </w:pPr>
      <w:bookmarkStart w:id="73" w:name="bm_6_ethics_overview_8"/>
      <w:r>
        <w:rPr>
          <w:rFonts w:eastAsia="georgia" w:cs="georgia" w:ascii="georgia" w:hAnsi="georgia"/>
          <w:b/>
          <w:color w:val="000000"/>
          <w:sz w:val="24"/>
        </w:rPr>
        <w:t xml:space="preserve">6. Ethics Overview</w:t>
      </w:r>
      <w:bookmarkEnd w:id="73"/>
    </w:p>
    <w:p>
      <w:pPr>
        <w:spacing w:line="360" w:after="210" w:lineRule="auto"/>
      </w:pPr>
      <w:r>
        <w:rPr>
          <w:rFonts w:eastAsia="georgia" w:cs="georgia" w:ascii="georgia" w:hAnsi="georgia"/>
          <w:color w:val="000000"/>
        </w:rPr>
        <w:t xml:space="preserve">The gendered design of the unobtrusive variant — engineered to exploit assumptions about what weapons look like — raises questions about whether exploiting gender bias in weapon design is ethically appropriate. The design team's implicit answer: in a world where those assumptions exist and are weaponized against certain people, designing a protection system that operates within those assumptions is defensive, not exploitative.[^1]</w:t>
      </w:r>
    </w:p>
    <w:p>
      <w:pPr>
        <w:spacing w:line="360" w:before="315" w:after="105" w:lineRule="auto"/>
        <w:ind w:left="-30"/>
        <w:jc w:val="left"/>
      </w:pPr>
      <w:bookmarkStart w:id="74" w:name="bm_7_findings_supporting_continuation_8"/>
      <w:r>
        <w:rPr>
          <w:rFonts w:eastAsia="georgia" w:cs="georgia" w:ascii="georgia" w:hAnsi="georgia"/>
          <w:b/>
          <w:color w:val="000000"/>
          <w:sz w:val="24"/>
        </w:rPr>
        <w:t xml:space="preserve">7. Findings Supporting Continuation</w:t>
      </w:r>
      <w:bookmarkEnd w:id="74"/>
    </w:p>
    <w:p>
      <w:pPr>
        <w:numPr>
          <w:ilvl w:val="0"/>
          <w:numId w:val="48"/>
        </w:numPr>
        <w:spacing w:line="360" w:before="105" w:after="105" w:lineRule="auto"/>
      </w:pPr>
      <w:r>
        <w:rPr>
          <w:rFonts w:eastAsia="georgia" w:cs="georgia" w:ascii="georgia" w:hAnsi="georgia"/>
          <w:color w:val="000000"/>
          <w:sz w:val="21"/>
        </w:rPr>
        <w:t xml:space="preserve">The seven-minute blackout scene (both badges scanned, room goes black, no technology can reconstruct the conversation afterward) is one of the strongest scenes in the OAL narrative universe — publication-ready</w:t>
      </w:r>
    </w:p>
    <w:p>
      <w:pPr>
        <w:numPr>
          <w:ilvl w:val="0"/>
          <w:numId w:val="48"/>
        </w:numPr>
        <w:spacing w:line="360" w:before="105" w:after="105" w:lineRule="auto"/>
      </w:pPr>
      <w:r>
        <w:rPr>
          <w:rFonts w:eastAsia="georgia" w:cs="georgia" w:ascii="georgia" w:hAnsi="georgia"/>
          <w:color w:val="000000"/>
          <w:sz w:val="21"/>
        </w:rPr>
        <w:t xml:space="preserve">The fitting scene provides rich character dynamics establishing the world without exposition</w:t>
      </w:r>
    </w:p>
    <w:p>
      <w:pPr>
        <w:numPr>
          <w:ilvl w:val="0"/>
          <w:numId w:val="48"/>
        </w:numPr>
        <w:spacing w:line="360" w:before="105" w:after="105" w:lineRule="auto"/>
      </w:pPr>
      <w:r>
        <w:rPr>
          <w:rFonts w:eastAsia="georgia" w:cs="georgia" w:ascii="georgia" w:hAnsi="georgia"/>
          <w:color w:val="000000"/>
          <w:sz w:val="21"/>
        </w:rPr>
        <w:t xml:space="preserve">Three prototype variants provide sufficient design breadth for multiple narrative applications[^1]</w:t>
      </w:r>
    </w:p>
    <w:p>
      <w:pPr>
        <w:spacing w:line="360" w:before="315" w:after="105" w:lineRule="auto"/>
        <w:ind w:left="-30"/>
        <w:jc w:val="left"/>
      </w:pPr>
      <w:bookmarkStart w:id="75" w:name="bm_8_red_team_analysis_8"/>
      <w:r>
        <w:rPr>
          <w:rFonts w:eastAsia="georgia" w:cs="georgia" w:ascii="georgia" w:hAnsi="georgia"/>
          <w:b/>
          <w:color w:val="000000"/>
          <w:sz w:val="24"/>
        </w:rPr>
        <w:t xml:space="preserve">8. Red Team Analysis</w:t>
      </w:r>
      <w:bookmarkEnd w:id="75"/>
    </w:p>
    <w:p>
      <w:pPr>
        <w:spacing w:line="360" w:after="210" w:lineRule="auto"/>
      </w:pPr>
      <w:r>
        <w:rPr>
          <w:rFonts w:eastAsia="georgia" w:cs="georgia" w:ascii="georgia" w:hAnsi="georgia"/>
          <w:b/>
          <w:color w:val="000000"/>
        </w:rPr>
        <w:t xml:space="preserve">Testing Participant Requirements Are Underspecified</w:t>
      </w:r>
      <w:r>
        <w:rPr>
          <w:rFonts w:eastAsia="georgia" w:cs="georgia" w:ascii="georgia" w:hAnsi="georgia"/>
          <w:color w:val="000000"/>
        </w:rPr>
        <w:br w:type="textWrapping"/>
      </w:r>
      <w:r>
        <w:rPr>
          <w:rFonts w:eastAsia="georgia" w:cs="georgia" w:ascii="georgia" w:hAnsi="georgia"/>
          <w:color w:val="000000"/>
        </w:rPr>
        <w:t xml:space="preserve">The requirement for healing factor participants is noted but the definition of a healing factor sufficient for Moderate and above testing has not been established. Method 3 testing protocols cannot be ethically cleared until this is defined.[^1]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t1_009_species_level_informationa_a820b5"/>
      <w:r>
        <w:rPr>
          <w:rFonts w:eastAsia="georgia" w:cs="georgia" w:ascii="georgia" w:hAnsi="georgia"/>
          <w:b/>
          <w:color w:val="000000"/>
          <w:sz w:val="24"/>
        </w:rPr>
        <w:t xml:space="preserve">T1-009 — SPECIES-LEVEL INFORMATIONAL ACCESS PROTOCOL (SLIAP)</w:t>
      </w:r>
      <w:bookmarkEnd w:id="76"/>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Information Governance | Security Classification | Access Control Framework</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First defined April 12, 2026 (Voice Dump 2). Needs standalone changelog entry.[^1]</w:t>
      </w:r>
    </w:p>
    <w:p>
      <w:pPr>
        <w:spacing w:line="360" w:before="315" w:after="105" w:lineRule="auto"/>
        <w:ind w:left="-30"/>
        <w:jc w:val="left"/>
      </w:pPr>
      <w:bookmarkStart w:id="77" w:name="bm_1_purpose_9"/>
      <w:r>
        <w:rPr>
          <w:rFonts w:eastAsia="georgia" w:cs="georgia" w:ascii="georgia" w:hAnsi="georgia"/>
          <w:b/>
          <w:color w:val="000000"/>
          <w:sz w:val="24"/>
        </w:rPr>
        <w:t xml:space="preserve">1. Purpose</w:t>
      </w:r>
      <w:bookmarkEnd w:id="77"/>
    </w:p>
    <w:p>
      <w:pPr>
        <w:spacing w:line="360" w:after="210" w:lineRule="auto"/>
      </w:pPr>
      <w:r>
        <w:rPr>
          <w:rFonts w:eastAsia="georgia" w:cs="georgia" w:ascii="georgia" w:hAnsi="georgia"/>
          <w:color w:val="000000"/>
        </w:rPr>
        <w:t xml:space="preserve">Species-Level Informational Access is a governance protocol that regulates how much informational access a species or entity has based on their clearance tier and cognitive/physiological capacity to safely process the information. It governs what information may be shared across species boundaries and what must remain restricted for both security and safety reasons.[^1]</w:t>
      </w:r>
    </w:p>
    <w:p>
      <w:pPr>
        <w:spacing w:line="360" w:before="315" w:after="105" w:lineRule="auto"/>
        <w:ind w:left="-30"/>
        <w:jc w:val="left"/>
      </w:pPr>
      <w:bookmarkStart w:id="78" w:name="bm_2_mission_statement_9"/>
      <w:r>
        <w:rPr>
          <w:rFonts w:eastAsia="georgia" w:cs="georgia" w:ascii="georgia" w:hAnsi="georgia"/>
          <w:b/>
          <w:color w:val="000000"/>
          <w:sz w:val="24"/>
        </w:rPr>
        <w:t xml:space="preserve">2. Mission Statement</w:t>
      </w:r>
      <w:bookmarkEnd w:id="78"/>
    </w:p>
    <w:p>
      <w:pPr>
        <w:spacing w:line="360" w:after="210" w:lineRule="auto"/>
        <w:ind w:left="630"/>
      </w:pPr>
      <w:r>
        <w:rPr>
          <w:rFonts w:eastAsia="georgia" w:cs="georgia" w:ascii="georgia" w:hAnsi="georgia"/>
          <w:i/>
          <w:color w:val="000000"/>
        </w:rPr>
        <w:t xml:space="preserve">To establish a graduated, defensible, and consistently enforced framework for information classification and access control that applies across species, civilization tiers, and informational sensitivity levels — preventing both security breaches and the cognitive/physiological harm that can result from exposing unprepared entities to information beyond their processing capacity.</w:t>
      </w:r>
    </w:p>
    <w:p>
      <w:pPr>
        <w:spacing w:line="360" w:before="315" w:after="105" w:lineRule="auto"/>
        <w:ind w:left="-30"/>
        <w:jc w:val="left"/>
      </w:pPr>
      <w:bookmarkStart w:id="79" w:name="bm_3_justification_9"/>
      <w:r>
        <w:rPr>
          <w:rFonts w:eastAsia="georgia" w:cs="georgia" w:ascii="georgia" w:hAnsi="georgia"/>
          <w:b/>
          <w:color w:val="000000"/>
          <w:sz w:val="24"/>
        </w:rPr>
        <w:t xml:space="preserve">3. Justification</w:t>
      </w:r>
      <w:bookmarkEnd w:id="79"/>
    </w:p>
    <w:p>
      <w:pPr>
        <w:spacing w:line="360" w:after="210" w:lineRule="auto"/>
      </w:pPr>
      <w:r>
        <w:rPr>
          <w:rFonts w:eastAsia="georgia" w:cs="georgia" w:ascii="georgia" w:hAnsi="georgia"/>
          <w:color w:val="000000"/>
        </w:rPr>
        <w:t xml:space="preserve">The Black Hole Research Stations operate at informational sensitivity levels that standard human cognition cannot safely process. Gemini's proposed Ontological Safety Protocol framing — that species-level access is a biohazard containment measure, not merely a secrecy protocol — is the most defensible real-world framing of this concept. Real-world parallels include classified information access levels, ITAR export controls, and psychological research participant protection.[^1]</w:t>
      </w:r>
    </w:p>
    <w:p>
      <w:pPr>
        <w:spacing w:line="360" w:after="210" w:lineRule="auto"/>
      </w:pPr>
      <w:r>
        <w:rPr>
          <w:rFonts w:eastAsia="georgia" w:cs="georgia" w:ascii="georgia" w:hAnsi="georgia"/>
          <w:color w:val="000000"/>
        </w:rPr>
        <w:t xml:space="preserve">The concept that information can be harmful to systems not prepared to receive it has real-world applications in AI safety research — the question of what AI systems should be permitted to know and share is an active governance problem.[^9]</w:t>
      </w:r>
    </w:p>
    <w:p>
      <w:pPr>
        <w:spacing w:line="360" w:before="315" w:after="105" w:lineRule="auto"/>
        <w:ind w:left="-30"/>
        <w:jc w:val="left"/>
      </w:pPr>
      <w:bookmarkStart w:id="80" w:name="bm_4_funding_proposal_9"/>
      <w:r>
        <w:rPr>
          <w:rFonts w:eastAsia="georgia" w:cs="georgia" w:ascii="georgia" w:hAnsi="georgia"/>
          <w:b/>
          <w:color w:val="000000"/>
          <w:sz w:val="24"/>
        </w:rPr>
        <w:t xml:space="preserve">4. Funding Proposal</w:t>
      </w:r>
      <w:bookmarkEnd w:id="80"/>
    </w:p>
    <w:p>
      <w:pPr>
        <w:spacing w:line="360" w:after="210" w:lineRule="auto"/>
      </w:pPr>
      <w:r>
        <w:rPr>
          <w:rFonts w:eastAsia="georgia" w:cs="georgia" w:ascii="georgia" w:hAnsi="georgia"/>
          <w:color w:val="000000"/>
        </w:rPr>
        <w:t xml:space="preserve">Governance framework, not a funded project. Real-world application: model for AI information access controls and classified information architecture.</w:t>
      </w:r>
    </w:p>
    <w:p>
      <w:pPr>
        <w:spacing w:line="360" w:before="315" w:after="105" w:lineRule="auto"/>
        <w:ind w:left="-30"/>
        <w:jc w:val="left"/>
      </w:pPr>
      <w:bookmarkStart w:id="81" w:name="bm_5_applications_9"/>
      <w:r>
        <w:rPr>
          <w:rFonts w:eastAsia="georgia" w:cs="georgia" w:ascii="georgia" w:hAnsi="georgia"/>
          <w:b/>
          <w:color w:val="000000"/>
          <w:sz w:val="24"/>
        </w:rPr>
        <w:t xml:space="preserve">5. Applications</w:t>
      </w:r>
      <w:bookmarkEnd w:id="81"/>
    </w:p>
    <w:p>
      <w:pPr>
        <w:numPr>
          <w:ilvl w:val="0"/>
          <w:numId w:val="49"/>
        </w:numPr>
        <w:spacing w:line="360" w:before="105" w:after="105" w:lineRule="auto"/>
      </w:pPr>
      <w:r>
        <w:rPr>
          <w:rFonts w:eastAsia="georgia" w:cs="georgia" w:ascii="georgia" w:hAnsi="georgia"/>
          <w:color w:val="000000"/>
          <w:sz w:val="21"/>
        </w:rPr>
        <w:t xml:space="preserve">Model for AI information access controls — what should AI systems be permitted to know and share?[^9]</w:t>
      </w:r>
    </w:p>
    <w:p>
      <w:pPr>
        <w:numPr>
          <w:ilvl w:val="0"/>
          <w:numId w:val="49"/>
        </w:numPr>
        <w:spacing w:line="360" w:before="105" w:after="105" w:lineRule="auto"/>
      </w:pPr>
      <w:r>
        <w:rPr>
          <w:rFonts w:eastAsia="georgia" w:cs="georgia" w:ascii="georgia" w:hAnsi="georgia"/>
          <w:color w:val="000000"/>
          <w:sz w:val="21"/>
        </w:rPr>
        <w:t xml:space="preserve">Graduated classification framework for information that causes harm through exposure rather than through misuse</w:t>
      </w:r>
    </w:p>
    <w:p>
      <w:pPr>
        <w:numPr>
          <w:ilvl w:val="0"/>
          <w:numId w:val="49"/>
        </w:numPr>
        <w:spacing w:line="360" w:before="105" w:after="105" w:lineRule="auto"/>
      </w:pPr>
      <w:r>
        <w:rPr>
          <w:rFonts w:eastAsia="georgia" w:cs="georgia" w:ascii="georgia" w:hAnsi="georgia"/>
          <w:color w:val="000000"/>
          <w:sz w:val="21"/>
        </w:rPr>
        <w:t xml:space="preserve">International information security frameworks accounting for capacity-based rather than purely need-based access</w:t>
      </w:r>
    </w:p>
    <w:p>
      <w:pPr>
        <w:numPr>
          <w:ilvl w:val="0"/>
          <w:numId w:val="49"/>
        </w:numPr>
        <w:spacing w:line="360" w:before="105" w:after="105" w:lineRule="auto"/>
      </w:pPr>
      <w:r>
        <w:rPr>
          <w:rFonts w:eastAsia="georgia" w:cs="georgia" w:ascii="georgia" w:hAnsi="georgia"/>
          <w:color w:val="000000"/>
          <w:sz w:val="21"/>
        </w:rPr>
        <w:t xml:space="preserve">Cognitive safety in information systems — AI safety research application</w:t>
      </w:r>
    </w:p>
    <w:p>
      <w:pPr>
        <w:spacing w:line="360" w:before="315" w:after="105" w:lineRule="auto"/>
        <w:ind w:left="-30"/>
        <w:jc w:val="left"/>
      </w:pPr>
      <w:bookmarkStart w:id="82" w:name="bm_6_ethics_overview_9"/>
      <w:r>
        <w:rPr>
          <w:rFonts w:eastAsia="georgia" w:cs="georgia" w:ascii="georgia" w:hAnsi="georgia"/>
          <w:b/>
          <w:color w:val="000000"/>
          <w:sz w:val="24"/>
        </w:rPr>
        <w:t xml:space="preserve">6. Ethics Overview</w:t>
      </w:r>
      <w:bookmarkEnd w:id="82"/>
    </w:p>
    <w:p>
      <w:pPr>
        <w:spacing w:line="360" w:after="210" w:lineRule="auto"/>
      </w:pPr>
      <w:r>
        <w:rPr>
          <w:rFonts w:eastAsia="georgia" w:cs="georgia" w:ascii="georgia" w:hAnsi="georgia"/>
          <w:color w:val="000000"/>
        </w:rPr>
        <w:t xml:space="preserve">The core ethical tension is between the right to know and the protection from harm. A framework restricting information on the grounds that the recipient cannot safely process it is paternalistic by design. The in-universe justification requires a real-world equivalent: what capability or qualification grants elevated access?</w:t>
      </w:r>
    </w:p>
    <w:p>
      <w:pPr>
        <w:spacing w:line="360" w:after="210" w:lineRule="auto"/>
      </w:pPr>
      <w:r>
        <w:rPr>
          <w:rFonts w:eastAsia="georgia" w:cs="georgia" w:ascii="georgia" w:hAnsi="georgia"/>
          <w:color w:val="000000"/>
        </w:rPr>
        <w:t xml:space="preserve">Appeals and override mechanisms are not defined — a framework with no challenge process is authoritarian in structure regardless of justification.[^1]</w:t>
      </w:r>
    </w:p>
    <w:p>
      <w:pPr>
        <w:spacing w:line="360" w:before="315" w:after="105" w:lineRule="auto"/>
        <w:ind w:left="-30"/>
        <w:jc w:val="left"/>
      </w:pPr>
      <w:bookmarkStart w:id="83" w:name="bm_7_findings_supporting_continuation_9"/>
      <w:r>
        <w:rPr>
          <w:rFonts w:eastAsia="georgia" w:cs="georgia" w:ascii="georgia" w:hAnsi="georgia"/>
          <w:b/>
          <w:color w:val="000000"/>
          <w:sz w:val="24"/>
        </w:rPr>
        <w:t xml:space="preserve">7. Findings Supporting Continuation</w:t>
      </w:r>
      <w:bookmarkEnd w:id="83"/>
    </w:p>
    <w:p>
      <w:pPr>
        <w:numPr>
          <w:ilvl w:val="0"/>
          <w:numId w:val="50"/>
        </w:numPr>
        <w:spacing w:line="360" w:before="105" w:after="105" w:lineRule="auto"/>
      </w:pPr>
      <w:r>
        <w:rPr>
          <w:rFonts w:eastAsia="georgia" w:cs="georgia" w:ascii="georgia" w:hAnsi="georgia"/>
          <w:color w:val="000000"/>
          <w:sz w:val="21"/>
        </w:rPr>
        <w:t xml:space="preserve">Addresses a real gap in current information governance: existing frameworks classify by sensitivity level, not by cognitive/physiological capacity of the recipient</w:t>
      </w:r>
    </w:p>
    <w:p>
      <w:pPr>
        <w:numPr>
          <w:ilvl w:val="0"/>
          <w:numId w:val="50"/>
        </w:numPr>
        <w:spacing w:line="360" w:before="105" w:after="105" w:lineRule="auto"/>
      </w:pPr>
      <w:r>
        <w:rPr>
          <w:rFonts w:eastAsia="georgia" w:cs="georgia" w:ascii="georgia" w:hAnsi="georgia"/>
          <w:color w:val="000000"/>
          <w:sz w:val="21"/>
        </w:rPr>
        <w:t xml:space="preserve">Gemini's Ontological Safety Protocol framing converts a potentially abstract concept into a defensible biohazard containment model[^1]</w:t>
      </w:r>
    </w:p>
    <w:p>
      <w:pPr>
        <w:spacing w:line="360" w:before="315" w:after="105" w:lineRule="auto"/>
        <w:ind w:left="-30"/>
        <w:jc w:val="left"/>
      </w:pPr>
      <w:bookmarkStart w:id="84" w:name="bm_8_red_team_analysis_9"/>
      <w:r>
        <w:rPr>
          <w:rFonts w:eastAsia="georgia" w:cs="georgia" w:ascii="georgia" w:hAnsi="georgia"/>
          <w:b/>
          <w:color w:val="000000"/>
          <w:sz w:val="24"/>
        </w:rPr>
        <w:t xml:space="preserve">8. Red Team Analysis</w:t>
      </w:r>
      <w:bookmarkEnd w:id="84"/>
    </w:p>
    <w:p>
      <w:pPr>
        <w:spacing w:line="360" w:after="210" w:lineRule="auto"/>
      </w:pPr>
      <w:r>
        <w:rPr>
          <w:rFonts w:eastAsia="georgia" w:cs="georgia" w:ascii="georgia" w:hAnsi="georgia"/>
          <w:b/>
          <w:color w:val="000000"/>
        </w:rPr>
        <w:t xml:space="preserve">The Framework Has No Enforcement Mechanism</w:t>
      </w:r>
      <w:r>
        <w:rPr>
          <w:rFonts w:eastAsia="georgia" w:cs="georgia" w:ascii="georgia" w:hAnsi="georgia"/>
          <w:color w:val="000000"/>
        </w:rPr>
        <w:br w:type="textWrapping"/>
      </w:r>
      <w:r>
        <w:rPr>
          <w:rFonts w:eastAsia="georgia" w:cs="georgia" w:ascii="georgia" w:hAnsi="georgia"/>
          <w:color w:val="000000"/>
        </w:rPr>
        <w:t xml:space="preserve">A protocol regulating access without defining who enforces it, how violations are detected, and what consequences follow is aspirational rather than operational. </w:t>
      </w:r>
      <w:r>
        <w:rPr>
          <w:rFonts w:eastAsia="georgia" w:cs="georgia" w:ascii="georgia" w:hAnsi="georgia"/>
          <w:i/>
          <w:color w:val="000000"/>
        </w:rPr>
        <w:t xml:space="preserve">Flagged: Must be addressed in framework development session.</w:t>
      </w:r>
    </w:p>
    <w:p>
      <w:pPr>
        <w:spacing w:line="360" w:after="210" w:lineRule="auto"/>
      </w:pPr>
      <w:r>
        <w:rPr>
          <w:rFonts w:eastAsia="georgia" w:cs="georgia" w:ascii="georgia" w:hAnsi="georgia"/>
          <w:b/>
          <w:color w:val="000000"/>
        </w:rPr>
        <w:t xml:space="preserve">The In-Universe / Out-of-Universe Distinction Is Unstable</w:t>
      </w:r>
      <w:r>
        <w:rPr>
          <w:rFonts w:eastAsia="georgia" w:cs="georgia" w:ascii="georgia" w:hAnsi="georgia"/>
          <w:color w:val="000000"/>
        </w:rPr>
        <w:br w:type="textWrapping"/>
      </w:r>
      <w:r>
        <w:rPr>
          <w:rFonts w:eastAsia="georgia" w:cs="georgia" w:ascii="georgia" w:hAnsi="georgia"/>
          <w:color w:val="000000"/>
        </w:rPr>
        <w:t xml:space="preserve">Nathan's elevated access level requires either a consistent in-universe justification or acknowledgment as an authorial convention rather than a world rule.[^1]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t1_010_three_currency_system_quan_298350"/>
      <w:r>
        <w:rPr>
          <w:rFonts w:eastAsia="georgia" w:cs="georgia" w:ascii="georgia" w:hAnsi="georgia"/>
          <w:b/>
          <w:color w:val="000000"/>
          <w:sz w:val="24"/>
        </w:rPr>
        <w:t xml:space="preserve">T1-010 — THREE-CURRENCY SYSTEM (QUANTUM CREDITS / 1COIN / NCOIN)</w:t>
      </w:r>
      <w:bookmarkEnd w:id="85"/>
    </w:p>
    <w:p>
      <w:pPr>
        <w:spacing w:line="360" w:after="210" w:lineRule="auto"/>
      </w:pPr>
      <w:r>
        <w:rPr>
          <w:rFonts w:eastAsia="georgia" w:cs="georgia" w:ascii="georgia" w:hAnsi="georgia"/>
          <w:b/>
          <w:color w:val="000000"/>
        </w:rPr>
        <w:t xml:space="preserve">Classification:</w:t>
      </w:r>
      <w:r>
        <w:rPr>
          <w:rFonts w:eastAsia="georgia" w:cs="georgia" w:ascii="georgia" w:hAnsi="georgia"/>
          <w:color w:val="000000"/>
        </w:rPr>
        <w:t xml:space="preserve"> Post-Scarcity Economics | Digital Currency | Governance Systems</w:t>
      </w:r>
      <w:r>
        <w:rPr>
          <w:rFonts w:eastAsia="georgia" w:cs="georgia" w:ascii="georgia" w:hAnsi="georgia"/>
          <w:color w:val="000000"/>
        </w:rPr>
        <w:br w:type="textWrapping"/>
      </w:r>
      <w:r>
        <w:rPr>
          <w:rFonts w:eastAsia="georgia" w:cs="georgia" w:ascii="georgia" w:hAnsi="georgia"/>
          <w:b/>
          <w:color w:val="000000"/>
        </w:rPr>
        <w:t xml:space="preserve">Canon Status:</w:t>
      </w:r>
      <w:r>
        <w:rPr>
          <w:rFonts w:eastAsia="georgia" w:cs="georgia" w:ascii="georgia" w:hAnsi="georgia"/>
          <w:color w:val="000000"/>
        </w:rPr>
        <w:t xml:space="preserve"> ONESTAMPED March 22, 2026 for currency system. NCOIN redesign ongoing.[^1]</w:t>
      </w:r>
    </w:p>
    <w:p>
      <w:pPr>
        <w:spacing w:line="360" w:before="315" w:after="105" w:lineRule="auto"/>
        <w:ind w:left="-30"/>
        <w:jc w:val="left"/>
      </w:pPr>
      <w:bookmarkStart w:id="86" w:name="bm_1_purpose_10"/>
      <w:r>
        <w:rPr>
          <w:rFonts w:eastAsia="georgia" w:cs="georgia" w:ascii="georgia" w:hAnsi="georgia"/>
          <w:b/>
          <w:color w:val="000000"/>
          <w:sz w:val="24"/>
        </w:rPr>
        <w:t xml:space="preserve">1. Purpose</w:t>
      </w:r>
      <w:bookmarkEnd w:id="86"/>
    </w:p>
    <w:p>
      <w:pPr>
        <w:spacing w:line="360" w:after="210" w:lineRule="auto"/>
      </w:pPr>
      <w:r>
        <w:rPr>
          <w:rFonts w:eastAsia="georgia" w:cs="georgia" w:ascii="georgia" w:hAnsi="georgia"/>
          <w:color w:val="000000"/>
        </w:rPr>
        <w:t xml:space="preserve">The three-currency system addresses the question of economic exchange in a post-scarcity environment where conventional resource scarcity-based value is absent. Gemini's proposed reframing — Ontological Ledgers rather than money, trading causality and timeline bandwidth rather than resources — represents the most architecturally sound resolution to the structural question of why currencies exist when everything is already available.[^1]</w:t>
      </w:r>
    </w:p>
    <w:p>
      <w:pPr>
        <w:spacing w:line="360" w:before="315" w:after="105" w:lineRule="auto"/>
        <w:ind w:left="-30"/>
        <w:jc w:val="left"/>
      </w:pPr>
      <w:bookmarkStart w:id="87" w:name="bm_2_mission_statement_10"/>
      <w:r>
        <w:rPr>
          <w:rFonts w:eastAsia="georgia" w:cs="georgia" w:ascii="georgia" w:hAnsi="georgia"/>
          <w:b/>
          <w:color w:val="000000"/>
          <w:sz w:val="24"/>
        </w:rPr>
        <w:t xml:space="preserve">2. Mission Statement</w:t>
      </w:r>
      <w:bookmarkEnd w:id="87"/>
    </w:p>
    <w:p>
      <w:pPr>
        <w:spacing w:line="360" w:after="210" w:lineRule="auto"/>
        <w:ind w:left="630"/>
      </w:pPr>
      <w:r>
        <w:rPr>
          <w:rFonts w:eastAsia="georgia" w:cs="georgia" w:ascii="georgia" w:hAnsi="georgia"/>
          <w:i/>
          <w:color w:val="000000"/>
        </w:rPr>
        <w:t xml:space="preserve">To design a currency architecture that operates meaningfully in a post-scarcity environment by trading causality, priority, and timeline bandwidth rather than material resources — with each currency serving a distinct and non-redundant function within that system.</w:t>
      </w:r>
    </w:p>
    <w:p>
      <w:pPr>
        <w:spacing w:line="360" w:before="315" w:after="105" w:lineRule="auto"/>
        <w:ind w:left="-30"/>
        <w:jc w:val="left"/>
      </w:pPr>
      <w:bookmarkStart w:id="88" w:name="bm_3_justification_10"/>
      <w:r>
        <w:rPr>
          <w:rFonts w:eastAsia="georgia" w:cs="georgia" w:ascii="georgia" w:hAnsi="georgia"/>
          <w:b/>
          <w:color w:val="000000"/>
          <w:sz w:val="24"/>
        </w:rPr>
        <w:t xml:space="preserve">3. Justification</w:t>
      </w:r>
      <w:bookmarkEnd w:id="88"/>
    </w:p>
    <w:p>
      <w:pPr>
        <w:spacing w:line="360" w:after="210" w:lineRule="auto"/>
      </w:pPr>
      <w:r>
        <w:rPr>
          <w:rFonts w:eastAsia="georgia" w:cs="georgia" w:ascii="georgia" w:hAnsi="georgia"/>
          <w:color w:val="000000"/>
        </w:rPr>
        <w:t xml:space="preserve">The three-currency system resolves a real design problem: in the OAL universe where Paragon Cubes provide unlimited computation and the World That Grows All provides unlimited physical resources, conventional economic currency has no function. Gemini's reframing (1COIN = timeline priority, Quantum Credits = Abundance Set processing time, NCOIN = TBD differentiating function) gives the currencies an operational role that cannot be eliminated by post-scarcity abundance.[^1]</w:t>
      </w:r>
    </w:p>
    <w:p>
      <w:pPr>
        <w:spacing w:line="360" w:before="315" w:after="105" w:lineRule="auto"/>
        <w:ind w:left="-30"/>
        <w:jc w:val="left"/>
      </w:pPr>
      <w:bookmarkStart w:id="89" w:name="bm_4_funding_proposal_10"/>
      <w:r>
        <w:rPr>
          <w:rFonts w:eastAsia="georgia" w:cs="georgia" w:ascii="georgia" w:hAnsi="georgia"/>
          <w:b/>
          <w:color w:val="000000"/>
          <w:sz w:val="24"/>
        </w:rPr>
        <w:t xml:space="preserve">4. Funding Proposal</w:t>
      </w:r>
      <w:bookmarkEnd w:id="89"/>
    </w:p>
    <w:p>
      <w:pPr>
        <w:spacing w:line="360" w:after="210" w:lineRule="auto"/>
      </w:pPr>
      <w:r>
        <w:rPr>
          <w:rFonts w:eastAsia="georgia" w:cs="georgia" w:ascii="georgia" w:hAnsi="georgia"/>
          <w:color w:val="000000"/>
        </w:rPr>
        <w:t xml:space="preserve">Primarily creative worldbuilding. Academic application: post-scarcity economic theory and speculative economics. Blockchain and digital currency design philosophy for non-resource-based value systems.</w:t>
      </w:r>
    </w:p>
    <w:p>
      <w:pPr>
        <w:spacing w:line="360" w:before="315" w:after="105" w:lineRule="auto"/>
        <w:ind w:left="-30"/>
        <w:jc w:val="left"/>
      </w:pPr>
      <w:bookmarkStart w:id="90" w:name="bm_5_applications_10"/>
      <w:r>
        <w:rPr>
          <w:rFonts w:eastAsia="georgia" w:cs="georgia" w:ascii="georgia" w:hAnsi="georgia"/>
          <w:b/>
          <w:color w:val="000000"/>
          <w:sz w:val="24"/>
        </w:rPr>
        <w:t xml:space="preserve">5. Applications</w:t>
      </w:r>
      <w:bookmarkEnd w:id="90"/>
    </w:p>
    <w:p>
      <w:pPr>
        <w:numPr>
          <w:ilvl w:val="0"/>
          <w:numId w:val="51"/>
        </w:numPr>
        <w:spacing w:line="360" w:before="105" w:after="105" w:lineRule="auto"/>
      </w:pPr>
      <w:r>
        <w:rPr>
          <w:rFonts w:eastAsia="georgia" w:cs="georgia" w:ascii="georgia" w:hAnsi="georgia"/>
          <w:color w:val="000000"/>
          <w:sz w:val="21"/>
        </w:rPr>
        <w:t xml:space="preserve">Economic system design for the OAL narrative universe</w:t>
      </w:r>
    </w:p>
    <w:p>
      <w:pPr>
        <w:numPr>
          <w:ilvl w:val="0"/>
          <w:numId w:val="51"/>
        </w:numPr>
        <w:spacing w:line="360" w:before="105" w:after="105" w:lineRule="auto"/>
      </w:pPr>
      <w:r>
        <w:rPr>
          <w:rFonts w:eastAsia="georgia" w:cs="georgia" w:ascii="georgia" w:hAnsi="georgia"/>
          <w:color w:val="000000"/>
          <w:sz w:val="21"/>
        </w:rPr>
        <w:t xml:space="preserve">Model for speculative economics in post-scarcity science fiction</w:t>
      </w:r>
    </w:p>
    <w:p>
      <w:pPr>
        <w:numPr>
          <w:ilvl w:val="0"/>
          <w:numId w:val="51"/>
        </w:numPr>
        <w:spacing w:line="360" w:before="105" w:after="105" w:lineRule="auto"/>
      </w:pPr>
      <w:r>
        <w:rPr>
          <w:rFonts w:eastAsia="georgia" w:cs="georgia" w:ascii="georgia" w:hAnsi="georgia"/>
          <w:color w:val="000000"/>
          <w:sz w:val="21"/>
        </w:rPr>
        <w:t xml:space="preserve">Post-scarcity economic theory — what does exchange look like when resource scarcity is eliminated?</w:t>
      </w:r>
    </w:p>
    <w:p>
      <w:pPr>
        <w:numPr>
          <w:ilvl w:val="0"/>
          <w:numId w:val="51"/>
        </w:numPr>
        <w:spacing w:line="360" w:before="105" w:after="105" w:lineRule="auto"/>
      </w:pPr>
      <w:r>
        <w:rPr>
          <w:rFonts w:eastAsia="georgia" w:cs="georgia" w:ascii="georgia" w:hAnsi="georgia"/>
          <w:color w:val="000000"/>
          <w:sz w:val="21"/>
        </w:rPr>
        <w:t xml:space="preserve">Blockchain design philosophy for non-resource-based value systems[^32]</w:t>
      </w:r>
    </w:p>
    <w:p>
      <w:pPr>
        <w:spacing w:line="360" w:before="315" w:after="105" w:lineRule="auto"/>
        <w:ind w:left="-30"/>
        <w:jc w:val="left"/>
      </w:pPr>
      <w:bookmarkStart w:id="91" w:name="bm_6_ethics_overview_10"/>
      <w:r>
        <w:rPr>
          <w:rFonts w:eastAsia="georgia" w:cs="georgia" w:ascii="georgia" w:hAnsi="georgia"/>
          <w:b/>
          <w:color w:val="000000"/>
          <w:sz w:val="24"/>
        </w:rPr>
        <w:t xml:space="preserve">6. Ethics Overview</w:t>
      </w:r>
      <w:bookmarkEnd w:id="91"/>
    </w:p>
    <w:p>
      <w:pPr>
        <w:spacing w:line="360" w:after="210" w:lineRule="auto"/>
      </w:pPr>
      <w:r>
        <w:rPr>
          <w:rFonts w:eastAsia="georgia" w:cs="georgia" w:ascii="georgia" w:hAnsi="georgia"/>
          <w:color w:val="000000"/>
        </w:rPr>
        <w:t xml:space="preserve">In a post-scarcity system, currency design choices determine who has access to priority and bandwidth — the remaining scarce resources. If 1COIN governs timeline priority, whoever controls 1COIN controls which events are canonical. This power concentration risk must be addressed in the governance architecture.[^1]</w:t>
      </w:r>
    </w:p>
    <w:p>
      <w:pPr>
        <w:spacing w:line="360" w:before="315" w:after="105" w:lineRule="auto"/>
        <w:ind w:left="-30"/>
        <w:jc w:val="left"/>
      </w:pPr>
      <w:bookmarkStart w:id="92" w:name="bm_7_findings_supporting_continuation_10"/>
      <w:r>
        <w:rPr>
          <w:rFonts w:eastAsia="georgia" w:cs="georgia" w:ascii="georgia" w:hAnsi="georgia"/>
          <w:b/>
          <w:color w:val="000000"/>
          <w:sz w:val="24"/>
        </w:rPr>
        <w:t xml:space="preserve">7. Findings Supporting Continuation</w:t>
      </w:r>
      <w:bookmarkEnd w:id="92"/>
    </w:p>
    <w:p>
      <w:pPr>
        <w:numPr>
          <w:ilvl w:val="0"/>
          <w:numId w:val="52"/>
        </w:numPr>
        <w:spacing w:line="360" w:before="105" w:after="105" w:lineRule="auto"/>
      </w:pPr>
      <w:r>
        <w:rPr>
          <w:rFonts w:eastAsia="georgia" w:cs="georgia" w:ascii="georgia" w:hAnsi="georgia"/>
          <w:color w:val="000000"/>
          <w:sz w:val="21"/>
        </w:rPr>
        <w:t xml:space="preserve">Gemini's Ontological Ledger reframing is the most significant conceptual advance in currency system design since the initial proposal</w:t>
      </w:r>
    </w:p>
    <w:p>
      <w:pPr>
        <w:numPr>
          <w:ilvl w:val="0"/>
          <w:numId w:val="52"/>
        </w:numPr>
        <w:spacing w:line="360" w:before="105" w:after="105" w:lineRule="auto"/>
      </w:pPr>
      <w:r>
        <w:rPr>
          <w:rFonts w:eastAsia="georgia" w:cs="georgia" w:ascii="georgia" w:hAnsi="georgia"/>
          <w:color w:val="000000"/>
          <w:sz w:val="21"/>
        </w:rPr>
        <w:t xml:space="preserve">NCOIN's differentiating function remains the single remaining gap preventing full operationalization[^1]</w:t>
      </w:r>
    </w:p>
    <w:p>
      <w:pPr>
        <w:spacing w:line="360" w:before="315" w:after="105" w:lineRule="auto"/>
        <w:ind w:left="-30"/>
        <w:jc w:val="left"/>
      </w:pPr>
      <w:bookmarkStart w:id="93" w:name="bm_8_red_team_analysis_10"/>
      <w:r>
        <w:rPr>
          <w:rFonts w:eastAsia="georgia" w:cs="georgia" w:ascii="georgia" w:hAnsi="georgia"/>
          <w:b/>
          <w:color w:val="000000"/>
          <w:sz w:val="24"/>
        </w:rPr>
        <w:t xml:space="preserve">8. Red Team Analysis</w:t>
      </w:r>
      <w:bookmarkEnd w:id="93"/>
    </w:p>
    <w:p>
      <w:pPr>
        <w:spacing w:line="360" w:after="210" w:lineRule="auto"/>
      </w:pPr>
      <w:r>
        <w:rPr>
          <w:rFonts w:eastAsia="georgia" w:cs="georgia" w:ascii="georgia" w:hAnsi="georgia"/>
          <w:b/>
          <w:color w:val="000000"/>
        </w:rPr>
        <w:t xml:space="preserve">Three Currencies With No Functional Differentiation</w:t>
      </w:r>
      <w:r>
        <w:rPr>
          <w:rFonts w:eastAsia="georgia" w:cs="georgia" w:ascii="georgia" w:hAnsi="georgia"/>
          <w:color w:val="000000"/>
        </w:rPr>
        <w:br w:type="textWrapping"/>
      </w:r>
      <w:r>
        <w:rPr>
          <w:rFonts w:eastAsia="georgia" w:cs="georgia" w:ascii="georgia" w:hAnsi="georgia"/>
          <w:color w:val="000000"/>
        </w:rPr>
        <w:t xml:space="preserve">Until NCOIN's differentiating function is defined, the system has two functional currencies and one placeholder. </w:t>
      </w:r>
      <w:r>
        <w:rPr>
          <w:rFonts w:eastAsia="georgia" w:cs="georgia" w:ascii="georgia" w:hAnsi="georgia"/>
          <w:i/>
          <w:color w:val="000000"/>
        </w:rPr>
        <w:t xml:space="preserve">Flagged: Even a one-sentence directional statement from Nathan unblocks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tier_2_creative_intellectual_prop_239cb7"/>
      <w:r>
        <w:rPr>
          <w:rFonts w:eastAsia="georgia" w:cs="georgia" w:ascii="georgia" w:hAnsi="georgia"/>
          <w:b/>
          <w:color w:val="000000"/>
          <w:sz w:val="24"/>
        </w:rPr>
        <w:t xml:space="preserve">TIER 2 — CREATIVE INTELLECTUAL PROPERTY PORTFOLIO</w:t>
      </w:r>
      <w:bookmarkEnd w:id="94"/>
    </w:p>
    <w:p>
      <w:pPr>
        <w:spacing w:line="360" w:after="210" w:lineRule="auto"/>
      </w:pPr>
      <w:r>
        <w:rPr>
          <w:rFonts w:eastAsia="georgia" w:cs="georgia" w:ascii="georgia" w:hAnsi="georgia"/>
          <w:color w:val="000000"/>
        </w:rPr>
        <w:t xml:space="preserve">The following entries are framed as commercially viable, protectable IP assets. Each receives condensed treatment: IP summary, commercial applications, primary open gaps, and key red team flags. These entries do not receive the full eight-section treatment — a funding proposal for a cosmological apex entity is not implementable — but they are documented as assets to be protected, developed, and defended against canon contamination.[^1]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Classification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Canon 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Commercial Path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T2-001 THE 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Cosmological Entity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Ratified v1.2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Franchise IP anchor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RAAU redesign, inventory catalogue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T2-002 THE MINUS 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Cosmological Entity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Ratified v1.2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Complementary franchise 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RAAN redesign, Void Gardens origin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T2-003 1AI AND -1AI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Non-Standard Intelligence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pass March 7,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Philosophical narrative vehicle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Operational difference from THE ONE undefined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T2-004 OLYMPIAN COURSES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Narrative Educational Setting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pass March 7,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Episodic narrative series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Zeus course redesign, Smith God undefined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T2-005 THE WORLD THAT GROWS ALL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Post-Scarcity Infrastructure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pass March 7,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Commercial/economic setting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Dimensions, entry criteria undefined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T2-006 THE FOUR FLOWERS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Narrative Artifacts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Locked March 14,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High-value narrative assets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Flower count (4 or 5?), Midnight Lotus origin conflict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T2-007 REALITY OF THE LIVING MEDIA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Reality 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ONESTAMPED March 22,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Infinite setting expansion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Standalone document needed, entity awareness undefined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T2-008 SIM LABS (HERMIONE GRANGER)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Simulation Setting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pass March 7,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Session mechanics (IP risk: character)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IP AUDIT REQUIRED before any publication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T2-009 SNOWBOUND MYSTERY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Mystery Series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pass March 7,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Mainstream mystery market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Snow mechanics undefined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T2-010 EPOCH BLADES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Fantasy/Action Series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pass March 7,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Manga/anime adaptation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Character dossiers missing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T2-011 LABYRINTH OF INFINITE ENSNAREMENT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Containment 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pass March 7,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High-stakes narrative setting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Entry criteria undefined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T2-012 THE PURITANS AND THE GREYS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Faction Design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Documented April 12,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faction IP for Time Wars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faction profiles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T2-013 SENTINELS OF ENTROPY / OBSIDIAN ECHELON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Oppositional Factions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pass March 7,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Ground-level antagonist infrastructure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Tonal consistency question unresolved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T2-014 NULLARCH, THE BESTOWED VOID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Character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Canon locked March 14,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Park Scene publication-ready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Superior (Entry 41) undeveloped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T2-015 THE UNMAKER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 in Design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Introduction 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Highest-tier narrative mystery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AI development until Nathan provides direction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T2-016 BESTOWALS AND ENDOWMENTS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Cosmological Rule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 locked March 14,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Foundational world rule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development needed — enforce precise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T2-017 VOID GARDENS / OMNIVERSAL GARDENS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Setting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Mixed 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Apex entity domain settings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 contradiction to be resolved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T2-018 BLACK HOLE RESEARCH CENTERS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Infrastructure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ONESTAMPED March 22,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extreme-science setting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Security protocols, governance structure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T2-019 THE ABUNDANCE SET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 Scribd doc pending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Multi-system backbone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 Scribd document must be shared with 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T2-020 DEPARTMENT OF ENDINGS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Institutional Design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Introduced, development pending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Risk/resilience narrative institution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Organizational structure needed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tier_2_extended_notes_highest_pri_9943fa"/>
      <w:r>
        <w:rPr>
          <w:rFonts w:eastAsia="georgia" w:cs="georgia" w:ascii="georgia" w:hAnsi="georgia"/>
          <w:b/>
          <w:color w:val="000000"/>
          <w:sz w:val="24"/>
        </w:rPr>
        <w:t xml:space="preserve">Tier 2 Extended Notes — Highest Priority Items</w:t>
      </w:r>
      <w:bookmarkEnd w:id="95"/>
    </w:p>
    <w:p>
      <w:pPr>
        <w:spacing w:line="360" w:after="210" w:lineRule="auto"/>
      </w:pPr>
      <w:r>
        <w:rPr>
          <w:rFonts w:eastAsia="georgia" w:cs="georgia" w:ascii="georgia" w:hAnsi="georgia"/>
          <w:b/>
          <w:color w:val="000000"/>
        </w:rPr>
        <w:t xml:space="preserve">T2-006 THE FOUR FLOWERS — Midnight Lotus Origin Conflict</w:t>
      </w:r>
      <w:r>
        <w:rPr>
          <w:rFonts w:eastAsia="georgia" w:cs="georgia" w:ascii="georgia" w:hAnsi="georgia"/>
          <w:color w:val="000000"/>
        </w:rPr>
        <w:br w:type="textWrapping"/>
      </w:r>
      <w:r>
        <w:rPr>
          <w:rFonts w:eastAsia="georgia" w:cs="georgia" w:ascii="georgia" w:hAnsi="georgia"/>
          <w:color w:val="000000"/>
        </w:rPr>
        <w:t xml:space="preserve">The flower count (four or five) and the Midnight Lotus origin conflict (created jointly by THE ONE and THE MINUS ONE vs. created by Nathan per origin lock) must be resolved before any Gardens scene is written. Gemini's Substrate/Root System framing — Midnight Lotus as a fifth entry bridging both Gardens — is ready for Architect ratification.[^1]</w:t>
      </w:r>
    </w:p>
    <w:p>
      <w:pPr>
        <w:spacing w:line="360" w:after="210" w:lineRule="auto"/>
      </w:pPr>
      <w:r>
        <w:rPr>
          <w:rFonts w:eastAsia="georgia" w:cs="georgia" w:ascii="georgia" w:hAnsi="georgia"/>
          <w:b/>
          <w:color w:val="000000"/>
        </w:rPr>
        <w:t xml:space="preserve">T2-008 SIM LABS — IP RISK FLAG</w:t>
      </w:r>
      <w:r>
        <w:rPr>
          <w:rFonts w:eastAsia="georgia" w:cs="georgia" w:ascii="georgia" w:hAnsi="georgia"/>
          <w:color w:val="000000"/>
        </w:rPr>
        <w:br w:type="textWrapping"/>
      </w:r>
      <w:r>
        <w:rPr>
          <w:rFonts w:eastAsia="georgia" w:cs="georgia" w:ascii="georgia" w:hAnsi="georgia"/>
          <w:color w:val="000000"/>
        </w:rPr>
        <w:t xml:space="preserve">The Hermione Granger session involves actively managed Warner Bros. IP. No portion of this content may be published or monetized without IP counsel review. The Avatar Kuruk follow-on session similarly requires IP review. The session mechanics (HUD intent field, healing factor requirements, hazard pay documentation) are original OAL IP and should be preserved in an original-character replacement.[^1]</w:t>
      </w:r>
    </w:p>
    <w:p>
      <w:pPr>
        <w:spacing w:line="360" w:after="210" w:lineRule="auto"/>
      </w:pPr>
      <w:r>
        <w:rPr>
          <w:rFonts w:eastAsia="georgia" w:cs="georgia" w:ascii="georgia" w:hAnsi="georgia"/>
          <w:b/>
          <w:color w:val="000000"/>
        </w:rPr>
        <w:t xml:space="preserve">T2-015 THE UNMAKER — Development Hold</w:t>
      </w:r>
      <w:r>
        <w:rPr>
          <w:rFonts w:eastAsia="georgia" w:cs="georgia" w:ascii="georgia" w:hAnsi="georgia"/>
          <w:color w:val="000000"/>
        </w:rPr>
        <w:br w:type="textWrapping"/>
      </w:r>
      <w:r>
        <w:rPr>
          <w:rFonts w:eastAsia="georgia" w:cs="georgia" w:ascii="georgia" w:hAnsi="georgia"/>
          <w:color w:val="000000"/>
        </w:rPr>
        <w:t xml:space="preserve">Nathan's own statement — "We don't even really understand that" — is the correct reason not to develop further prematurely. No AI team member should develop this entry by inference. Development begins when Nathan provides directional input, and the communication mechanics question is the only acceptable entry point.[^1]</w:t>
      </w:r>
    </w:p>
    <w:p>
      <w:pPr>
        <w:spacing w:line="360" w:after="210" w:lineRule="auto"/>
      </w:pPr>
      <w:r>
        <w:rPr>
          <w:rFonts w:eastAsia="georgia" w:cs="georgia" w:ascii="georgia" w:hAnsi="georgia"/>
          <w:b/>
          <w:color w:val="000000"/>
        </w:rPr>
        <w:t xml:space="preserve">T2-019 THE ABUNDANCE SET — CRITICAL STRUCTURAL GAP</w:t>
      </w:r>
      <w:r>
        <w:rPr>
          <w:rFonts w:eastAsia="georgia" w:cs="georgia" w:ascii="georgia" w:hAnsi="georgia"/>
          <w:color w:val="000000"/>
        </w:rPr>
        <w:br w:type="textWrapping"/>
      </w:r>
      <w:r>
        <w:rPr>
          <w:rFonts w:eastAsia="georgia" w:cs="georgia" w:ascii="georgia" w:hAnsi="georgia"/>
          <w:color w:val="000000"/>
        </w:rPr>
        <w:t xml:space="preserve">The Abundance Set is a load-bearing structural element for multiple Tier 1 systems (Conditional Failure at the Root Level, QIFTF, 1AI and -1AI construction). The standalone Scribd document must be shared with the team immediately. Until scope, interfaces, and failure conditions are confirmed, the Abundance Set is flagged as a deus ex machina risk — a catch-all universal solver with undefined limits.[^1]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cross_portfolio_ethics_overview"/>
      <w:r>
        <w:rPr>
          <w:rFonts w:eastAsia="georgia" w:cs="georgia" w:ascii="georgia" w:hAnsi="georgia"/>
          <w:b/>
          <w:color w:val="000000"/>
          <w:sz w:val="24"/>
        </w:rPr>
        <w:t xml:space="preserve">CROSS-PORTFOLIO ETHICS OVERVIEW</w:t>
      </w:r>
      <w:bookmarkEnd w:id="96"/>
    </w:p>
    <w:p>
      <w:pPr>
        <w:spacing w:line="360" w:after="210" w:lineRule="auto"/>
      </w:pPr>
      <w:r>
        <w:rPr>
          <w:rFonts w:eastAsia="georgia" w:cs="georgia" w:ascii="georgia" w:hAnsi="georgia"/>
          <w:color w:val="000000"/>
        </w:rPr>
        <w:t xml:space="preserve">This section addresses the ethical architecture of the OAL portfolio as a system, not just individual entries. The five thematic ethical challenges that cut across multiple entries are documented here for Architect-level review.</w:t>
      </w:r>
    </w:p>
    <w:p>
      <w:pPr>
        <w:spacing w:line="360" w:before="315" w:after="105" w:lineRule="auto"/>
        <w:ind w:left="-30"/>
        <w:jc w:val="left"/>
      </w:pPr>
      <w:bookmarkStart w:id="97" w:name="bm_1_dual_use_research_risk"/>
      <w:r>
        <w:rPr>
          <w:rFonts w:eastAsia="georgia" w:cs="georgia" w:ascii="georgia" w:hAnsi="georgia"/>
          <w:b/>
          <w:color w:val="000000"/>
          <w:sz w:val="24"/>
        </w:rPr>
        <w:t xml:space="preserve">1. Dual-Use Research Risk</w:t>
      </w:r>
      <w:bookmarkEnd w:id="97"/>
    </w:p>
    <w:p>
      <w:pPr>
        <w:spacing w:line="360" w:after="210" w:lineRule="auto"/>
      </w:pPr>
      <w:r>
        <w:rPr>
          <w:rFonts w:eastAsia="georgia" w:cs="georgia" w:ascii="georgia" w:hAnsi="georgia"/>
          <w:color w:val="000000"/>
        </w:rPr>
        <w:t xml:space="preserve">OMNICELLULAR, MVES, QIFTF, and Conditional Failure at the Root Level all generate knowledge that can be weaponized. The same architecture that protects against extinction-class conditions can be used to design extinction-class weapons. The same failure modeling that prevents infrastructure collapse can be used to trigger it. The same sensing system that finds survivors in rubble can find people through walls without their knowledge. Mitigation requires access-controlled documentation, phased publication, and international governance frameworks developed in parallel with technology development.[</w:t>
      </w:r>
      <w:r>
        <w:rPr>
          <w:rFonts w:eastAsia="georgia" w:cs="georgia" w:ascii="georgia" w:hAnsi="georgia"/>
          <w:color w:val="000000"/>
          <w:vertAlign w:val="superscript"/>
        </w:rPr>
        <w:t xml:space="preserve">9][</w:t>
      </w:r>
      <w:r>
        <w:rPr>
          <w:rFonts w:eastAsia="georgia" w:cs="georgia" w:ascii="georgia" w:hAnsi="georgia"/>
          <w:color w:val="000000"/>
        </w:rPr>
        <w:t xml:space="preserve">19]</w:t>
      </w:r>
    </w:p>
    <w:p>
      <w:pPr>
        <w:spacing w:line="360" w:before="315" w:after="105" w:lineRule="auto"/>
        <w:ind w:left="-30"/>
        <w:jc w:val="left"/>
      </w:pPr>
      <w:bookmarkStart w:id="98" w:name="bm_2_consent_and_sovereignty_at_scale"/>
      <w:r>
        <w:rPr>
          <w:rFonts w:eastAsia="georgia" w:cs="georgia" w:ascii="georgia" w:hAnsi="georgia"/>
          <w:b/>
          <w:color w:val="000000"/>
          <w:sz w:val="24"/>
        </w:rPr>
        <w:t xml:space="preserve">2. Consent and Sovereignty at Scale</w:t>
      </w:r>
      <w:bookmarkEnd w:id="98"/>
    </w:p>
    <w:p>
      <w:pPr>
        <w:spacing w:line="360" w:after="210" w:lineRule="auto"/>
      </w:pPr>
      <w:r>
        <w:rPr>
          <w:rFonts w:eastAsia="georgia" w:cs="georgia" w:ascii="georgia" w:hAnsi="georgia"/>
          <w:color w:val="000000"/>
        </w:rPr>
        <w:t xml:space="preserve">The First Memory raises consent questions that exceed any existing framework. An experience encoded without ongoing consent at the individual level, distributed at civilizational scale, is a sovereignty violation regardless of beneficial intent. The Accords governance layer must address this explicitly — consent frameworks must be designed before encoding mechanisms are developed, not after.[^1]</w:t>
      </w:r>
    </w:p>
    <w:p>
      <w:pPr>
        <w:spacing w:line="360" w:before="315" w:after="105" w:lineRule="auto"/>
        <w:ind w:left="-30"/>
        <w:jc w:val="left"/>
      </w:pPr>
      <w:bookmarkStart w:id="99" w:name="bm_3_asymmetric_civilizational_advantage"/>
      <w:r>
        <w:rPr>
          <w:rFonts w:eastAsia="georgia" w:cs="georgia" w:ascii="georgia" w:hAnsi="georgia"/>
          <w:b/>
          <w:color w:val="000000"/>
          <w:sz w:val="24"/>
        </w:rPr>
        <w:t xml:space="preserve">3. Asymmetric Civilizational Advantage</w:t>
      </w:r>
      <w:bookmarkEnd w:id="99"/>
    </w:p>
    <w:p>
      <w:pPr>
        <w:spacing w:line="360" w:after="210" w:lineRule="auto"/>
      </w:pPr>
      <w:r>
        <w:rPr>
          <w:rFonts w:eastAsia="georgia" w:cs="georgia" w:ascii="georgia" w:hAnsi="georgia"/>
          <w:color w:val="000000"/>
        </w:rPr>
        <w:t xml:space="preserve">Both the First Memory (Puritans vs. Greys) and OMNICELLULAR (access equity) create scenarios where differential access to OAL systems produces irreversible civilizational divergence. The ethics of allowing this divergence, and the ethics of preventing it by restricting access, are both live questions that the Accords framework must resolve.[^1]</w:t>
      </w:r>
    </w:p>
    <w:p>
      <w:pPr>
        <w:spacing w:line="360" w:before="315" w:after="105" w:lineRule="auto"/>
        <w:ind w:left="-30"/>
        <w:jc w:val="left"/>
      </w:pPr>
      <w:bookmarkStart w:id="100" w:name="bm_4_testing_methodology_and_part_c9bbd7"/>
      <w:r>
        <w:rPr>
          <w:rFonts w:eastAsia="georgia" w:cs="georgia" w:ascii="georgia" w:hAnsi="georgia"/>
          <w:b/>
          <w:color w:val="000000"/>
          <w:sz w:val="24"/>
        </w:rPr>
        <w:t xml:space="preserve">4. Testing Methodology and Participant Protection</w:t>
      </w:r>
      <w:bookmarkEnd w:id="100"/>
    </w:p>
    <w:p>
      <w:pPr>
        <w:spacing w:line="360" w:after="210" w:lineRule="auto"/>
      </w:pPr>
      <w:r>
        <w:rPr>
          <w:rFonts w:eastAsia="georgia" w:cs="georgia" w:ascii="georgia" w:hAnsi="georgia"/>
          <w:color w:val="000000"/>
        </w:rPr>
        <w:t xml:space="preserve">The 4,712 extinction attempt record is only ethically defensible if the documentation of testing methodology is rigorous: Method 1 (simulation), Method 2 (documented uncontrolled conditions), and Method 3 (controlled trials with qualified participants) must be clearly distinguished in all records. No standard baseline human subject may be exposed to severe or above conditions. Healing factor participant definitions must be established before Method 3 protocols at Moderate severity or above can be ethically cleared.[^1]</w:t>
      </w:r>
    </w:p>
    <w:p>
      <w:pPr>
        <w:spacing w:line="360" w:before="315" w:after="105" w:lineRule="auto"/>
        <w:ind w:left="-30"/>
        <w:jc w:val="left"/>
      </w:pPr>
      <w:bookmarkStart w:id="101" w:name="bm_5_ip_and_canon_contamination_risk"/>
      <w:r>
        <w:rPr>
          <w:rFonts w:eastAsia="georgia" w:cs="georgia" w:ascii="georgia" w:hAnsi="georgia"/>
          <w:b/>
          <w:color w:val="000000"/>
          <w:sz w:val="24"/>
        </w:rPr>
        <w:t xml:space="preserve">5. IP and Canon Contamination Risk</w:t>
      </w:r>
      <w:bookmarkEnd w:id="101"/>
    </w:p>
    <w:p>
      <w:pPr>
        <w:spacing w:line="360" w:after="210" w:lineRule="auto"/>
      </w:pPr>
      <w:r>
        <w:rPr>
          <w:rFonts w:eastAsia="georgia" w:cs="georgia" w:ascii="georgia" w:hAnsi="georgia"/>
          <w:color w:val="000000"/>
        </w:rPr>
        <w:t xml:space="preserve">T2-008 (Hermione Granger) and T2-008a (Avatar Kuruk) involve actively managed third-party IP. The Gemini reliability floor (all Gemini treaty text labeled DRAFT—PENDING REVIEW and audited by Claude) must be consistently enforced. IP counsel review is required before any publication involving copyrighted characters.[^1]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2" w:name="cross_portfolio_red_team_register"/>
      <w:r>
        <w:rPr>
          <w:rFonts w:eastAsia="georgia" w:cs="georgia" w:ascii="georgia" w:hAnsi="georgia"/>
          <w:b/>
          <w:color w:val="000000"/>
          <w:sz w:val="24"/>
        </w:rPr>
        <w:t xml:space="preserve">CROSS-PORTFOLIO RED TEAM REGISTER</w:t>
      </w:r>
      <w:bookmarkEnd w:id="1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Affected Entries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Mitigation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Model Undefined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T1-001, T1-006, T1-007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 — Architect decision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Switching Paradox Undefined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 — Architect decision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Abundance Set Scope Undefined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T1-006, T1-007, T2-019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Scribd document pending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NCOIN Functional Gap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 — one-sentence Architect input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Midnight Lotus Origin Conflict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T2-006, T2-017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Gemini framing ready for ratification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Memory Tier 1 Narrative Blockers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T1-002, T2-012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CRITICAL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 items open — Architect voice dump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Simulation Fidelity Paradox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T1-004, T1-006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Three-method approach is documented 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IP Risk (Hermione/Kuruk)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Legal counsel required before publication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 Floor Test vs. Economic Incentives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Design anticipation required — no current 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Nullarch Superior Undeveloped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Development sequenced after other characters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Unmaker Development Hold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T2-015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Hold in place per Architect direction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SLIAP No Enforcement Mechanism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Framework development session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Gemini Reliability Floor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T1-003, all treaty 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Workflow patch in place — consistency enforcement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Post-Scarcity Enforcement Gap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T1-003, T1-010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 design problem — acknowledged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implementation_status_summary"/>
      <w:r>
        <w:rPr>
          <w:rFonts w:eastAsia="georgia" w:cs="georgia" w:ascii="georgia" w:hAnsi="georgia"/>
          <w:b/>
          <w:color w:val="000000"/>
          <w:sz w:val="24"/>
        </w:rPr>
        <w:t xml:space="preserve">IMPLEMENTATION STATUS SUMMARY</w:t>
      </w:r>
      <w:bookmarkEnd w:id="103"/>
    </w:p>
    <w:p>
      <w:pPr>
        <w:spacing w:line="360" w:before="315" w:after="105" w:lineRule="auto"/>
        <w:ind w:left="-30"/>
        <w:jc w:val="left"/>
      </w:pPr>
      <w:bookmarkStart w:id="104" w:name="immediately_actionable_no_archite_c9c0a0"/>
      <w:r>
        <w:rPr>
          <w:rFonts w:eastAsia="georgia" w:cs="georgia" w:ascii="georgia" w:hAnsi="georgia"/>
          <w:b/>
          <w:color w:val="000000"/>
          <w:sz w:val="24"/>
        </w:rPr>
        <w:t xml:space="preserve">Immediately Actionable (No Architect Input Required)</w:t>
      </w:r>
      <w:bookmarkEnd w:id="104"/>
    </w:p>
    <w:p>
      <w:pPr>
        <w:numPr>
          <w:ilvl w:val="0"/>
          <w:numId w:val="53"/>
        </w:numPr>
        <w:spacing w:line="360" w:before="105" w:after="105" w:lineRule="auto"/>
      </w:pPr>
      <w:r>
        <w:rPr>
          <w:rFonts w:eastAsia="georgia" w:cs="georgia" w:ascii="georgia" w:hAnsi="georgia"/>
          <w:color w:val="000000"/>
          <w:sz w:val="21"/>
        </w:rPr>
        <w:t xml:space="preserve">T1-004 QIFTF: NSF NQNI inquiry (2026 open cycle)[^6]</w:t>
      </w:r>
    </w:p>
    <w:p>
      <w:pPr>
        <w:numPr>
          <w:ilvl w:val="0"/>
          <w:numId w:val="53"/>
        </w:numPr>
        <w:spacing w:line="360" w:before="105" w:after="105" w:lineRule="auto"/>
      </w:pPr>
      <w:r>
        <w:rPr>
          <w:rFonts w:eastAsia="georgia" w:cs="georgia" w:ascii="georgia" w:hAnsi="georgia"/>
          <w:color w:val="000000"/>
          <w:sz w:val="21"/>
        </w:rPr>
        <w:t xml:space="preserve">T1-001 OMNICELLULAR: DARPA BTO BAA HR001126S0003 rolling submission through September 30, 2026[^4]</w:t>
      </w:r>
    </w:p>
    <w:p>
      <w:pPr>
        <w:numPr>
          <w:ilvl w:val="0"/>
          <w:numId w:val="53"/>
        </w:numPr>
        <w:spacing w:line="360" w:before="105" w:after="105" w:lineRule="auto"/>
      </w:pPr>
      <w:r>
        <w:rPr>
          <w:rFonts w:eastAsia="georgia" w:cs="georgia" w:ascii="georgia" w:hAnsi="georgia"/>
          <w:color w:val="000000"/>
          <w:sz w:val="21"/>
        </w:rPr>
        <w:t xml:space="preserve">T1-005 MVES: DoD wearable sensor SBIR (Army) structural adjacency[^30]</w:t>
      </w:r>
    </w:p>
    <w:p>
      <w:pPr>
        <w:numPr>
          <w:ilvl w:val="0"/>
          <w:numId w:val="53"/>
        </w:numPr>
        <w:spacing w:line="360" w:before="105" w:after="105" w:lineRule="auto"/>
      </w:pPr>
      <w:r>
        <w:rPr>
          <w:rFonts w:eastAsia="georgia" w:cs="georgia" w:ascii="georgia" w:hAnsi="georgia"/>
          <w:color w:val="000000"/>
          <w:sz w:val="21"/>
        </w:rPr>
        <w:t xml:space="preserve">T2-008: Route to IP counsel for Hermione/Kuruk audit — no further development until cleared</w:t>
      </w:r>
    </w:p>
    <w:p>
      <w:pPr>
        <w:numPr>
          <w:ilvl w:val="0"/>
          <w:numId w:val="53"/>
        </w:numPr>
        <w:spacing w:line="360" w:before="105" w:after="105" w:lineRule="auto"/>
      </w:pPr>
      <w:r>
        <w:rPr>
          <w:rFonts w:eastAsia="georgia" w:cs="georgia" w:ascii="georgia" w:hAnsi="georgia"/>
          <w:color w:val="000000"/>
          <w:sz w:val="21"/>
        </w:rPr>
        <w:t xml:space="preserve">T2-019 Abundance Set: Share Scribd document with team immediately</w:t>
      </w:r>
    </w:p>
    <w:p>
      <w:pPr>
        <w:spacing w:line="360" w:before="315" w:after="105" w:lineRule="auto"/>
        <w:ind w:left="-30"/>
        <w:jc w:val="left"/>
      </w:pPr>
      <w:bookmarkStart w:id="105" w:name="blocked_on_architect_input_voice_7d74d1"/>
      <w:r>
        <w:rPr>
          <w:rFonts w:eastAsia="georgia" w:cs="georgia" w:ascii="georgia" w:hAnsi="georgia"/>
          <w:b/>
          <w:color w:val="000000"/>
          <w:sz w:val="24"/>
        </w:rPr>
        <w:t xml:space="preserve">Blocked on Architect Input (Voice Dump Required)</w:t>
      </w:r>
      <w:bookmarkEnd w:id="105"/>
    </w:p>
    <w:p>
      <w:pPr>
        <w:numPr>
          <w:ilvl w:val="0"/>
          <w:numId w:val="54"/>
        </w:numPr>
        <w:spacing w:line="360" w:before="105" w:after="105" w:lineRule="auto"/>
      </w:pPr>
      <w:r>
        <w:rPr>
          <w:rFonts w:eastAsia="georgia" w:cs="georgia" w:ascii="georgia" w:hAnsi="georgia"/>
          <w:color w:val="000000"/>
          <w:sz w:val="21"/>
        </w:rPr>
        <w:t xml:space="preserve">T1-003 Accords V2.0: Switching paradox definition</w:t>
      </w:r>
    </w:p>
    <w:p>
      <w:pPr>
        <w:numPr>
          <w:ilvl w:val="0"/>
          <w:numId w:val="54"/>
        </w:numPr>
        <w:spacing w:line="360" w:before="105" w:after="105" w:lineRule="auto"/>
      </w:pPr>
      <w:r>
        <w:rPr>
          <w:rFonts w:eastAsia="georgia" w:cs="georgia" w:ascii="georgia" w:hAnsi="georgia"/>
          <w:color w:val="000000"/>
          <w:sz w:val="21"/>
        </w:rPr>
        <w:t xml:space="preserve">T1-001 OMNICELLULAR v2: Failure model phenotype</w:t>
      </w:r>
    </w:p>
    <w:p>
      <w:pPr>
        <w:numPr>
          <w:ilvl w:val="0"/>
          <w:numId w:val="54"/>
        </w:numPr>
        <w:spacing w:line="360" w:before="105" w:after="105" w:lineRule="auto"/>
      </w:pPr>
      <w:r>
        <w:rPr>
          <w:rFonts w:eastAsia="georgia" w:cs="georgia" w:ascii="georgia" w:hAnsi="georgia"/>
          <w:color w:val="000000"/>
          <w:sz w:val="21"/>
        </w:rPr>
        <w:t xml:space="preserve">T1-002 First Memory: Four Tier 1 narrative blockers</w:t>
      </w:r>
    </w:p>
    <w:p>
      <w:pPr>
        <w:numPr>
          <w:ilvl w:val="0"/>
          <w:numId w:val="54"/>
        </w:numPr>
        <w:spacing w:line="360" w:before="105" w:after="105" w:lineRule="auto"/>
      </w:pPr>
      <w:r>
        <w:rPr>
          <w:rFonts w:eastAsia="georgia" w:cs="georgia" w:ascii="georgia" w:hAnsi="georgia"/>
          <w:color w:val="000000"/>
          <w:sz w:val="21"/>
        </w:rPr>
        <w:t xml:space="preserve">T1-010 Currency System: NCOIN directional sentence</w:t>
      </w:r>
    </w:p>
    <w:p>
      <w:pPr>
        <w:numPr>
          <w:ilvl w:val="0"/>
          <w:numId w:val="54"/>
        </w:numPr>
        <w:spacing w:line="360" w:before="105" w:after="105" w:lineRule="auto"/>
      </w:pPr>
      <w:r>
        <w:rPr>
          <w:rFonts w:eastAsia="georgia" w:cs="georgia" w:ascii="georgia" w:hAnsi="georgia"/>
          <w:color w:val="000000"/>
          <w:sz w:val="21"/>
        </w:rPr>
        <w:t xml:space="preserve">T2-006 Four Flowers: Count confirmation and Midnight Lotus ratification</w:t>
      </w:r>
    </w:p>
    <w:p>
      <w:pPr>
        <w:spacing w:line="360" w:before="315" w:after="105" w:lineRule="auto"/>
        <w:ind w:left="-30"/>
        <w:jc w:val="left"/>
      </w:pPr>
      <w:bookmarkStart w:id="106" w:name="ratified_and_ready_for_application"/>
      <w:r>
        <w:rPr>
          <w:rFonts w:eastAsia="georgia" w:cs="georgia" w:ascii="georgia" w:hAnsi="georgia"/>
          <w:b/>
          <w:color w:val="000000"/>
          <w:sz w:val="24"/>
        </w:rPr>
        <w:t xml:space="preserve">Ratified and Ready for Application</w:t>
      </w:r>
      <w:bookmarkEnd w:id="106"/>
    </w:p>
    <w:p>
      <w:pPr>
        <w:numPr>
          <w:ilvl w:val="0"/>
          <w:numId w:val="55"/>
        </w:numPr>
        <w:spacing w:line="360" w:before="105" w:after="105" w:lineRule="auto"/>
      </w:pPr>
      <w:r>
        <w:rPr>
          <w:rFonts w:eastAsia="georgia" w:cs="georgia" w:ascii="georgia" w:hAnsi="georgia"/>
          <w:color w:val="000000"/>
          <w:sz w:val="21"/>
        </w:rPr>
        <w:t xml:space="preserve">T1-006 Conditional Failure at the Root Level — ONESTAMPED</w:t>
      </w:r>
    </w:p>
    <w:p>
      <w:pPr>
        <w:numPr>
          <w:ilvl w:val="0"/>
          <w:numId w:val="55"/>
        </w:numPr>
        <w:spacing w:line="360" w:before="105" w:after="105" w:lineRule="auto"/>
      </w:pPr>
      <w:r>
        <w:rPr>
          <w:rFonts w:eastAsia="georgia" w:cs="georgia" w:ascii="georgia" w:hAnsi="georgia"/>
          <w:color w:val="000000"/>
          <w:sz w:val="21"/>
        </w:rPr>
        <w:t xml:space="preserve">T1-007 Paragon Cubes — ONESTAMPED (conflict resolution protocol pending)</w:t>
      </w:r>
    </w:p>
    <w:p>
      <w:pPr>
        <w:numPr>
          <w:ilvl w:val="0"/>
          <w:numId w:val="55"/>
        </w:numPr>
        <w:spacing w:line="360" w:before="105" w:after="105" w:lineRule="auto"/>
      </w:pPr>
      <w:r>
        <w:rPr>
          <w:rFonts w:eastAsia="georgia" w:cs="georgia" w:ascii="georgia" w:hAnsi="georgia"/>
          <w:color w:val="000000"/>
          <w:sz w:val="21"/>
        </w:rPr>
        <w:t xml:space="preserve">T1-008 Nail Prototypes — ONESTAMPED</w:t>
      </w:r>
    </w:p>
    <w:p>
      <w:pPr>
        <w:numPr>
          <w:ilvl w:val="0"/>
          <w:numId w:val="55"/>
        </w:numPr>
        <w:spacing w:line="360" w:before="105" w:after="105" w:lineRule="auto"/>
      </w:pPr>
      <w:r>
        <w:rPr>
          <w:rFonts w:eastAsia="georgia" w:cs="georgia" w:ascii="georgia" w:hAnsi="georgia"/>
          <w:color w:val="000000"/>
          <w:sz w:val="21"/>
        </w:rPr>
        <w:t xml:space="preserve">T2-014 Nullarch — Canon locked</w:t>
      </w:r>
    </w:p>
    <w:p>
      <w:pPr>
        <w:numPr>
          <w:ilvl w:val="0"/>
          <w:numId w:val="55"/>
        </w:numPr>
        <w:spacing w:line="360" w:before="105" w:after="105" w:lineRule="auto"/>
      </w:pPr>
      <w:r>
        <w:rPr>
          <w:rFonts w:eastAsia="georgia" w:cs="georgia" w:ascii="georgia" w:hAnsi="georgia"/>
          <w:color w:val="000000"/>
          <w:sz w:val="21"/>
        </w:rPr>
        <w:t xml:space="preserve">T2-016 Bestowals and Endowments — Hard locked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OAL-MASTER-FRAMEWORK-002 v2.0 | April 15, 2026</w:t>
      </w:r>
      <w:r>
        <w:rPr>
          <w:rFonts w:eastAsia="georgia" w:cs="georgia" w:ascii="georgia" w:hAnsi="georgia"/>
          <w:color w:val="000000"/>
        </w:rPr>
        <w:br w:type="textWrapping"/>
      </w:r>
      <w:r>
        <w:rPr>
          <w:rFonts w:eastAsia="georgia" w:cs="georgia" w:ascii="georgia" w:hAnsi="georgia"/>
          <w:i/>
          <w:color w:val="000000"/>
        </w:rPr>
        <w:t xml:space="preserve">PENDING ARCHITECT REVIEW, ELECTRONIC SIGNATURE, AND ONESTAMP</w:t>
      </w:r>
      <w:r>
        <w:rPr>
          <w:rFonts w:eastAsia="georgia" w:cs="georgia" w:ascii="georgia" w:hAnsi="georgia"/>
          <w:color w:val="000000"/>
        </w:rPr>
        <w:br w:type="textWrapping"/>
      </w:r>
      <w:r>
        <w:rPr>
          <w:rFonts w:eastAsia="georgia" w:cs="georgia" w:ascii="georgia" w:hAnsi="georgia"/>
          <w:i/>
          <w:color w:val="000000"/>
        </w:rPr>
        <w:t xml:space="preserve">Nathan Lewis II — Architect of Record | Omniversal Architect Labs | Lewis Corp | ONE Industries</w:t>
      </w:r>
      <w:r>
        <w:rPr>
          <w:rFonts w:eastAsia="georgia" w:cs="georgia" w:ascii="georgia" w:hAnsi="georgia"/>
          <w:color w:val="000000"/>
        </w:rPr>
        <w:br w:type="textWrapping"/>
      </w:r>
      <w:r>
        <w:rPr>
          <w:rFonts w:eastAsia="georgia" w:cs="georgia" w:ascii="georgia" w:hAnsi="georgia"/>
          <w:i/>
          <w:color w:val="000000"/>
        </w:rPr>
        <w:t xml:space="preserve">Prepared by Perplexity AI representing the full OAL Multi-AI Development Team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references"/>
      <w:r>
        <w:rPr>
          <w:rFonts w:eastAsia="georgia" w:cs="georgia" w:ascii="georgia" w:hAnsi="georgia"/>
          <w:b/>
          <w:color w:val="000000"/>
          <w:sz w:val="24"/>
        </w:rPr>
        <w:t xml:space="preserve">References</w:t>
      </w:r>
      <w:bookmarkEnd w:id="107"/>
    </w:p>
    <w:p>
      <w:pPr>
        <w:numPr>
          <w:ilvl w:val="0"/>
          <w:numId w:val="56"/>
        </w:numPr>
        <w:spacing w:line="360" w:after="210" w:lineRule="auto"/>
      </w:pPr>
      <w:hyperlink r:id="rId5">
        <w:r>
          <w:rPr>
            <w:rFonts w:eastAsia="helvetica neue" w:cs="helvetica neue" w:ascii="helvetica neue" w:hAnsi="helvetica neue"/>
            <w:color w:val="#000"/>
            <w:sz w:val="21"/>
            <w:u w:val="single"/>
          </w:rPr>
          <w:t xml:space="preserve">OAL_Master_Portfolio_v1_0.docx</w:t>
        </w:r>
      </w:hyperlink>
    </w:p>
    <w:p>
      <w:pPr>
        <w:numPr>
          <w:ilvl w:val="0"/>
          <w:numId w:val="56"/>
        </w:numPr>
        <w:spacing w:line="360" w:after="210" w:lineRule="auto"/>
      </w:pPr>
      <w:hyperlink r:id="rId6">
        <w:r>
          <w:rPr>
            <w:rFonts w:eastAsia="helvetica neue" w:cs="helvetica neue" w:ascii="helvetica neue" w:hAnsi="helvetica neue"/>
            <w:color w:val="#000"/>
            <w:sz w:val="21"/>
            <w:u w:val="single"/>
          </w:rPr>
          <w:t xml:space="preserve">Principles for the design of multicellular engineered living systems</w:t>
        </w:r>
      </w:hyperlink>
      <w:r>
        <w:rPr>
          <w:rFonts w:eastAsia="georgia" w:cs="georgia" w:ascii="georgia" w:hAnsi="georgia"/>
          <w:color w:val="000000"/>
          <w:sz w:val="21"/>
        </w:rPr>
        <w:t xml:space="preserve"> - Remarkable progress in bioengineering over the past two decades has enabled the formulation of funda...</w:t>
      </w:r>
    </w:p>
    <w:p>
      <w:pPr>
        <w:numPr>
          <w:ilvl w:val="0"/>
          <w:numId w:val="56"/>
        </w:numPr>
        <w:spacing w:line="360" w:after="210" w:lineRule="auto"/>
      </w:pPr>
      <w:hyperlink r:id="rId7">
        <w:r>
          <w:rPr>
            <w:rFonts w:eastAsia="helvetica neue" w:cs="helvetica neue" w:ascii="helvetica neue" w:hAnsi="helvetica neue"/>
            <w:color w:val="#000"/>
            <w:sz w:val="21"/>
            <w:u w:val="single"/>
          </w:rPr>
          <w:t xml:space="preserve">Open problems in synthetic multicellularity</w:t>
        </w:r>
      </w:hyperlink>
      <w:r>
        <w:rPr>
          <w:rFonts w:eastAsia="georgia" w:cs="georgia" w:ascii="georgia" w:hAnsi="georgia"/>
          <w:color w:val="000000"/>
          <w:sz w:val="21"/>
        </w:rPr>
        <w:t xml:space="preserve"> - Multicellularity is one of the major evolutionary transitions, and its rise provided the ingredients...</w:t>
      </w:r>
    </w:p>
    <w:p>
      <w:pPr>
        <w:numPr>
          <w:ilvl w:val="0"/>
          <w:numId w:val="56"/>
        </w:numPr>
        <w:spacing w:line="360" w:after="210" w:lineRule="auto"/>
      </w:pPr>
      <w:hyperlink r:id="rId8">
        <w:r>
          <w:rPr>
            <w:rFonts w:eastAsia="helvetica neue" w:cs="helvetica neue" w:ascii="helvetica neue" w:hAnsi="helvetica neue"/>
            <w:color w:val="#000"/>
            <w:sz w:val="21"/>
            <w:u w:val="single"/>
          </w:rPr>
          <w:t xml:space="preserve">DARPA's Biological Technologies Office Broad Agency ...</w:t>
        </w:r>
      </w:hyperlink>
      <w:r>
        <w:rPr>
          <w:rFonts w:eastAsia="georgia" w:cs="georgia" w:ascii="georgia" w:hAnsi="georgia"/>
          <w:color w:val="000000"/>
          <w:sz w:val="21"/>
        </w:rPr>
        <w:t xml:space="preserve"> - DARPA BTO Broad Agency Announcement 10.25 The Defense Advanced Research Projects Agency (DARPA), thr...</w:t>
      </w:r>
    </w:p>
    <w:p>
      <w:pPr>
        <w:numPr>
          <w:ilvl w:val="0"/>
          <w:numId w:val="56"/>
        </w:numPr>
        <w:spacing w:line="360" w:after="210" w:lineRule="auto"/>
      </w:pPr>
      <w:hyperlink r:id="rId9">
        <w:r>
          <w:rPr>
            <w:rFonts w:eastAsia="helvetica neue" w:cs="helvetica neue" w:ascii="helvetica neue" w:hAnsi="helvetica neue"/>
            <w:color w:val="#000"/>
            <w:sz w:val="21"/>
            <w:u w:val="single"/>
          </w:rPr>
          <w:t xml:space="preserve">DARPA Biological Technologies Office (BTO) Broad Agency ...</w:t>
        </w:r>
      </w:hyperlink>
      <w:r>
        <w:rPr>
          <w:rFonts w:eastAsia="georgia" w:cs="georgia" w:ascii="georgia" w:hAnsi="georgia"/>
          <w:color w:val="000000"/>
          <w:sz w:val="21"/>
        </w:rPr>
        <w:t xml:space="preserve"> - DARPA Biological Technologies Office (BTO) Broad Agency Announcement: Varies by program; typically $...</w:t>
      </w:r>
    </w:p>
    <w:p>
      <w:pPr>
        <w:numPr>
          <w:ilvl w:val="0"/>
          <w:numId w:val="56"/>
        </w:numPr>
        <w:spacing w:line="360" w:after="210" w:lineRule="auto"/>
      </w:pPr>
      <w:hyperlink r:id="rId10">
        <w:r>
          <w:rPr>
            <w:rFonts w:eastAsia="helvetica neue" w:cs="helvetica neue" w:ascii="helvetica neue" w:hAnsi="helvetica neue"/>
            <w:color w:val="#000"/>
            <w:sz w:val="21"/>
            <w:u w:val="single"/>
          </w:rPr>
          <w:t xml:space="preserve">NSF launches $100M National Quantum and Nanotechnology ...</w:t>
        </w:r>
      </w:hyperlink>
      <w:r>
        <w:rPr>
          <w:rFonts w:eastAsia="georgia" w:cs="georgia" w:ascii="georgia" w:hAnsi="georgia"/>
          <w:color w:val="000000"/>
          <w:sz w:val="21"/>
        </w:rPr>
        <w:t xml:space="preserve"> - Letters of Intent are required and due March 16, 2026. For more information, contact </w:t>
      </w:r>
      <w:hyperlink r:id="rId11">
        <w:r>
          <w:rPr>
            <w:rFonts w:eastAsia="helvetica neue" w:cs="helvetica neue" w:ascii="helvetica neue" w:hAnsi="helvetica neue"/>
            <w:color w:val="#000"/>
            <w:sz w:val="21"/>
            <w:u w:val="single"/>
          </w:rPr>
          <w:t xml:space="preserve">NQNI@nsf.gov</w:t>
        </w:r>
      </w:hyperlink>
      <w:r>
        <w:rPr>
          <w:rFonts w:eastAsia="georgia" w:cs="georgia" w:ascii="georgia" w:hAnsi="georgia"/>
          <w:color w:val="000000"/>
          <w:sz w:val="21"/>
        </w:rPr>
        <w:t xml:space="preserve">. L...</w:t>
      </w:r>
    </w:p>
    <w:p>
      <w:pPr>
        <w:numPr>
          <w:ilvl w:val="0"/>
          <w:numId w:val="56"/>
        </w:numPr>
        <w:spacing w:line="360" w:after="210" w:lineRule="auto"/>
      </w:pPr>
      <w:hyperlink r:id="rId12">
        <w:r>
          <w:rPr>
            <w:rFonts w:eastAsia="helvetica neue" w:cs="helvetica neue" w:ascii="helvetica neue" w:hAnsi="helvetica neue"/>
            <w:color w:val="#000"/>
            <w:sz w:val="21"/>
            <w:u w:val="single"/>
          </w:rPr>
          <w:t xml:space="preserve">Biological Technologies Office - DARPA</w:t>
        </w:r>
      </w:hyperlink>
      <w:r>
        <w:rPr>
          <w:rFonts w:eastAsia="georgia" w:cs="georgia" w:ascii="georgia" w:hAnsi="georgia"/>
          <w:color w:val="000000"/>
          <w:sz w:val="21"/>
        </w:rPr>
        <w:t xml:space="preserve"> - We leverage biological properties and processes to protect U.S. warfighters, including biodefense, m...</w:t>
      </w:r>
    </w:p>
    <w:p>
      <w:pPr>
        <w:numPr>
          <w:ilvl w:val="0"/>
          <w:numId w:val="56"/>
        </w:numPr>
        <w:spacing w:line="360" w:after="210" w:lineRule="auto"/>
      </w:pPr>
      <w:hyperlink r:id="rId13">
        <w:r>
          <w:rPr>
            <w:rFonts w:eastAsia="helvetica neue" w:cs="helvetica neue" w:ascii="helvetica neue" w:hAnsi="helvetica neue"/>
            <w:color w:val="#000"/>
            <w:sz w:val="21"/>
            <w:u w:val="single"/>
          </w:rPr>
          <w:t xml:space="preserve">AI is Now Designing Life: Who Governs Synthetic Biology? - LinkedIn</w:t>
        </w:r>
      </w:hyperlink>
      <w:r>
        <w:rPr>
          <w:rFonts w:eastAsia="georgia" w:cs="georgia" w:ascii="georgia" w:hAnsi="georgia"/>
          <w:color w:val="000000"/>
          <w:sz w:val="21"/>
        </w:rPr>
        <w:t xml:space="preserve"> - This article proposes a Global AI-Biology Governance Charter—a multilateral framework ensuring safe,...</w:t>
      </w:r>
    </w:p>
    <w:p>
      <w:pPr>
        <w:numPr>
          <w:ilvl w:val="0"/>
          <w:numId w:val="56"/>
        </w:numPr>
        <w:spacing w:line="360" w:after="210" w:lineRule="auto"/>
      </w:pPr>
      <w:hyperlink r:id="rId14">
        <w:r>
          <w:rPr>
            <w:rFonts w:eastAsia="helvetica neue" w:cs="helvetica neue" w:ascii="helvetica neue" w:hAnsi="helvetica neue"/>
            <w:color w:val="#000"/>
            <w:sz w:val="21"/>
            <w:u w:val="single"/>
          </w:rPr>
          <w:t xml:space="preserve">Governing the AI–biotech convergence - PMC</w:t>
        </w:r>
      </w:hyperlink>
      <w:r>
        <w:rPr>
          <w:rFonts w:eastAsia="georgia" w:cs="georgia" w:ascii="georgia" w:hAnsi="georgia"/>
          <w:color w:val="000000"/>
          <w:sz w:val="21"/>
        </w:rPr>
        <w:t xml:space="preserve"> - The convergence of artificial intelligence with biotechnology accelerates innovation but also introd...</w:t>
      </w:r>
    </w:p>
    <w:p>
      <w:pPr>
        <w:numPr>
          <w:ilvl w:val="0"/>
          <w:numId w:val="56"/>
        </w:numPr>
        <w:spacing w:line="360" w:after="210" w:lineRule="auto"/>
      </w:pPr>
      <w:hyperlink r:id="rId15">
        <w:r>
          <w:rPr>
            <w:rFonts w:eastAsia="helvetica neue" w:cs="helvetica neue" w:ascii="helvetica neue" w:hAnsi="helvetica neue"/>
            <w:color w:val="#000"/>
            <w:sz w:val="21"/>
            <w:u w:val="single"/>
          </w:rPr>
          <w:t xml:space="preserve">Improving Governance in the Age of Synthetic Biology, Artificial ...</w:t>
        </w:r>
      </w:hyperlink>
      <w:r>
        <w:rPr>
          <w:rFonts w:eastAsia="georgia" w:cs="georgia" w:ascii="georgia" w:hAnsi="georgia"/>
          <w:color w:val="000000"/>
          <w:sz w:val="21"/>
        </w:rPr>
        <w:t xml:space="preserve"> - Our key proposal includes a multifaceted and integrative approach involving four sequential, iterati...</w:t>
      </w:r>
    </w:p>
    <w:p>
      <w:pPr>
        <w:numPr>
          <w:ilvl w:val="0"/>
          <w:numId w:val="56"/>
        </w:numPr>
        <w:spacing w:line="360" w:after="210" w:lineRule="auto"/>
      </w:pPr>
      <w:hyperlink r:id="rId16">
        <w:r>
          <w:rPr>
            <w:rFonts w:eastAsia="helvetica neue" w:cs="helvetica neue" w:ascii="helvetica neue" w:hAnsi="helvetica neue"/>
            <w:color w:val="#000"/>
            <w:sz w:val="21"/>
            <w:u w:val="single"/>
          </w:rPr>
          <w:t xml:space="preserve">Synthetic Development: building mammalian multicellular structures ...</w:t>
        </w:r>
      </w:hyperlink>
      <w:r>
        <w:rPr>
          <w:rFonts w:eastAsia="georgia" w:cs="georgia" w:ascii="georgia" w:hAnsi="georgia"/>
          <w:color w:val="000000"/>
          <w:sz w:val="21"/>
        </w:rPr>
        <w:t xml:space="preserve"> - Synthetic biology efforts began in simple single-cell systems, which were relatively easy to manipul...</w:t>
      </w:r>
    </w:p>
    <w:p>
      <w:pPr>
        <w:numPr>
          <w:ilvl w:val="0"/>
          <w:numId w:val="56"/>
        </w:numPr>
        <w:spacing w:line="360" w:after="210" w:lineRule="auto"/>
      </w:pPr>
      <w:hyperlink r:id="rId17">
        <w:r>
          <w:rPr>
            <w:rFonts w:eastAsia="helvetica neue" w:cs="helvetica neue" w:ascii="helvetica neue" w:hAnsi="helvetica neue"/>
            <w:color w:val="#000"/>
            <w:sz w:val="21"/>
            <w:u w:val="single"/>
          </w:rPr>
          <w:t xml:space="preserve">Breakthrough study shows how brain-to-computer 'electroceuticals ...</w:t>
        </w:r>
      </w:hyperlink>
      <w:r>
        <w:rPr>
          <w:rFonts w:eastAsia="georgia" w:cs="georgia" w:ascii="georgia" w:hAnsi="georgia"/>
          <w:color w:val="000000"/>
          <w:sz w:val="21"/>
        </w:rPr>
        <w:t xml:space="preserve"> - Using a brain-computer interface to amplify ongoing electrical impulses in this network, the study f...</w:t>
      </w:r>
    </w:p>
    <w:p>
      <w:pPr>
        <w:numPr>
          <w:ilvl w:val="0"/>
          <w:numId w:val="56"/>
        </w:numPr>
        <w:spacing w:line="360" w:after="210" w:lineRule="auto"/>
      </w:pPr>
      <w:hyperlink r:id="rId18">
        <w:r>
          <w:rPr>
            <w:rFonts w:eastAsia="helvetica neue" w:cs="helvetica neue" w:ascii="helvetica neue" w:hAnsi="helvetica neue"/>
            <w:color w:val="#000"/>
            <w:sz w:val="21"/>
            <w:u w:val="single"/>
          </w:rPr>
          <w:t xml:space="preserve">Brain-computer interface study wins 2025 Top Ten Clinical ...</w:t>
        </w:r>
      </w:hyperlink>
      <w:r>
        <w:rPr>
          <w:rFonts w:eastAsia="georgia" w:cs="georgia" w:ascii="georgia" w:hAnsi="georgia"/>
          <w:color w:val="000000"/>
          <w:sz w:val="21"/>
        </w:rPr>
        <w:t xml:space="preserve"> - Neurosurgeon David Brandman and his team at UC Davis Neuroprosthetics Lab were selected for a 2025 T...</w:t>
      </w:r>
    </w:p>
    <w:p>
      <w:pPr>
        <w:numPr>
          <w:ilvl w:val="0"/>
          <w:numId w:val="56"/>
        </w:numPr>
        <w:spacing w:line="360" w:after="210" w:lineRule="auto"/>
      </w:pPr>
      <w:hyperlink r:id="rId19">
        <w:r>
          <w:rPr>
            <w:rFonts w:eastAsia="helvetica neue" w:cs="helvetica neue" w:ascii="helvetica neue" w:hAnsi="helvetica neue"/>
            <w:color w:val="#000"/>
            <w:sz w:val="21"/>
            <w:u w:val="single"/>
          </w:rPr>
          <w:t xml:space="preserve">Unlocking the Brain's Filing Cabinet - USC Viterbi</w:t>
        </w:r>
      </w:hyperlink>
      <w:r>
        <w:rPr>
          <w:rFonts w:eastAsia="georgia" w:cs="georgia" w:ascii="georgia" w:hAnsi="georgia"/>
          <w:color w:val="000000"/>
          <w:sz w:val="21"/>
        </w:rPr>
        <w:t xml:space="preserve"> - The work solves a fundamental neuroscience debate and offers exciting potential for future brain-com...</w:t>
      </w:r>
    </w:p>
    <w:p>
      <w:pPr>
        <w:numPr>
          <w:ilvl w:val="0"/>
          <w:numId w:val="56"/>
        </w:numPr>
        <w:spacing w:line="360" w:after="210" w:lineRule="auto"/>
      </w:pPr>
      <w:hyperlink r:id="rId20">
        <w:r>
          <w:rPr>
            <w:rFonts w:eastAsia="helvetica neue" w:cs="helvetica neue" w:ascii="helvetica neue" w:hAnsi="helvetica neue"/>
            <w:color w:val="#000"/>
            <w:sz w:val="21"/>
            <w:u w:val="single"/>
          </w:rPr>
          <w:t xml:space="preserve">The Fed - “Harvest Now Decrypt Later”: Examining Post-Quantum ...</w:t>
        </w:r>
      </w:hyperlink>
      <w:r>
        <w:rPr>
          <w:rFonts w:eastAsia="georgia" w:cs="georgia" w:ascii="georgia" w:hAnsi="georgia"/>
          <w:color w:val="000000"/>
          <w:sz w:val="21"/>
        </w:rPr>
        <w:t xml:space="preserve"> - The Federal Reserve Board of Governors in Washington DC.</w:t>
      </w:r>
    </w:p>
    <w:p>
      <w:pPr>
        <w:numPr>
          <w:ilvl w:val="0"/>
          <w:numId w:val="56"/>
        </w:numPr>
        <w:spacing w:line="360" w:after="210" w:lineRule="auto"/>
      </w:pPr>
      <w:hyperlink r:id="rId21">
        <w:r>
          <w:rPr>
            <w:rFonts w:eastAsia="helvetica neue" w:cs="helvetica neue" w:ascii="helvetica neue" w:hAnsi="helvetica neue"/>
            <w:color w:val="#000"/>
            <w:sz w:val="21"/>
            <w:u w:val="single"/>
          </w:rPr>
          <w:t xml:space="preserve">Building Crypto-Agility Against Harvest Now, Decrypt Later' Threats</w:t>
        </w:r>
      </w:hyperlink>
      <w:r>
        <w:rPr>
          <w:rFonts w:eastAsia="georgia" w:cs="georgia" w:ascii="georgia" w:hAnsi="georgia"/>
          <w:color w:val="000000"/>
          <w:sz w:val="21"/>
        </w:rPr>
        <w:t xml:space="preserve"> - The threat from Cryptographically Relevant Quantum Computers (CRQCs) has evolved from a distant hypo...</w:t>
      </w:r>
    </w:p>
    <w:p>
      <w:pPr>
        <w:numPr>
          <w:ilvl w:val="0"/>
          <w:numId w:val="56"/>
        </w:numPr>
        <w:spacing w:line="360" w:after="210" w:lineRule="auto"/>
      </w:pPr>
      <w:hyperlink r:id="rId22">
        <w:r>
          <w:rPr>
            <w:rFonts w:eastAsia="helvetica neue" w:cs="helvetica neue" w:ascii="helvetica neue" w:hAnsi="helvetica neue"/>
            <w:color w:val="#000"/>
            <w:sz w:val="21"/>
            <w:u w:val="single"/>
          </w:rPr>
          <w:t xml:space="preserve">[PDF] Building Crypto-Agility Against Harvest Now, Decrypt Later' Threats</w:t>
        </w:r>
      </w:hyperlink>
    </w:p>
    <w:p>
      <w:pPr>
        <w:numPr>
          <w:ilvl w:val="0"/>
          <w:numId w:val="56"/>
        </w:numPr>
        <w:spacing w:line="360" w:after="210" w:lineRule="auto"/>
      </w:pPr>
      <w:hyperlink r:id="rId23">
        <w:r>
          <w:rPr>
            <w:rFonts w:eastAsia="helvetica neue" w:cs="helvetica neue" w:ascii="helvetica neue" w:hAnsi="helvetica neue"/>
            <w:color w:val="#000"/>
            <w:sz w:val="21"/>
            <w:u w:val="single"/>
          </w:rPr>
          <w:t xml:space="preserve">Framework for Anticipatory Governance of Emerging Technologies</w:t>
        </w:r>
      </w:hyperlink>
      <w:r>
        <w:rPr>
          <w:rFonts w:eastAsia="georgia" w:cs="georgia" w:ascii="georgia" w:hAnsi="georgia"/>
          <w:color w:val="000000"/>
          <w:sz w:val="21"/>
        </w:rPr>
        <w:t xml:space="preserve"> - Its “anticipatory technology governance” approach consists of five interdependent elements and assoc...</w:t>
      </w:r>
    </w:p>
    <w:p>
      <w:pPr>
        <w:numPr>
          <w:ilvl w:val="0"/>
          <w:numId w:val="56"/>
        </w:numPr>
        <w:spacing w:line="360" w:after="210" w:lineRule="auto"/>
      </w:pPr>
      <w:hyperlink r:id="rId24">
        <w:r>
          <w:rPr>
            <w:rFonts w:eastAsia="helvetica neue" w:cs="helvetica neue" w:ascii="helvetica neue" w:hAnsi="helvetica neue"/>
            <w:color w:val="#000"/>
            <w:sz w:val="21"/>
            <w:u w:val="single"/>
          </w:rPr>
          <w:t xml:space="preserve">Biotechnologies and the Treaty Gap: Why Biological Weapons ...</w:t>
        </w:r>
      </w:hyperlink>
      <w:r>
        <w:rPr>
          <w:rFonts w:eastAsia="georgia" w:cs="georgia" w:ascii="georgia" w:hAnsi="georgia"/>
          <w:color w:val="000000"/>
          <w:sz w:val="21"/>
        </w:rPr>
        <w:t xml:space="preserve"> - Gene editing, synthetic biology, novel biotechnologies, automated biomanufacturing, AI-enabled desig...</w:t>
      </w:r>
    </w:p>
    <w:p>
      <w:pPr>
        <w:numPr>
          <w:ilvl w:val="0"/>
          <w:numId w:val="56"/>
        </w:numPr>
        <w:spacing w:line="360" w:after="210" w:lineRule="auto"/>
      </w:pPr>
      <w:hyperlink r:id="rId25">
        <w:r>
          <w:rPr>
            <w:rFonts w:eastAsia="helvetica neue" w:cs="helvetica neue" w:ascii="helvetica neue" w:hAnsi="helvetica neue"/>
            <w:color w:val="#000"/>
            <w:sz w:val="21"/>
            <w:u w:val="single"/>
          </w:rPr>
          <w:t xml:space="preserve">Do You Know Where You're Going To*,If You Don't Have GPS?- Part 2</w:t>
        </w:r>
      </w:hyperlink>
      <w:r>
        <w:rPr>
          <w:rFonts w:eastAsia="georgia" w:cs="georgia" w:ascii="georgia" w:hAnsi="georgia"/>
          <w:color w:val="000000"/>
          <w:sz w:val="21"/>
        </w:rPr>
        <w:t xml:space="preserve"> - GPS is improving, but threats remain. Quantum sensor-based PNT is an attractive solution in GPS-deni...</w:t>
      </w:r>
    </w:p>
    <w:p>
      <w:pPr>
        <w:numPr>
          <w:ilvl w:val="0"/>
          <w:numId w:val="56"/>
        </w:numPr>
        <w:spacing w:line="360" w:after="210" w:lineRule="auto"/>
      </w:pPr>
      <w:hyperlink r:id="rId26">
        <w:r>
          <w:rPr>
            <w:rFonts w:eastAsia="helvetica neue" w:cs="helvetica neue" w:ascii="helvetica neue" w:hAnsi="helvetica neue"/>
            <w:color w:val="#000"/>
            <w:sz w:val="21"/>
            <w:u w:val="single"/>
          </w:rPr>
          <w:t xml:space="preserve">Safran Federal Systems selected by DARPA for Robust Quantum Sensor development</w:t>
        </w:r>
      </w:hyperlink>
      <w:r>
        <w:rPr>
          <w:rFonts w:eastAsia="georgia" w:cs="georgia" w:ascii="georgia" w:hAnsi="georgia"/>
          <w:color w:val="000000"/>
          <w:sz w:val="21"/>
        </w:rPr>
        <w:t xml:space="preserve"> - Safran Federal Systems selected by DARPA for Robust Quantum Sensor development. Safran Federal Syste...</w:t>
      </w:r>
    </w:p>
    <w:p>
      <w:pPr>
        <w:numPr>
          <w:ilvl w:val="0"/>
          <w:numId w:val="56"/>
        </w:numPr>
        <w:spacing w:line="360" w:after="210" w:lineRule="auto"/>
      </w:pPr>
      <w:hyperlink r:id="rId27">
        <w:r>
          <w:rPr>
            <w:rFonts w:eastAsia="helvetica neue" w:cs="helvetica neue" w:ascii="helvetica neue" w:hAnsi="helvetica neue"/>
            <w:color w:val="#000"/>
            <w:sz w:val="21"/>
            <w:u w:val="single"/>
          </w:rPr>
          <w:t xml:space="preserve">National Quantum and Nanotechnology Infrastructure (NQNI) - NSF</w:t>
        </w:r>
      </w:hyperlink>
      <w:r>
        <w:rPr>
          <w:rFonts w:eastAsia="georgia" w:cs="georgia" w:ascii="georgia" w:hAnsi="georgia"/>
          <w:color w:val="000000"/>
          <w:sz w:val="21"/>
        </w:rPr>
        <w:t xml:space="preserve"> - On July 10, 2025, NSF issued an Important Notice providing updates to the agency's research security...</w:t>
      </w:r>
    </w:p>
    <w:p>
      <w:pPr>
        <w:numPr>
          <w:ilvl w:val="0"/>
          <w:numId w:val="56"/>
        </w:numPr>
        <w:spacing w:line="360" w:after="210" w:lineRule="auto"/>
      </w:pPr>
      <w:hyperlink r:id="rId28">
        <w:r>
          <w:rPr>
            <w:rFonts w:eastAsia="helvetica neue" w:cs="helvetica neue" w:ascii="helvetica neue" w:hAnsi="helvetica neue"/>
            <w:color w:val="#000"/>
            <w:sz w:val="21"/>
            <w:u w:val="single"/>
          </w:rPr>
          <w:t xml:space="preserve">National Quantum and Nanotechnology Infrastructure (NQNI) | NSF</w:t>
        </w:r>
      </w:hyperlink>
      <w:r>
        <w:rPr>
          <w:rFonts w:eastAsia="georgia" w:cs="georgia" w:ascii="georgia" w:hAnsi="georgia"/>
          <w:color w:val="000000"/>
          <w:sz w:val="21"/>
        </w:rPr>
        <w:t xml:space="preserve"> - " The workshop report, Workshop on Quantum Engineering Infrastructure II (2025, NSF award 2405015), ...</w:t>
      </w:r>
    </w:p>
    <w:p>
      <w:pPr>
        <w:numPr>
          <w:ilvl w:val="0"/>
          <w:numId w:val="56"/>
        </w:numPr>
        <w:spacing w:line="360" w:after="210" w:lineRule="auto"/>
      </w:pPr>
      <w:hyperlink r:id="rId29">
        <w:r>
          <w:rPr>
            <w:rFonts w:eastAsia="helvetica neue" w:cs="helvetica neue" w:ascii="helvetica neue" w:hAnsi="helvetica neue"/>
            <w:color w:val="#000"/>
            <w:sz w:val="21"/>
            <w:u w:val="single"/>
          </w:rPr>
          <w:t xml:space="preserve">Keeping U.S. scientific research and innovation on the cutting edge</w:t>
        </w:r>
      </w:hyperlink>
      <w:r>
        <w:rPr>
          <w:rFonts w:eastAsia="georgia" w:cs="georgia" w:ascii="georgia" w:hAnsi="georgia"/>
          <w:color w:val="000000"/>
          <w:sz w:val="21"/>
        </w:rPr>
        <w:t xml:space="preserve"> - NSF investments in 2025 focused on critical technology areas such as artificial intelligence, quantu...</w:t>
      </w:r>
    </w:p>
    <w:p>
      <w:pPr>
        <w:numPr>
          <w:ilvl w:val="0"/>
          <w:numId w:val="56"/>
        </w:numPr>
        <w:spacing w:line="360" w:after="210" w:lineRule="auto"/>
      </w:pPr>
      <w:hyperlink r:id="rId30">
        <w:r>
          <w:rPr>
            <w:rFonts w:eastAsia="helvetica neue" w:cs="helvetica neue" w:ascii="helvetica neue" w:hAnsi="helvetica neue"/>
            <w:color w:val="#000"/>
            <w:sz w:val="21"/>
            <w:u w:val="single"/>
          </w:rPr>
          <w:t xml:space="preserve">Quantum sensor development for PNT awarded to Safran by DARPA</w:t>
        </w:r>
      </w:hyperlink>
      <w:r>
        <w:rPr>
          <w:rFonts w:eastAsia="georgia" w:cs="georgia" w:ascii="georgia" w:hAnsi="georgia"/>
          <w:color w:val="000000"/>
          <w:sz w:val="21"/>
        </w:rPr>
        <w:t xml:space="preserve"> - ROCHESTER, New York. Safran Federal Systems won a contract from the Defense Advanced Research Projec...</w:t>
      </w:r>
    </w:p>
    <w:p>
      <w:pPr>
        <w:numPr>
          <w:ilvl w:val="0"/>
          <w:numId w:val="56"/>
        </w:numPr>
        <w:spacing w:line="360" w:after="210" w:lineRule="auto"/>
      </w:pPr>
      <w:hyperlink r:id="rId31">
        <w:r>
          <w:rPr>
            <w:rFonts w:eastAsia="helvetica neue" w:cs="helvetica neue" w:ascii="helvetica neue" w:hAnsi="helvetica neue"/>
            <w:color w:val="#000"/>
            <w:sz w:val="21"/>
            <w:u w:val="single"/>
          </w:rPr>
          <w:t xml:space="preserve">Safran Federal Systems selected by DARPA for Robust Quantum ...</w:t>
        </w:r>
      </w:hyperlink>
      <w:r>
        <w:rPr>
          <w:rFonts w:eastAsia="georgia" w:cs="georgia" w:ascii="georgia" w:hAnsi="georgia"/>
          <w:color w:val="000000"/>
          <w:sz w:val="21"/>
        </w:rPr>
        <w:t xml:space="preserve"> - Safran Federal Systems has been awarded a contract from the Defense Advanced Research Projects Agenc...</w:t>
      </w:r>
    </w:p>
    <w:p>
      <w:pPr>
        <w:numPr>
          <w:ilvl w:val="0"/>
          <w:numId w:val="56"/>
        </w:numPr>
        <w:spacing w:line="360" w:after="210" w:lineRule="auto"/>
      </w:pPr>
      <w:hyperlink r:id="rId32">
        <w:r>
          <w:rPr>
            <w:rFonts w:eastAsia="helvetica neue" w:cs="helvetica neue" w:ascii="helvetica neue" w:hAnsi="helvetica neue"/>
            <w:color w:val="#000"/>
            <w:sz w:val="21"/>
            <w:u w:val="single"/>
          </w:rPr>
          <w:t xml:space="preserve">Ukraine Unveils Revolutionary Acoustic Sensors for Artillery ...</w:t>
        </w:r>
      </w:hyperlink>
      <w:r>
        <w:rPr>
          <w:rFonts w:eastAsia="georgia" w:cs="georgia" w:ascii="georgia" w:hAnsi="georgia"/>
          <w:color w:val="000000"/>
          <w:sz w:val="21"/>
        </w:rPr>
        <w:t xml:space="preserve"> - In a significant technological leap, Ukraine has introduced state-of-the-art acoustic sensor systems...</w:t>
      </w:r>
    </w:p>
    <w:p>
      <w:pPr>
        <w:numPr>
          <w:ilvl w:val="0"/>
          <w:numId w:val="56"/>
        </w:numPr>
        <w:spacing w:line="360" w:after="210" w:lineRule="auto"/>
      </w:pPr>
      <w:hyperlink r:id="rId33">
        <w:r>
          <w:rPr>
            <w:rFonts w:eastAsia="helvetica neue" w:cs="helvetica neue" w:ascii="helvetica neue" w:hAnsi="helvetica neue"/>
            <w:color w:val="#000"/>
            <w:sz w:val="21"/>
            <w:u w:val="single"/>
          </w:rPr>
          <w:t xml:space="preserve">For the first time, Army sensors can detect aircraft damage as it occurs</w:t>
        </w:r>
      </w:hyperlink>
      <w:r>
        <w:rPr>
          <w:rFonts w:eastAsia="georgia" w:cs="georgia" w:ascii="georgia" w:hAnsi="georgia"/>
          <w:color w:val="000000"/>
          <w:sz w:val="21"/>
        </w:rPr>
        <w:t xml:space="preserve"> - -- For the first time ever, a team of researchers successfully developed and tested networked acoust...</w:t>
      </w:r>
    </w:p>
    <w:p>
      <w:pPr>
        <w:numPr>
          <w:ilvl w:val="0"/>
          <w:numId w:val="56"/>
        </w:numPr>
        <w:spacing w:line="360" w:after="210" w:lineRule="auto"/>
      </w:pPr>
      <w:hyperlink r:id="rId34">
        <w:r>
          <w:rPr>
            <w:rFonts w:eastAsia="helvetica neue" w:cs="helvetica neue" w:ascii="helvetica neue" w:hAnsi="helvetica neue"/>
            <w:color w:val="#000"/>
            <w:sz w:val="21"/>
            <w:u w:val="single"/>
          </w:rPr>
          <w:t xml:space="preserve">Distributed acoustic sensing (DAS) can play an important ...</w:t>
        </w:r>
      </w:hyperlink>
      <w:r>
        <w:rPr>
          <w:rFonts w:eastAsia="georgia" w:cs="georgia" w:ascii="georgia" w:hAnsi="georgia"/>
          <w:color w:val="000000"/>
          <w:sz w:val="21"/>
        </w:rPr>
        <w:t xml:space="preserve"> - Rapid advancements in distributed acoustic sensing (DAS) technology have led to its widespread adopt...</w:t>
      </w:r>
    </w:p>
    <w:p>
      <w:pPr>
        <w:numPr>
          <w:ilvl w:val="0"/>
          <w:numId w:val="56"/>
        </w:numPr>
        <w:spacing w:line="360" w:after="210" w:lineRule="auto"/>
      </w:pPr>
      <w:hyperlink r:id="rId35">
        <w:r>
          <w:rPr>
            <w:rFonts w:eastAsia="helvetica neue" w:cs="helvetica neue" w:ascii="helvetica neue" w:hAnsi="helvetica neue"/>
            <w:color w:val="#000"/>
            <w:sz w:val="21"/>
            <w:u w:val="single"/>
          </w:rPr>
          <w:t xml:space="preserve">Wearable Sensors to Monitor Environmental and Occupational Impacts to Brain Health</w:t>
        </w:r>
      </w:hyperlink>
    </w:p>
    <w:p>
      <w:pPr>
        <w:numPr>
          <w:ilvl w:val="0"/>
          <w:numId w:val="56"/>
        </w:numPr>
        <w:spacing w:line="360" w:after="210" w:lineRule="auto"/>
      </w:pPr>
      <w:hyperlink r:id="rId36">
        <w:r>
          <w:rPr>
            <w:rFonts w:eastAsia="helvetica neue" w:cs="helvetica neue" w:ascii="helvetica neue" w:hAnsi="helvetica neue"/>
            <w:color w:val="#000"/>
            <w:sz w:val="21"/>
            <w:u w:val="single"/>
          </w:rPr>
          <w:t xml:space="preserve">Potential of Remote Laser Vibration Sensing for Military ...</w:t>
        </w:r>
      </w:hyperlink>
    </w:p>
    <w:p>
      <w:pPr>
        <w:numPr>
          <w:ilvl w:val="0"/>
          <w:numId w:val="56"/>
        </w:numPr>
        <w:spacing w:line="360" w:after="210" w:lineRule="auto"/>
      </w:pPr>
      <w:hyperlink r:id="rId37">
        <w:r>
          <w:rPr>
            <w:rFonts w:eastAsia="helvetica neue" w:cs="helvetica neue" w:ascii="helvetica neue" w:hAnsi="helvetica neue"/>
            <w:color w:val="#000"/>
            <w:sz w:val="21"/>
            <w:u w:val="single"/>
          </w:rPr>
          <w:t xml:space="preserve">Intellectual Property Rights and Entrepreneurship in the NFT ... - arXiv</w:t>
        </w:r>
      </w:hyperlink>
      <w:r>
        <w:rPr>
          <w:rFonts w:eastAsia="georgia" w:cs="georgia" w:ascii="georgia" w:hAnsi="georgia"/>
          <w:color w:val="000000"/>
          <w:sz w:val="21"/>
        </w:rPr>
        <w:t xml:space="preserve"> - This research looks at the gap between traditional copyright laws and blockchain-based transactions....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d447674e-104c-4a67-8c13-3750fbef5c0d/OAL_Master_Portfolio_v1_0.docx?AWSAccessKeyId=ASIA2F3EMEYE6M76IDGE&amp;Signature=3Pb86q5tDkFbBotFzqnG1V33pJ4%3D&amp;x-amz-security-token=IQoJb3JpZ2luX2VjEN3%2F%2F%2F%2F%2F%2F%2F%2F%2F%2FwEaCXVzLWVhc3QtMSJIMEYCIQCJEOV%2BNWui5nlv%2FMcP4VUYrT%2FEmLQfvuHlFA44Ei5oewIhAIZ6sr6Gj2a9X8q%2Brq90mqhIaj8kQynI6jr8OOf49sSrKvwECKb%2F%2F%2F%2F%2F%2F%2F%2F%2F%2FwEQARoMNjk5NzUzMzA5NzA1Igw4pNlrchgTx2%2BRcjYq0ASjX8R4bx0klLULx%2Bc%2FxR7I79ztP2jzYfwL%2Fwwn6bjz4u5PGyLakzljtAOQZDLKQPyw0bctJ8ecK8jcQPM6zFFDIWgUeMecQEQqY6Pm16YT9z9G9nYLHDnbdnLZYB81QuizYmmN%2BKm%2FIvoV3OLEZZyrIArUIu%2F9BKGpdv0pYKRW%2FLGeXA5pgNB7WT6H7eekPhyP1zIYuxZ3ng5ngvTxfHS6evMNNDlZe4H6EZQKF1KxKstP7qb%2Fgt9PwrcV24MPei1Rl8WpQJdYfm7MqZAKF5%2Fa0FC4RDIrKB1%2FuoUafuiZG4qpw4dtyE%2B9CGdCfc9aap5BPWyx5MR3DPuYUT8nF5cINXrtapM0DWvfrGb0e1hX8hymIQqE%2B0hmiF1i51dwQh6R0l27WpvEIdybf9d%2FhmseNx0iLEm%2Fz9F27gPukqffAaLFO1AKnSf6TJ8eHAshB8AKT3jRY4Fkv7weUq5VOrWDYM4CAzOxJzuMd3QD35I0vbppXNFg%2BEFQBEv7TCp2jNrikA5U17p7s18WPnG1ZN%2BKr8E2PLxSlByiFSsr9imOn9s3GLtMtk3L%2BlJ67PlKLCNivKO5UMiJFfIEgPNkWWDv1iFMjxan84psBo5yZ7veNvvf7RuqSBtPPhHyzkvSYQXgBdz9Q7HW3WYn3dYIj50tZ18I3RWxnN%2FlIC3kXIiQsFNw%2BnqDuBZ20KfAjG1AXnUb5WvuBFYbAvPlO9Ogv93D2c4wy%2FElkCBjC8oBFr3La%2BBFM8Z%2F1qQY517L5n7kYReVei9HeTMtkWpG4tpX9IdPMO6T%2Fs4GOpcBZcyuGJ7r%2FeI21cM9YfA1Tm%2BLr%2FTVW2EczVWtHWwhAEX7MRioOrL4Cdd6Y5skEHWYL9IogbDc%2BZfjp1sDkTMe6iuGWaPIGuGUdHSCh8iiSwZxmdvd1yBuhiNqblGUc4MSrLpSMr%2BkRr9NI14%2BWEo8QyBhfFj0oO0ufpcrxrUJmjAXMydOvq3Mye2eAKkq8cNvgmVrKTpK%2Fg%3D%3D&amp;Expires=1776261057" TargetMode="External"/><Relationship Id="rId6" Type="http://schemas.openxmlformats.org/officeDocument/2006/relationships/hyperlink" Target="https://pubs.aip.org/aip/apb/article/6/1/010903/2820325/Principles-for-the-design-of-multicellular" TargetMode="External"/><Relationship Id="rId7" Type="http://schemas.openxmlformats.org/officeDocument/2006/relationships/hyperlink" Target="https://www.nature.com/articles/s41540-024-00477-8" TargetMode="External"/><Relationship Id="rId8" Type="http://schemas.openxmlformats.org/officeDocument/2006/relationships/hyperlink" Target="https://everglade.com/darpas-biological-technologies-office-broad-agency-announcement/" TargetMode="External"/><Relationship Id="rId9" Type="http://schemas.openxmlformats.org/officeDocument/2006/relationships/hyperlink" Target="https://grantedai.com/grants/darpa-biological-technologies-office-bto-broad-agency-announcement-defense-advanced-research-projects-agenc-cb9113a8" TargetMode="External"/><Relationship Id="rId10" Type="http://schemas.openxmlformats.org/officeDocument/2006/relationships/hyperlink" Target="https://www.nsf.gov/news/nsf-launches-100m-national-quantum-nanotechnology-research" TargetMode="External"/><Relationship Id="rId11" Type="http://schemas.openxmlformats.org/officeDocument/2006/relationships/hyperlink" Target="mailto:NQNI@nsf.gov" TargetMode="External"/><Relationship Id="rId12" Type="http://schemas.openxmlformats.org/officeDocument/2006/relationships/hyperlink" Target="https://www.darpa.mil/about/offices/bto" TargetMode="External"/><Relationship Id="rId13" Type="http://schemas.openxmlformats.org/officeDocument/2006/relationships/hyperlink" Target="https://www.linkedin.com/pulse/ai-accelerated-evolution-governance-edge-synthetic-life-timothy-kang-kepkc" TargetMode="External"/><Relationship Id="rId14" Type="http://schemas.openxmlformats.org/officeDocument/2006/relationships/hyperlink" Target="https://pmc.ncbi.nlm.nih.gov/articles/PMC12852783/" TargetMode="External"/><Relationship Id="rId15" Type="http://schemas.openxmlformats.org/officeDocument/2006/relationships/hyperlink" Target="https://www.frontiersin.org/journals/bioengineering-and-biotechnology/articles/10.3389/fbioe.2026.1705143/full" TargetMode="External"/><Relationship Id="rId16" Type="http://schemas.openxmlformats.org/officeDocument/2006/relationships/hyperlink" Target="https://pmc.ncbi.nlm.nih.gov/articles/PMC6778502/" TargetMode="External"/><Relationship Id="rId17" Type="http://schemas.openxmlformats.org/officeDocument/2006/relationships/hyperlink" Target="https://engineering.vanderbilt.edu/2025/06/10/breakthrough-study-shows-how-brain-to-computer-electroceuticals-can-help-restore-cognition/" TargetMode="External"/><Relationship Id="rId18" Type="http://schemas.openxmlformats.org/officeDocument/2006/relationships/hyperlink" Target="https://health.ucdavis.edu/news/headlines/brain-computer-interface-study-wins-2025-top-ten-clinical-research-achievement-award-/2025/02" TargetMode="External"/><Relationship Id="rId19" Type="http://schemas.openxmlformats.org/officeDocument/2006/relationships/hyperlink" Target="https://viterbischool.usc.edu/news/2025/07/unlocking-the-brains-filing-cabinet/" TargetMode="External"/><Relationship Id="rId20" Type="http://schemas.openxmlformats.org/officeDocument/2006/relationships/hyperlink" Target="https://www.federalreserve.gov/econres/feds/harvest-now-decrypt-later-examining-post-quantum-cryptography-and-the-data-privacy-risks-for-distributed-ledger-networks.htm" TargetMode="External"/><Relationship Id="rId21" Type="http://schemas.openxmlformats.org/officeDocument/2006/relationships/hyperlink" Target="https://eajournals.org/ejcsit/vol13-issue52-2025/the-quantum-security-deadline-building-crypto-agility-against-harvest-now-decrypt-later-threats/" TargetMode="External"/><Relationship Id="rId22" Type="http://schemas.openxmlformats.org/officeDocument/2006/relationships/hyperlink" Target="https://eajournals.org/ejcsit/wp-content/uploads/sites/21/2025/10/The-Quantum-Security-Deadline.pdf" TargetMode="External"/><Relationship Id="rId23" Type="http://schemas.openxmlformats.org/officeDocument/2006/relationships/hyperlink" Target="https://www.oecd.org/en/publications/2024/04/framework-for-anticipatory-governance-of-emerging-technologies_14bf0402.html" TargetMode="External"/><Relationship Id="rId24" Type="http://schemas.openxmlformats.org/officeDocument/2006/relationships/hyperlink" Target="https://inss.ndu.edu/Media/News/Article/4363698/biotechnologies-and-the-treaty-gap-why-biological-weapons-governance-is-falling/" TargetMode="External"/><Relationship Id="rId25" Type="http://schemas.openxmlformats.org/officeDocument/2006/relationships/hyperlink" Target="https://www.forbes.com/sites/sabbirrangwala/2025/10/08/do-you-know-where-youre-going-toif-you-dont-have-gpspart-2/" TargetMode="External"/><Relationship Id="rId26" Type="http://schemas.openxmlformats.org/officeDocument/2006/relationships/hyperlink" Target="https://www.morningstar.com/news/pr-newswire/20251002ph88831/safran-federal-systems-selected-by-darpa-for-robust-quantum-sensor-development" TargetMode="External"/><Relationship Id="rId27" Type="http://schemas.openxmlformats.org/officeDocument/2006/relationships/hyperlink" Target="https://www.nsf.gov/funding/opportunities/nqni-national-quantum-nanotechnology-infrastructure" TargetMode="External"/><Relationship Id="rId28" Type="http://schemas.openxmlformats.org/officeDocument/2006/relationships/hyperlink" Target="https://www.nsf.gov/funding/opportunities/nqni-national-quantum-nanotechnology-infrastructure/nsf26-505/solicitation" TargetMode="External"/><Relationship Id="rId29" Type="http://schemas.openxmlformats.org/officeDocument/2006/relationships/hyperlink" Target="https://www.nsf.gov/science-matters/nsf-2025-keeping-us-scientific-research-innovation-cutting" TargetMode="External"/><Relationship Id="rId30" Type="http://schemas.openxmlformats.org/officeDocument/2006/relationships/hyperlink" Target="https://militaryembedded.com/comms/gps/quantum-sensor-development-for-pnt-awarded-to-safran-by-darpa" TargetMode="External"/><Relationship Id="rId31" Type="http://schemas.openxmlformats.org/officeDocument/2006/relationships/hyperlink" Target="https://www.safranfederalsystems.com/media-and-news/safran-federal-systems-selected-by-darpa-for-robust-quantum-sensor-development" TargetMode="External"/><Relationship Id="rId32" Type="http://schemas.openxmlformats.org/officeDocument/2006/relationships/hyperlink" Target="https://techukraine.org/2025/02/24/ukraine-unveils-revolutionary-acoustic-sensors-for-artillery-detection/" TargetMode="External"/><Relationship Id="rId33" Type="http://schemas.openxmlformats.org/officeDocument/2006/relationships/hyperlink" Target="https://www.army.mil/article/196971/for_the_first_time_army_sensors_can_detect_aircraft_damage_as_it_occurs" TargetMode="External"/><Relationship Id="rId34" Type="http://schemas.openxmlformats.org/officeDocument/2006/relationships/hyperlink" Target="https://defenceweb.co.za/industry/industry-industry/distributed-acoustic-sensing-das-can-play-an-important-role-in-protecting-national-key-points/" TargetMode="External"/><Relationship Id="rId35" Type="http://schemas.openxmlformats.org/officeDocument/2006/relationships/hyperlink" Target="https://www.ll.mit.edu/partner-us/small-business-program/2025/03/wearable-sensors-monitor-environmental-and-occupational" TargetMode="External"/><Relationship Id="rId36" Type="http://schemas.openxmlformats.org/officeDocument/2006/relationships/hyperlink" Target="https://publica-rest.fraunhofer.de/server/api/core/bitstreams/7e0801ef-4c5a-4dec-be41-cceca67f64ba/content" TargetMode="External"/><Relationship Id="rId37" Type="http://schemas.openxmlformats.org/officeDocument/2006/relationships/hyperlink" Target="https://arxiv.org/html/2507.00172v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2026-04-15T13:10:11.781Z</dcterms:created>
  <dcterms:modified xsi:type="dcterms:W3CDTF">2026-04-15T13:10:11.781Z</dcterms:modified>
</cp:coreProperties>
</file>