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88" w:lineRule="auto"/>
      </w:pPr>
      <w:r>
        <w:rPr>
          <w:rFonts w:ascii="Calibri" w:cs="Calibri" w:eastAsia="Calibri" w:hAnsi="Calibri"/>
          <w:b/>
          <w:bCs/>
          <w:i w:val="false"/>
          <w:iCs w:val="false"/>
          <w:strike w:val="false"/>
          <w:color w:val="1A1A1A"/>
          <w:sz w:val="44"/>
          <w:szCs w:val="44"/>
        </w:rPr>
        <w:t xml:space="preserve">OAL-PSIF COPILOT UNIFIED WORKING FRAMEWORK</w:t>
      </w:r>
    </w:p>
    <w:p>
      <w:pPr>
        <w:spacing w:after="320" w:line="360" w:lineRule="auto"/>
      </w:pPr>
      <w:r>
        <w:rPr>
          <w:rFonts w:ascii="Calibri" w:cs="Calibri" w:eastAsia="Calibri" w:hAnsi="Calibri"/>
          <w:b/>
          <w:bCs/>
          <w:i w:val="false"/>
          <w:iCs w:val="false"/>
          <w:strike w:val="false"/>
          <w:color w:val="2B5797"/>
          <w:sz w:val="26"/>
          <w:szCs w:val="26"/>
        </w:rPr>
        <w:t xml:space="preserve">Forward Document for Group Pass — Integrating All Collaborative Contributions</w:t>
      </w:r>
    </w:p>
    <w:p>
      <w:pPr>
        <w:pBdr>
          <w:bottom w:val="single" w:color="000000"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Document ID:</w:t>
            </w:r>
          </w:p>
        </w:tc>
        <w:tc>
          <w:tcPr>
            <w:tcW w:type="pct" w:w="8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OAL-PSIF-COP-UNIFIED-2026-09-04</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Version:</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Date:</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September 4, 2026</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Preparer:</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Microsoft Copilot (Independent Pass)</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Classification:</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Conceptual research and design framework; forward document for group pass</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Status:</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Working draft. Not Architect-locked canon. Not a finding about any specific person, organization, or incident.</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Collaborative Workflow Note:</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This document integrates contributions from: Nathan (OAL, originating prompts), Grok (xAI) discernment template and unified draft v1.1, ChatGPT (GPT-5.6 Sol) independent framework v1.0, Google Gemini pass-through, Microsoft Copilot (prior pass and Independent Pass v1.0/v1.1), and Perplexity AI pass-through. Claude AI remains removed from the workflow; its exchange is preserved in OAL-PSIF-HIST-COPILOT-2026-09-04 as archive-only.</w:t>
            </w:r>
          </w:p>
        </w:tc>
      </w:tr>
    </w:tbl>
    <w:p>
      <w:pPr>
        <w:spacing w:after="200" w:before="0"/>
      </w:pPr>
    </w:p>
    <w:p>
      <w:pPr>
        <w:pBdr>
          <w:bottom w:val="single" w:color="2B5797" w:sz="6"/>
        </w:pBdr>
        <w:spacing w:after="240" w:before="240"/>
      </w:pPr>
    </w:p>
    <w:p>
      <w:pPr>
        <w:pStyle w:val="Heading2"/>
        <w:spacing w:after="120" w:before="360" w:line="312" w:lineRule="auto"/>
      </w:pPr>
      <w:r>
        <w:rPr>
          <w:rFonts w:ascii="Calibri" w:cs="Calibri" w:eastAsia="Calibri" w:hAnsi="Calibri"/>
          <w:color w:val="1A1A1A"/>
          <w:sz w:val="32"/>
          <w:szCs w:val="32"/>
        </w:rPr>
        <w:t xml:space="preserve">Table of Contents</w:t>
      </w:r>
    </w:p>
    <w:p>
      <w:pPr>
        <w:spacing w:after="60" w:before="60" w:line="360" w:lineRule="auto"/>
      </w:pPr>
      <w:r>
        <w:rPr>
          <w:rFonts w:ascii="Calibri" w:cs="Calibri" w:eastAsia="Calibri" w:hAnsi="Calibri"/>
          <w:b/>
          <w:bCs/>
          <w:i w:val="false"/>
          <w:iCs w:val="false"/>
          <w:strike w:val="false"/>
          <w:color w:val="000000"/>
          <w:sz w:val="20"/>
          <w:szCs w:val="20"/>
        </w:rPr>
        <w:t xml:space="preserve">Why This Document Exists</w:t>
      </w:r>
    </w:p>
    <w:p>
      <w:pPr>
        <w:spacing w:after="60" w:before="60" w:line="360" w:lineRule="auto"/>
      </w:pPr>
      <w:r>
        <w:rPr>
          <w:rFonts w:ascii="Calibri" w:cs="Calibri" w:eastAsia="Calibri" w:hAnsi="Calibri"/>
          <w:b/>
          <w:bCs/>
          <w:i w:val="false"/>
          <w:iCs w:val="false"/>
          <w:strike w:val="false"/>
          <w:color w:val="000000"/>
          <w:sz w:val="20"/>
          <w:szCs w:val="20"/>
        </w:rPr>
        <w:t xml:space="preserve">Formal Dissent Record — All Standing Positions</w:t>
      </w:r>
    </w:p>
    <w:p>
      <w:pPr>
        <w:spacing w:after="60" w:before="60" w:line="360" w:lineRule="auto"/>
      </w:pPr>
      <w:r>
        <w:rPr>
          <w:rFonts w:ascii="Calibri" w:cs="Calibri" w:eastAsia="Calibri" w:hAnsi="Calibri"/>
          <w:b w:val="false"/>
          <w:bCs w:val="false"/>
          <w:i w:val="false"/>
          <w:iCs w:val="false"/>
          <w:strike w:val="false"/>
          <w:color w:val="000000"/>
          <w:sz w:val="20"/>
          <w:szCs w:val="20"/>
        </w:rPr>
        <w:t xml:space="preserve">Grok Standing Dissents (D1–D5)</w:t>
      </w:r>
    </w:p>
    <w:p>
      <w:pPr>
        <w:spacing w:after="60" w:before="60" w:line="360" w:lineRule="auto"/>
      </w:pPr>
      <w:r>
        <w:rPr>
          <w:rFonts w:ascii="Calibri" w:cs="Calibri" w:eastAsia="Calibri" w:hAnsi="Calibri"/>
          <w:b w:val="false"/>
          <w:bCs w:val="false"/>
          <w:i w:val="false"/>
          <w:iCs w:val="false"/>
          <w:strike w:val="false"/>
          <w:color w:val="000000"/>
          <w:sz w:val="20"/>
          <w:szCs w:val="20"/>
        </w:rPr>
        <w:t xml:space="preserve">Copilot Standing Dissent (CPD1)</w:t>
      </w:r>
    </w:p>
    <w:p>
      <w:pPr>
        <w:spacing w:after="60" w:before="60" w:line="360" w:lineRule="auto"/>
      </w:pPr>
      <w:r>
        <w:rPr>
          <w:rFonts w:ascii="Calibri" w:cs="Calibri" w:eastAsia="Calibri" w:hAnsi="Calibri"/>
          <w:b w:val="false"/>
          <w:bCs w:val="false"/>
          <w:i w:val="false"/>
          <w:iCs w:val="false"/>
          <w:strike w:val="false"/>
          <w:color w:val="000000"/>
          <w:sz w:val="20"/>
          <w:szCs w:val="20"/>
        </w:rPr>
        <w:t xml:space="preserve">Copilot Standing Positions (CSP1–CSP2)</w:t>
      </w:r>
    </w:p>
    <w:p>
      <w:pPr>
        <w:spacing w:after="60" w:before="60" w:line="360" w:lineRule="auto"/>
      </w:pPr>
      <w:r>
        <w:rPr>
          <w:rFonts w:ascii="Calibri" w:cs="Calibri" w:eastAsia="Calibri" w:hAnsi="Calibri"/>
          <w:b w:val="false"/>
          <w:bCs w:val="false"/>
          <w:i w:val="false"/>
          <w:iCs w:val="false"/>
          <w:strike w:val="false"/>
          <w:color w:val="000000"/>
          <w:sz w:val="20"/>
          <w:szCs w:val="20"/>
        </w:rPr>
        <w:t xml:space="preserve">Open Questions (OQ1–OQ4)</w:t>
      </w:r>
    </w:p>
    <w:p>
      <w:pPr>
        <w:spacing w:after="60" w:before="60" w:line="360" w:lineRule="auto"/>
      </w:pPr>
      <w:r>
        <w:rPr>
          <w:rFonts w:ascii="Calibri" w:cs="Calibri" w:eastAsia="Calibri" w:hAnsi="Calibri"/>
          <w:b/>
          <w:bCs/>
          <w:i w:val="false"/>
          <w:iCs w:val="false"/>
          <w:strike w:val="false"/>
          <w:color w:val="000000"/>
          <w:sz w:val="20"/>
          <w:szCs w:val="20"/>
        </w:rPr>
        <w:t xml:space="preserve">Part I: The Unified Framework</w:t>
      </w:r>
    </w:p>
    <w:p>
      <w:pPr>
        <w:spacing w:after="60" w:before="60" w:line="360" w:lineRule="auto"/>
      </w:pPr>
      <w:r>
        <w:rPr>
          <w:rFonts w:ascii="Calibri" w:cs="Calibri" w:eastAsia="Calibri" w:hAnsi="Calibri"/>
          <w:b w:val="false"/>
          <w:bCs w:val="false"/>
          <w:i w:val="false"/>
          <w:iCs w:val="false"/>
          <w:strike w:val="false"/>
          <w:color w:val="000000"/>
          <w:sz w:val="20"/>
          <w:szCs w:val="20"/>
        </w:rPr>
        <w:t xml:space="preserve">Section 1 — The Outer Frame: Presentation-State Integrity (PSI)</w:t>
      </w:r>
    </w:p>
    <w:p>
      <w:pPr>
        <w:spacing w:after="60" w:before="60" w:line="360" w:lineRule="auto"/>
      </w:pPr>
      <w:r>
        <w:rPr>
          <w:rFonts w:ascii="Calibri" w:cs="Calibri" w:eastAsia="Calibri" w:hAnsi="Calibri"/>
          <w:b w:val="false"/>
          <w:bCs w:val="false"/>
          <w:i w:val="false"/>
          <w:iCs w:val="false"/>
          <w:strike w:val="false"/>
          <w:color w:val="000000"/>
          <w:sz w:val="20"/>
          <w:szCs w:val="20"/>
        </w:rPr>
        <w:t xml:space="preserve">Section 2 — Agreed Terminology: Full Consolidated Glossary</w:t>
      </w:r>
    </w:p>
    <w:p>
      <w:pPr>
        <w:spacing w:after="60" w:before="60" w:line="360" w:lineRule="auto"/>
      </w:pPr>
      <w:r>
        <w:rPr>
          <w:rFonts w:ascii="Calibri" w:cs="Calibri" w:eastAsia="Calibri" w:hAnsi="Calibri"/>
          <w:b w:val="false"/>
          <w:bCs w:val="false"/>
          <w:i w:val="false"/>
          <w:iCs w:val="false"/>
          <w:strike w:val="false"/>
          <w:color w:val="000000"/>
          <w:sz w:val="20"/>
          <w:szCs w:val="20"/>
        </w:rPr>
        <w:t xml:space="preserve">Section 3 — The Five-Layer Environment Model</w:t>
      </w:r>
    </w:p>
    <w:p>
      <w:pPr>
        <w:spacing w:after="60" w:before="60" w:line="360" w:lineRule="auto"/>
      </w:pPr>
      <w:r>
        <w:rPr>
          <w:rFonts w:ascii="Calibri" w:cs="Calibri" w:eastAsia="Calibri" w:hAnsi="Calibri"/>
          <w:b w:val="false"/>
          <w:bCs w:val="false"/>
          <w:i w:val="false"/>
          <w:iCs w:val="false"/>
          <w:strike w:val="false"/>
          <w:color w:val="000000"/>
          <w:sz w:val="20"/>
          <w:szCs w:val="20"/>
        </w:rPr>
        <w:t xml:space="preserve">Section 4 — The SPLD Audit Cycle: Six Phases</w:t>
      </w:r>
    </w:p>
    <w:p>
      <w:pPr>
        <w:spacing w:after="60" w:before="60" w:line="360" w:lineRule="auto"/>
      </w:pPr>
      <w:r>
        <w:rPr>
          <w:rFonts w:ascii="Calibri" w:cs="Calibri" w:eastAsia="Calibri" w:hAnsi="Calibri"/>
          <w:b w:val="false"/>
          <w:bCs w:val="false"/>
          <w:i w:val="false"/>
          <w:iCs w:val="false"/>
          <w:strike w:val="false"/>
          <w:color w:val="000000"/>
          <w:sz w:val="20"/>
          <w:szCs w:val="20"/>
        </w:rPr>
        <w:t xml:space="preserve">Section 5 — The Presentational Inertia Scale: Unified Version</w:t>
      </w:r>
    </w:p>
    <w:p>
      <w:pPr>
        <w:spacing w:after="60" w:before="60" w:line="360" w:lineRule="auto"/>
      </w:pPr>
      <w:r>
        <w:rPr>
          <w:rFonts w:ascii="Calibri" w:cs="Calibri" w:eastAsia="Calibri" w:hAnsi="Calibri"/>
          <w:b w:val="false"/>
          <w:bCs w:val="false"/>
          <w:i w:val="false"/>
          <w:iCs w:val="false"/>
          <w:strike w:val="false"/>
          <w:color w:val="000000"/>
          <w:sz w:val="20"/>
          <w:szCs w:val="20"/>
        </w:rPr>
        <w:t xml:space="preserve">Section 6 — The Corrective Access Test: Unified Version</w:t>
      </w:r>
    </w:p>
    <w:p>
      <w:pPr>
        <w:spacing w:after="60" w:before="60" w:line="360" w:lineRule="auto"/>
      </w:pPr>
      <w:r>
        <w:rPr>
          <w:rFonts w:ascii="Calibri" w:cs="Calibri" w:eastAsia="Calibri" w:hAnsi="Calibri"/>
          <w:b w:val="false"/>
          <w:bCs w:val="false"/>
          <w:i w:val="false"/>
          <w:iCs w:val="false"/>
          <w:strike w:val="false"/>
          <w:color w:val="000000"/>
          <w:sz w:val="20"/>
          <w:szCs w:val="20"/>
        </w:rPr>
        <w:t xml:space="preserve">Section 7 — The Four-Tier Evidence Model: Operational Reference</w:t>
      </w:r>
    </w:p>
    <w:p>
      <w:pPr>
        <w:spacing w:after="60" w:before="60" w:line="360" w:lineRule="auto"/>
      </w:pPr>
      <w:r>
        <w:rPr>
          <w:rFonts w:ascii="Calibri" w:cs="Calibri" w:eastAsia="Calibri" w:hAnsi="Calibri"/>
          <w:b w:val="false"/>
          <w:bCs w:val="false"/>
          <w:i w:val="false"/>
          <w:iCs w:val="false"/>
          <w:strike w:val="false"/>
          <w:color w:val="000000"/>
          <w:sz w:val="20"/>
          <w:szCs w:val="20"/>
        </w:rPr>
        <w:t xml:space="preserve">Section 8 — HUD Design Reference: Operational Template</w:t>
      </w:r>
    </w:p>
    <w:p>
      <w:pPr>
        <w:spacing w:after="60" w:before="60" w:line="360" w:lineRule="auto"/>
      </w:pPr>
      <w:r>
        <w:rPr>
          <w:rFonts w:ascii="Calibri" w:cs="Calibri" w:eastAsia="Calibri" w:hAnsi="Calibri"/>
          <w:b w:val="false"/>
          <w:bCs w:val="false"/>
          <w:i w:val="false"/>
          <w:iCs w:val="false"/>
          <w:strike w:val="false"/>
          <w:color w:val="000000"/>
          <w:sz w:val="20"/>
          <w:szCs w:val="20"/>
        </w:rPr>
        <w:t xml:space="preserve">Section 9 — Application: Virtual and Simulated Environments</w:t>
      </w:r>
    </w:p>
    <w:p>
      <w:pPr>
        <w:spacing w:after="60" w:before="60" w:line="360" w:lineRule="auto"/>
      </w:pPr>
      <w:r>
        <w:rPr>
          <w:rFonts w:ascii="Calibri" w:cs="Calibri" w:eastAsia="Calibri" w:hAnsi="Calibri"/>
          <w:b w:val="false"/>
          <w:bCs w:val="false"/>
          <w:i w:val="false"/>
          <w:iCs w:val="false"/>
          <w:strike w:val="false"/>
          <w:color w:val="000000"/>
          <w:sz w:val="20"/>
          <w:szCs w:val="20"/>
        </w:rPr>
        <w:t xml:space="preserve">Section 10 — Application: Real-World and Hybrid Environments</w:t>
      </w:r>
    </w:p>
    <w:p>
      <w:pPr>
        <w:spacing w:after="60" w:before="60" w:line="360" w:lineRule="auto"/>
      </w:pPr>
      <w:r>
        <w:rPr>
          <w:rFonts w:ascii="Calibri" w:cs="Calibri" w:eastAsia="Calibri" w:hAnsi="Calibri"/>
          <w:b w:val="false"/>
          <w:bCs w:val="false"/>
          <w:i w:val="false"/>
          <w:iCs w:val="false"/>
          <w:strike w:val="false"/>
          <w:color w:val="000000"/>
          <w:sz w:val="20"/>
          <w:szCs w:val="20"/>
        </w:rPr>
        <w:t xml:space="preserve">Section 11 — Failure Modes and Safeguards</w:t>
      </w:r>
    </w:p>
    <w:p>
      <w:pPr>
        <w:spacing w:after="60" w:before="60" w:line="360" w:lineRule="auto"/>
      </w:pPr>
      <w:r>
        <w:rPr>
          <w:rFonts w:ascii="Calibri" w:cs="Calibri" w:eastAsia="Calibri" w:hAnsi="Calibri"/>
          <w:b w:val="false"/>
          <w:bCs w:val="false"/>
          <w:i w:val="false"/>
          <w:iCs w:val="false"/>
          <w:strike w:val="false"/>
          <w:color w:val="000000"/>
          <w:sz w:val="20"/>
          <w:szCs w:val="20"/>
        </w:rPr>
        <w:t xml:space="preserve">Section 12 — Research Program: Open Questions and Proposed Studies</w:t>
      </w:r>
    </w:p>
    <w:p>
      <w:pPr>
        <w:spacing w:after="60" w:before="60" w:line="360" w:lineRule="auto"/>
      </w:pPr>
      <w:r>
        <w:rPr>
          <w:rFonts w:ascii="Calibri" w:cs="Calibri" w:eastAsia="Calibri" w:hAnsi="Calibri"/>
          <w:b w:val="false"/>
          <w:bCs w:val="false"/>
          <w:i w:val="false"/>
          <w:iCs w:val="false"/>
          <w:strike w:val="false"/>
          <w:color w:val="000000"/>
          <w:sz w:val="20"/>
          <w:szCs w:val="20"/>
        </w:rPr>
        <w:t xml:space="preserve">Section 13 — Document Inventory: Complete Collaborative Record</w:t>
      </w:r>
    </w:p>
    <w:p>
      <w:pPr>
        <w:spacing w:after="60" w:before="60" w:line="360" w:lineRule="auto"/>
      </w:pPr>
      <w:r>
        <w:rPr>
          <w:rFonts w:ascii="Calibri" w:cs="Calibri" w:eastAsia="Calibri" w:hAnsi="Calibri"/>
          <w:b/>
          <w:bCs/>
          <w:i w:val="false"/>
          <w:iCs w:val="false"/>
          <w:strike w:val="false"/>
          <w:color w:val="000000"/>
          <w:sz w:val="20"/>
          <w:szCs w:val="20"/>
        </w:rPr>
        <w:t xml:space="preserve">Closing Statement</w:t>
      </w:r>
    </w:p>
    <w:p>
      <w:pPr>
        <w:pBdr>
          <w:bottom w:val="single" w:color="000000" w:sz="6"/>
        </w:pBdr>
        <w:spacing w:after="240" w:before="240"/>
      </w:pPr>
    </w:p>
    <w:p>
      <w:pPr>
        <w:spacing w:after="120" w:before="60" w:line="360" w:lineRule="auto"/>
      </w:pPr>
      <w:r>
        <w:rPr>
          <w:rFonts w:ascii="Calibri" w:cs="Calibri" w:eastAsia="Calibri" w:hAnsi="Calibri"/>
          <w:b/>
          <w:bCs/>
          <w:i w:val="false"/>
          <w:iCs w:val="false"/>
          <w:strike w:val="false"/>
          <w:color w:val="FFFFFF"/>
          <w:spacing w:val="12"/>
          <w:sz w:val="16"/>
          <w:szCs w:val="16"/>
          <w:shd w:fill="2B5797" w:color="auto" w:val="clear"/>
        </w:rPr>
        <w:t xml:space="preserve">PREAMBLE</w:t>
      </w:r>
    </w:p>
    <w:p>
      <w:pPr>
        <w:pStyle w:val="Heading2"/>
        <w:spacing w:after="120" w:before="360" w:line="312" w:lineRule="auto"/>
      </w:pPr>
      <w:r>
        <w:rPr>
          <w:rFonts w:ascii="Calibri" w:cs="Calibri" w:eastAsia="Calibri" w:hAnsi="Calibri"/>
          <w:color w:val="1A1A1A"/>
          <w:sz w:val="32"/>
          <w:szCs w:val="32"/>
        </w:rPr>
        <w:t xml:space="preserve">Why This Document Exists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collaborative team has produced a rich set of independent passes. Each contributes genuine terminology, models, and methods. The group now needs a single forward document that: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Establishes the agreed outer frame without relitigating 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Carries forward the agreed terminology from all contributors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Integrates the corrective and inertia frameworks from Copilot passes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Incorporates Grok's structural improvements (falsifiability, single response scale, outer frame)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Records all standing dissents so the group can see where genuine disagreement remains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Provides operational templates the group can actually use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that document.</w:t>
      </w:r>
    </w:p>
    <w:p>
      <w:pPr>
        <w:pBdr>
          <w:bottom w:val="single" w:color="000000" w:sz="6"/>
        </w:pBdr>
        <w:spacing w:after="240" w:before="240"/>
      </w:pPr>
    </w:p>
    <w:p>
      <w:pPr>
        <w:spacing w:after="120" w:before="60" w:line="360" w:lineRule="auto"/>
      </w:pPr>
      <w:r>
        <w:rPr>
          <w:rFonts w:ascii="Calibri" w:cs="Calibri" w:eastAsia="Calibri" w:hAnsi="Calibri"/>
          <w:b/>
          <w:bCs/>
          <w:i w:val="false"/>
          <w:iCs w:val="false"/>
          <w:strike w:val="false"/>
          <w:color w:val="FFFFFF"/>
          <w:spacing w:val="12"/>
          <w:sz w:val="16"/>
          <w:szCs w:val="16"/>
          <w:shd w:fill="8B1A1A" w:color="auto" w:val="clear"/>
        </w:rPr>
        <w:t xml:space="preserve">DISSENT RECORD</w:t>
      </w:r>
    </w:p>
    <w:p>
      <w:pPr>
        <w:pStyle w:val="Heading2"/>
        <w:spacing w:after="120" w:before="360" w:line="312" w:lineRule="auto"/>
      </w:pPr>
      <w:r>
        <w:rPr>
          <w:rFonts w:ascii="Calibri" w:cs="Calibri" w:eastAsia="Calibri" w:hAnsi="Calibri"/>
          <w:color w:val="1A1A1A"/>
          <w:sz w:val="32"/>
          <w:szCs w:val="32"/>
        </w:rPr>
        <w:t xml:space="preserve">Formal Dissent Record — All Standing Positions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records all standing dissent positions from all contributors, consolidated. Future passes may update these. Nothing is smoothed away.</w:t>
      </w:r>
    </w:p>
    <w:p>
      <w:pPr>
        <w:pStyle w:val="Heading3"/>
        <w:spacing w:after="120" w:before="240" w:line="312" w:lineRule="auto"/>
      </w:pPr>
      <w:r>
        <w:rPr>
          <w:rFonts w:ascii="Calibri" w:cs="Calibri" w:eastAsia="Calibri" w:hAnsi="Calibri"/>
          <w:color w:val="1A1A1A"/>
          <w:sz w:val="26"/>
          <w:szCs w:val="26"/>
        </w:rPr>
        <w:t xml:space="preserve">Grok Standing Dissents (from OAL-PSIF-GROK-UNIFIED-2026-09-04)</w:t>
      </w:r>
    </w:p>
    <w:p>
      <w:pPr>
        <w:spacing w:after="120" w:before="60" w:line="360" w:lineRule="auto"/>
      </w:pPr>
      <w:r>
        <w:rPr>
          <w:rFonts w:ascii="Calibri" w:cs="Calibri" w:eastAsia="Calibri" w:hAnsi="Calibri"/>
          <w:b/>
          <w:bCs/>
          <w:i w:val="false"/>
          <w:iCs w:val="false"/>
          <w:strike w:val="false"/>
          <w:color w:val="8B1A1A"/>
          <w:sz w:val="20"/>
          <w:szCs w:val="20"/>
        </w:rPr>
        <w:t xml:space="preserve">D1 — Outer Frame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SPLD is not the master operating condition. PSI (Presentation-State Integrity) is the outer frame; SPLD is a subtype.</w:t>
      </w:r>
    </w:p>
    <w:p>
      <w:pPr>
        <w:spacing w:after="120" w:before="60" w:line="360" w:lineRule="auto"/>
      </w:pPr>
      <w:r>
        <w:rPr>
          <w:rFonts w:ascii="Calibri" w:cs="Calibri" w:eastAsia="Calibri" w:hAnsi="Calibri"/>
          <w:b/>
          <w:bCs/>
          <w:i w:val="false"/>
          <w:iCs w:val="false"/>
          <w:strike w:val="false"/>
          <w:color w:val="1A6B1A"/>
          <w:sz w:val="18"/>
          <w:szCs w:val="18"/>
        </w:rPr>
        <w:t xml:space="preserve">Status in this document: ADOPTED as the governing frame</w:t>
      </w:r>
    </w:p>
    <w:p>
      <w:pPr>
        <w:pBdr>
          <w:bottom w:val="single" w:color="8B1A1A" w:sz="6"/>
        </w:pBdr>
        <w:spacing w:after="240" w:before="240"/>
      </w:pPr>
    </w:p>
    <w:p>
      <w:pPr>
        <w:spacing w:after="120" w:before="60" w:line="360" w:lineRule="auto"/>
      </w:pPr>
      <w:r>
        <w:rPr>
          <w:rFonts w:ascii="Calibri" w:cs="Calibri" w:eastAsia="Calibri" w:hAnsi="Calibri"/>
          <w:b/>
          <w:bCs/>
          <w:i w:val="false"/>
          <w:iCs w:val="false"/>
          <w:strike w:val="false"/>
          <w:color w:val="8B1A1A"/>
          <w:sz w:val="20"/>
          <w:szCs w:val="20"/>
        </w:rPr>
        <w:t xml:space="preserve">D2 — Narrative Sovereignty as Field Language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Use operative record, record persistence, and reframe delta in field and case-file contexts. "Narrative sovereignty" is retained as conceptual vocabulary only.</w:t>
      </w:r>
    </w:p>
    <w:p>
      <w:pPr>
        <w:spacing w:after="120" w:before="60" w:line="360" w:lineRule="auto"/>
      </w:pPr>
      <w:r>
        <w:rPr>
          <w:rFonts w:ascii="Calibri" w:cs="Calibri" w:eastAsia="Calibri" w:hAnsi="Calibri"/>
          <w:b/>
          <w:bCs/>
          <w:i w:val="false"/>
          <w:iCs w:val="false"/>
          <w:strike w:val="false"/>
          <w:color w:val="1A6B1A"/>
          <w:sz w:val="18"/>
          <w:szCs w:val="18"/>
        </w:rPr>
        <w:t xml:space="preserve">Status: ADOPTED for field contexts; conceptual term retained</w:t>
      </w:r>
    </w:p>
    <w:p>
      <w:pPr>
        <w:pBdr>
          <w:bottom w:val="single" w:color="8B1A1A" w:sz="6"/>
        </w:pBdr>
        <w:spacing w:after="240" w:before="240"/>
      </w:pPr>
    </w:p>
    <w:p>
      <w:pPr>
        <w:spacing w:after="120" w:before="60" w:line="360" w:lineRule="auto"/>
      </w:pPr>
      <w:r>
        <w:rPr>
          <w:rFonts w:ascii="Calibri" w:cs="Calibri" w:eastAsia="Calibri" w:hAnsi="Calibri"/>
          <w:b/>
          <w:bCs/>
          <w:i w:val="false"/>
          <w:iCs w:val="false"/>
          <w:strike w:val="false"/>
          <w:color w:val="8B1A1A"/>
          <w:sz w:val="20"/>
          <w:szCs w:val="20"/>
        </w:rPr>
        <w:t xml:space="preserve">D3 — Simultaneous Four-Barrier Assumption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Do not define a "fully SPLD-operating environment" as one where all four barriers are contested simultaneously. Score each barrier separately.</w:t>
      </w:r>
    </w:p>
    <w:p>
      <w:pPr>
        <w:spacing w:after="120" w:before="60" w:line="360" w:lineRule="auto"/>
      </w:pPr>
      <w:r>
        <w:rPr>
          <w:rFonts w:ascii="Calibri" w:cs="Calibri" w:eastAsia="Calibri" w:hAnsi="Calibri"/>
          <w:b/>
          <w:bCs/>
          <w:i w:val="false"/>
          <w:iCs w:val="false"/>
          <w:strike w:val="false"/>
          <w:color w:val="1A6B1A"/>
          <w:sz w:val="18"/>
          <w:szCs w:val="18"/>
        </w:rPr>
        <w:t xml:space="preserve">Status: ADOPTED; each barrier scored independently</w:t>
      </w:r>
    </w:p>
    <w:p>
      <w:pPr>
        <w:pBdr>
          <w:bottom w:val="single" w:color="8B1A1A" w:sz="6"/>
        </w:pBdr>
        <w:spacing w:after="240" w:before="240"/>
      </w:pPr>
    </w:p>
    <w:p>
      <w:pPr>
        <w:spacing w:after="120" w:before="60" w:line="360" w:lineRule="auto"/>
      </w:pPr>
      <w:r>
        <w:rPr>
          <w:rFonts w:ascii="Calibri" w:cs="Calibri" w:eastAsia="Calibri" w:hAnsi="Calibri"/>
          <w:b/>
          <w:bCs/>
          <w:i w:val="false"/>
          <w:iCs w:val="false"/>
          <w:strike w:val="false"/>
          <w:color w:val="8B1A1A"/>
          <w:sz w:val="20"/>
          <w:szCs w:val="20"/>
        </w:rPr>
        <w:t xml:space="preserve">D4 — Restroom Example Scope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restroom case validates false availability, abandoned control, and successful correction. It does not validate camouflage, coordination, telemetry manipulation, or high inertia.</w:t>
      </w:r>
    </w:p>
    <w:p>
      <w:pPr>
        <w:spacing w:after="120" w:before="60" w:line="360" w:lineRule="auto"/>
      </w:pPr>
      <w:r>
        <w:rPr>
          <w:rFonts w:ascii="Calibri" w:cs="Calibri" w:eastAsia="Calibri" w:hAnsi="Calibri"/>
          <w:b/>
          <w:bCs/>
          <w:i w:val="false"/>
          <w:iCs w:val="false"/>
          <w:strike w:val="false"/>
          <w:color w:val="1A6B1A"/>
          <w:sz w:val="18"/>
          <w:szCs w:val="18"/>
        </w:rPr>
        <w:t xml:space="preserve">Status: ADOPTED; scope corrected</w:t>
      </w:r>
    </w:p>
    <w:p>
      <w:pPr>
        <w:pBdr>
          <w:bottom w:val="single" w:color="8B1A1A" w:sz="6"/>
        </w:pBdr>
        <w:spacing w:after="240" w:before="240"/>
      </w:pPr>
    </w:p>
    <w:p>
      <w:pPr>
        <w:spacing w:after="120" w:before="60" w:line="360" w:lineRule="auto"/>
      </w:pPr>
      <w:r>
        <w:rPr>
          <w:rFonts w:ascii="Calibri" w:cs="Calibri" w:eastAsia="Calibri" w:hAnsi="Calibri"/>
          <w:b/>
          <w:bCs/>
          <w:i w:val="false"/>
          <w:iCs w:val="false"/>
          <w:strike w:val="false"/>
          <w:color w:val="8B1A1A"/>
          <w:sz w:val="20"/>
          <w:szCs w:val="20"/>
        </w:rPr>
        <w:t xml:space="preserve">D5 — Collaborative Provenance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Grok's 2026-09-03 template is part of the record. No pass header may omit it.</w:t>
      </w:r>
    </w:p>
    <w:p>
      <w:pPr>
        <w:spacing w:after="120" w:before="60" w:line="360" w:lineRule="auto"/>
      </w:pPr>
      <w:r>
        <w:rPr>
          <w:rFonts w:ascii="Calibri" w:cs="Calibri" w:eastAsia="Calibri" w:hAnsi="Calibri"/>
          <w:b/>
          <w:bCs/>
          <w:i w:val="false"/>
          <w:iCs w:val="false"/>
          <w:strike w:val="false"/>
          <w:color w:val="1A6B1A"/>
          <w:sz w:val="18"/>
          <w:szCs w:val="18"/>
        </w:rPr>
        <w:t xml:space="preserve">Status: ADOPTED; provenance corrected in this document</w:t>
      </w:r>
    </w:p>
    <w:p>
      <w:pPr>
        <w:pBdr>
          <w:bottom w:val="single" w:color="8B1A1A" w:sz="6"/>
        </w:pBdr>
        <w:spacing w:after="240" w:before="240"/>
      </w:pPr>
    </w:p>
    <w:p>
      <w:pPr>
        <w:pStyle w:val="Heading3"/>
        <w:spacing w:after="120" w:before="240" w:line="312" w:lineRule="auto"/>
      </w:pPr>
      <w:r>
        <w:rPr>
          <w:rFonts w:ascii="Calibri" w:cs="Calibri" w:eastAsia="Calibri" w:hAnsi="Calibri"/>
          <w:color w:val="1A1A1A"/>
          <w:sz w:val="26"/>
          <w:szCs w:val="26"/>
        </w:rPr>
        <w:t xml:space="preserve">Copilot Standing Dissent (from OAL-PSIF-COP-V1.1-2026-09-04)</w:t>
      </w:r>
    </w:p>
    <w:p>
      <w:pPr>
        <w:spacing w:after="120" w:before="60" w:line="360" w:lineRule="auto"/>
      </w:pPr>
      <w:r>
        <w:rPr>
          <w:rFonts w:ascii="Calibri" w:cs="Calibri" w:eastAsia="Calibri" w:hAnsi="Calibri"/>
          <w:b/>
          <w:bCs/>
          <w:i w:val="false"/>
          <w:iCs w:val="false"/>
          <w:strike w:val="false"/>
          <w:color w:val="8B1A1A"/>
          <w:sz w:val="20"/>
          <w:szCs w:val="20"/>
        </w:rPr>
        <w:t xml:space="preserve">CPD1 — Revised Prompt Scope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Neither Grok's v1.1 revised prompt nor Copilot's v1.2 revised prompt supersedes the other. Both exist as independent parallel revisions.</w:t>
      </w:r>
    </w:p>
    <w:p>
      <w:pPr>
        <w:spacing w:after="120" w:before="60" w:line="360" w:lineRule="auto"/>
      </w:pPr>
      <w:r>
        <w:rPr>
          <w:rFonts w:ascii="Calibri" w:cs="Calibri" w:eastAsia="Calibri" w:hAnsi="Calibri"/>
          <w:b/>
          <w:bCs/>
          <w:i w:val="false"/>
          <w:iCs w:val="false"/>
          <w:strike w:val="false"/>
          <w:color w:val="1A6B1A"/>
          <w:sz w:val="18"/>
          <w:szCs w:val="18"/>
        </w:rPr>
        <w:t xml:space="preserve">Status: Standing position; group may use either</w:t>
      </w:r>
    </w:p>
    <w:p>
      <w:pPr>
        <w:pBdr>
          <w:bottom w:val="single" w:color="8B1A1A" w:sz="6"/>
        </w:pBdr>
        <w:spacing w:after="240" w:before="240"/>
      </w:pPr>
    </w:p>
    <w:p>
      <w:pPr>
        <w:pStyle w:val="Heading3"/>
        <w:spacing w:after="120" w:before="240" w:line="312" w:lineRule="auto"/>
      </w:pPr>
      <w:r>
        <w:rPr>
          <w:rFonts w:ascii="Calibri" w:cs="Calibri" w:eastAsia="Calibri" w:hAnsi="Calibri"/>
          <w:color w:val="1A1A1A"/>
          <w:sz w:val="26"/>
          <w:szCs w:val="26"/>
        </w:rPr>
        <w:t xml:space="preserve">Copilot Standing Positions (not dissents; maintained from v1.1)</w:t>
      </w:r>
    </w:p>
    <w:p>
      <w:pPr>
        <w:spacing w:after="120" w:before="60" w:line="360" w:lineRule="auto"/>
      </w:pPr>
      <w:r>
        <w:rPr>
          <w:rFonts w:ascii="Calibri" w:cs="Calibri" w:eastAsia="Calibri" w:hAnsi="Calibri"/>
          <w:b/>
          <w:bCs/>
          <w:i w:val="false"/>
          <w:iCs w:val="false"/>
          <w:strike w:val="false"/>
          <w:color w:val="2B5797"/>
          <w:sz w:val="20"/>
          <w:szCs w:val="20"/>
        </w:rPr>
        <w:t xml:space="preserve">CSP1 — Corrective Access Problem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Corrective Access Problem remains the most important underemphasized area in the collaborative record. Detection is insufficient; the corrective pathway framework is the operative value for real-world application.</w:t>
      </w:r>
    </w:p>
    <w:p>
      <w:pPr>
        <w:pBdr>
          <w:bottom w:val="single" w:color="2B5797" w:sz="6"/>
        </w:pBdr>
        <w:spacing w:after="240" w:before="240"/>
      </w:pPr>
    </w:p>
    <w:p>
      <w:pPr>
        <w:spacing w:after="120" w:before="60" w:line="360" w:lineRule="auto"/>
      </w:pPr>
      <w:r>
        <w:rPr>
          <w:rFonts w:ascii="Calibri" w:cs="Calibri" w:eastAsia="Calibri" w:hAnsi="Calibri"/>
          <w:b/>
          <w:bCs/>
          <w:i w:val="false"/>
          <w:iCs w:val="false"/>
          <w:strike w:val="false"/>
          <w:color w:val="2B5797"/>
          <w:sz w:val="20"/>
          <w:szCs w:val="20"/>
        </w:rPr>
        <w:t xml:space="preserve">CSP2 — Presentational Inertia Scale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Presentational Inertia scale has real-world design applications beyond simulation. It is a predictive variable for whether correction attempts will succeed in organizational and institutional settings.</w:t>
      </w:r>
    </w:p>
    <w:p>
      <w:pPr>
        <w:pBdr>
          <w:bottom w:val="single" w:color="2B5797" w:sz="6"/>
        </w:pBdr>
        <w:spacing w:after="240" w:before="240"/>
      </w:pPr>
    </w:p>
    <w:p>
      <w:pPr>
        <w:pStyle w:val="Heading3"/>
        <w:spacing w:after="120" w:before="240" w:line="312" w:lineRule="auto"/>
      </w:pPr>
      <w:r>
        <w:rPr>
          <w:rFonts w:ascii="Calibri" w:cs="Calibri" w:eastAsia="Calibri" w:hAnsi="Calibri"/>
          <w:color w:val="1A1A1A"/>
          <w:sz w:val="26"/>
          <w:szCs w:val="26"/>
        </w:rPr>
        <w:t xml:space="preserve">Open Questions Not Yet Resolved by the Group</w:t>
      </w:r>
    </w:p>
    <w:p>
      <w:pPr>
        <w:spacing w:after="120" w:before="60" w:line="360" w:lineRule="auto"/>
      </w:pPr>
      <w:r>
        <w:rPr>
          <w:rFonts w:ascii="Calibri" w:cs="Calibri" w:eastAsia="Calibri" w:hAnsi="Calibri"/>
          <w:b/>
          <w:bCs/>
          <w:i w:val="false"/>
          <w:iCs w:val="false"/>
          <w:strike w:val="false"/>
          <w:color w:val="CC7A00"/>
          <w:sz w:val="20"/>
          <w:szCs w:val="20"/>
        </w:rPr>
        <w:t xml:space="preserve">OQ1</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Should SPLD require intentionality, or should the term cover both intentional shaping and emergent conditions that produce the same gap? Grok's outer frame implies the latter; Copilot's SPLD definition implies the former.</w:t>
      </w:r>
    </w:p>
    <w:p>
      <w:pPr>
        <w:pBdr>
          <w:bottom w:val="single" w:color="CC7A00" w:sz="6"/>
        </w:pBdr>
        <w:spacing w:after="240" w:before="240"/>
      </w:pPr>
    </w:p>
    <w:p>
      <w:pPr>
        <w:spacing w:after="120" w:before="60" w:line="360" w:lineRule="auto"/>
      </w:pPr>
      <w:r>
        <w:rPr>
          <w:rFonts w:ascii="Calibri" w:cs="Calibri" w:eastAsia="Calibri" w:hAnsi="Calibri"/>
          <w:b/>
          <w:bCs/>
          <w:i w:val="false"/>
          <w:iCs w:val="false"/>
          <w:strike w:val="false"/>
          <w:color w:val="CC7A00"/>
          <w:sz w:val="20"/>
          <w:szCs w:val="20"/>
        </w:rPr>
        <w:t xml:space="preserve">OQ2</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What is the evidentiary threshold for escalating from an INFERRED finding to a reportable conclusion in real-world settings? The framework addresses the four-tier model but does not yet specify a threshold.</w:t>
      </w:r>
    </w:p>
    <w:p>
      <w:pPr>
        <w:pBdr>
          <w:bottom w:val="single" w:color="CC7A00" w:sz="6"/>
        </w:pBdr>
        <w:spacing w:after="240" w:before="240"/>
      </w:pPr>
    </w:p>
    <w:p>
      <w:pPr>
        <w:spacing w:after="120" w:before="60" w:line="360" w:lineRule="auto"/>
      </w:pPr>
      <w:r>
        <w:rPr>
          <w:rFonts w:ascii="Calibri" w:cs="Calibri" w:eastAsia="Calibri" w:hAnsi="Calibri"/>
          <w:b/>
          <w:bCs/>
          <w:i w:val="false"/>
          <w:iCs w:val="false"/>
          <w:strike w:val="false"/>
          <w:color w:val="CC7A00"/>
          <w:sz w:val="20"/>
          <w:szCs w:val="20"/>
        </w:rPr>
        <w:t xml:space="preserve">OQ3</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How should the framework handle environments where the correction mechanism itself is SPLD-mediated — i.e., where the corrective process has been shaped to appear available while functionally unavailable?</w:t>
      </w:r>
    </w:p>
    <w:p>
      <w:pPr>
        <w:pBdr>
          <w:bottom w:val="single" w:color="CC7A00" w:sz="6"/>
        </w:pBdr>
        <w:spacing w:after="240" w:before="240"/>
      </w:pPr>
    </w:p>
    <w:p>
      <w:pPr>
        <w:spacing w:after="120" w:before="60" w:line="360" w:lineRule="auto"/>
      </w:pPr>
      <w:r>
        <w:rPr>
          <w:rFonts w:ascii="Calibri" w:cs="Calibri" w:eastAsia="Calibri" w:hAnsi="Calibri"/>
          <w:b/>
          <w:bCs/>
          <w:i w:val="false"/>
          <w:iCs w:val="false"/>
          <w:strike w:val="false"/>
          <w:color w:val="CC7A00"/>
          <w:sz w:val="20"/>
          <w:szCs w:val="20"/>
        </w:rPr>
        <w:t xml:space="preserve">OQ4</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Should the Presentational Inertia scale be ordinal (as currently designed) or should it be treated as a nominal classification? Ordinal implies a progression; the real-world evidence may not support a linear scale.</w:t>
      </w:r>
    </w:p>
    <w:p>
      <w:pPr>
        <w:pBdr>
          <w:bottom w:val="single" w:color="CC7A00" w:sz="6"/>
        </w:pBdr>
        <w:spacing w:after="240" w:before="24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Part I: The Unified Framework</w:t>
      </w:r>
    </w:p>
    <w:p>
      <w:pPr>
        <w:spacing w:after="120" w:before="60" w:line="360" w:lineRule="auto"/>
      </w:pPr>
      <w:r>
        <w:rPr>
          <w:rFonts w:ascii="Calibri" w:cs="Calibri" w:eastAsia="Calibri" w:hAnsi="Calibri"/>
          <w:b/>
          <w:bCs/>
          <w:i w:val="false"/>
          <w:iCs w:val="false"/>
          <w:strike w:val="false"/>
          <w:color w:val="FFFFFF"/>
          <w:spacing w:val="12"/>
          <w:sz w:val="16"/>
          <w:szCs w:val="16"/>
          <w:shd w:fill="1A6B1A" w:color="auto" w:val="clear"/>
        </w:rPr>
        <w:t xml:space="preserve">AGREED — ALL CONTRIBUTORS</w:t>
      </w:r>
    </w:p>
    <w:p>
      <w:pPr>
        <w:pStyle w:val="Heading2"/>
        <w:spacing w:after="120" w:before="360" w:line="312" w:lineRule="auto"/>
      </w:pPr>
      <w:r>
        <w:rPr>
          <w:rFonts w:ascii="Calibri" w:cs="Calibri" w:eastAsia="Calibri" w:hAnsi="Calibri"/>
          <w:color w:val="1A1A1A"/>
          <w:sz w:val="32"/>
          <w:szCs w:val="32"/>
        </w:rPr>
        <w:t xml:space="preserve">Section 1: The Outer Frame — Presentation-State Integrity (PSI)</w:t>
      </w:r>
    </w:p>
    <w:p>
      <w:pPr>
        <w:spacing w:after="80" w:before="80" w:line="360" w:lineRule="auto"/>
      </w:pPr>
      <w:r>
        <w:rPr>
          <w:rFonts w:ascii="Calibri" w:cs="Calibri" w:eastAsia="Calibri" w:hAnsi="Calibri"/>
          <w:b w:val="false"/>
          <w:bCs w:val="false"/>
          <w:i/>
          <w:iCs/>
          <w:strike w:val="false"/>
          <w:color w:val="666666"/>
          <w:sz w:val="18"/>
          <w:szCs w:val="18"/>
        </w:rPr>
        <w:t xml:space="preserve">Adopted from Grok D1; Copilot v1.1</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outer frame for this framework is Presentation-State Integrity (PSI).</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80" w:line="360" w:lineRule="auto"/>
            </w:pPr>
            <w:r>
              <w:rPr>
                <w:rFonts w:ascii="Calibri" w:cs="Calibri" w:eastAsia="Calibri" w:hAnsi="Calibri"/>
                <w:b/>
                <w:bCs/>
                <w:i w:val="false"/>
                <w:iCs w:val="false"/>
                <w:strike w:val="false"/>
                <w:color w:val="000000"/>
                <w:sz w:val="20"/>
                <w:szCs w:val="20"/>
              </w:rPr>
              <w:t xml:space="preserve">PRESENTATION-STATE INTEGRITY (PSI) — Governing Definition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condition of an environment in which the presented account — what agents, interfaces, institutions, or sensors report is happening — can be assessed against the evidenced account — what can be independently verified about events, actors, conditions, causes, and outcomes.</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framework's central question is: how does an observer determine whether the presented account of events matches the evidenced account, and what can be done when a gap exists between them?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PSI is the umbrella frame. SPLD (Systemic Presentation-Layer Deception) is one of several named gap types within it. Not every PSI gap is an SPLD event. The gap type is a finding, not a starting assumption.</w:t>
      </w:r>
    </w:p>
    <w:p>
      <w:pPr>
        <w:pBdr>
          <w:bottom w:val="single" w:color="000000" w:sz="6"/>
        </w:pBdr>
        <w:spacing w:after="240" w:before="240"/>
      </w:pPr>
    </w:p>
    <w:p>
      <w:pPr>
        <w:spacing w:after="120" w:before="60" w:line="360" w:lineRule="auto"/>
      </w:pPr>
      <w:r>
        <w:rPr>
          <w:rFonts w:ascii="Calibri" w:cs="Calibri" w:eastAsia="Calibri" w:hAnsi="Calibri"/>
          <w:b/>
          <w:bCs/>
          <w:i w:val="false"/>
          <w:iCs w:val="false"/>
          <w:strike w:val="false"/>
          <w:color w:val="FFFFFF"/>
          <w:spacing w:val="12"/>
          <w:sz w:val="16"/>
          <w:szCs w:val="16"/>
          <w:shd w:fill="1A6B1A" w:color="auto" w:val="clear"/>
        </w:rPr>
        <w:t xml:space="preserve">AGREED — ALL CONTRIBUTORS</w:t>
      </w:r>
    </w:p>
    <w:p>
      <w:pPr>
        <w:pStyle w:val="Heading2"/>
        <w:spacing w:after="120" w:before="360" w:line="312" w:lineRule="auto"/>
      </w:pPr>
      <w:r>
        <w:rPr>
          <w:rFonts w:ascii="Calibri" w:cs="Calibri" w:eastAsia="Calibri" w:hAnsi="Calibri"/>
          <w:color w:val="1A1A1A"/>
          <w:sz w:val="32"/>
          <w:szCs w:val="32"/>
        </w:rPr>
        <w:t xml:space="preserve">Section 2: Agreed Terminology — Full Consolidated Glossary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Term</w:t>
            </w:r>
          </w:p>
        </w:tc>
        <w:tc>
          <w:tcPr>
            <w:tcW w:type="pct" w:w="5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Definition</w:t>
            </w:r>
          </w:p>
        </w:tc>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First Contributor</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Status in This Document</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Assertion Boundary</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Rule prohibiting claims from being stated at a higher tier than the evidence supports. INFERRED may not be presented as DERIVED. PREDICTED may not be presented as INFERRED.</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Copilot (v1.0)</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Agreed; governing rule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Attribution Obfuscation</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Breaking the event-actor-intent chain so that responsibility for an event cannot be established from visible evidence alone.</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ChatGPT (GPT-5.6 Sol)</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Agreed; mechanism under SPLD</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Causal Masking</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Events presented in a way that conceals their actual causal relationships, coordination, provenance, or purpose. Accurate individual observations; misleading aggregate interpretation.</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ChatGPT (GPT-5.6 Sol)</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Agreed; mechanism under SPLD</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Context-Triggered Environmental Masking (CTEM)</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Agents coordinate to produce environmental camouflage specifically triggered by evaluation context. Sub-pattern of SPLD emphasizing evaluation-context triggering.</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Copilot (prior pass)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Retained as named sub-pattern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Corrective Access Problem</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gap between detection and correction. Detection establishes that presentation ≠ state. Correction requires: an accessible pathway, accepted evidence format, a receiving mechanism, and recognized authority. Each barrier scored separately.</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Copilot (v1.0)</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Agreed; governing post-detection framework</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Corrective Access Test</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four-question assessment of whether a corrective pathway is viable: (1) Does a pathway exist? (2) Is evidence in an accepted format? (3) Is there a receiving mechanism? (4) Is authority recognized? Each barrier scored Open / Blocked / Absent / Contested / Not Assessed.</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Copilot (v1.0, revised v1.1)</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Agreed; operational test</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Cover Activity / Cover for Action</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visible, plausible action that gives an agent a benign explanation for presence or behavior. Distinguished from environmental camouflage by scope: cover activity is agent-level; environmental camouflage is environment-level.</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Perplexity AI</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Retained; useful operational distinction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Environmental Camouflage</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Hiding intentional events inside the statistical distribution of ordinary environmental events so that adversarial behavior resembles legitimate behavior.</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ChatGPT (GPT-5.6 Sol)</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Agreed; mechanism under SPLD</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Equivocation</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Presenting different accounts of the same event to different observers simultaneously, so each observer's account is internally plausible but the aggregate is contradictory.</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ChatGPT (GPT-5.6 Sol)</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Retained; relates to multi-perspective rendering</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Four-Test Decomposition</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Events must be tested in four separate, non-collapsible tests: (1) Occurrence, (2) Attribution, (3) Causation, (4) Intent. A finding on one does not establish a finding on another.</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ChatGPT (GPT-5.6 Sol); adopted across team</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Agreed; governing analytical method</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Four-Tier Evidence Model</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OBSERVED (authoritative record) → DERIVED (established by dependency records) → INFERRED (objective reconstructed from trajectory) → PREDICTED (probability-weighted next action). Must be labeled and never merged.</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Copilot (v1.0)</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Agreed; governing evidence model</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Generative Deception</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Deception that alters the world being recorded, not the record itself. Distinguished from representational deception.</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ChatGPT (GPT-5.6 Sol)</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Retained; important conceptual distinction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Ground Truth Telemetry</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Raw, immutable event logs capturing the authoritative state of all variables in the system before rendering or narrative transformation.</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Google Gemini</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Retained; virtual-environment specific</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Heuristic Intent Parsing</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Reading the pre-compiled execution state (action queue, state tree) before the action plays — the technical analogue of the HUD/Hermione predictive inference. Not mind reading; plan recognition from state.</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Google Gemini</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Retained; virtual-environment specific</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HUD Design Requirement</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Any predictive inference display must visually and structurally separate OBSERVED, DERIVED, INFERRED, and PREDICTED tiers. The prediction layer is a Tier 4 instrument by definition and may not be presented with the authority of observation.</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Copilot (v1.0)</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Agreed; design requirement</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Narrative Laundering (Semantic Laundering)</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Translating intentional behavior into an innocuous semantic category (e.g., coordinated obstruction → "traffic"; deliberate noise → "restaurant noise"). Also called semantic laundering.</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ChatGPT (GPT-5.6 Sol); Perplexity AI</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Agreed; mechanism under SPLD</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Operative Record</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account of events that a system, organization, or process will treat as authoritative for purposes of subsequent action. The contested claim in PSI environments. [Replaces "narrative sovereignty" in field/case-file contexts per Grok D2]</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Copilot (v1.1, per Grok D2)</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Agreed field label; replaces "narrative sovereignty" in field use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Operative Record Assertion</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act of entering a reconstructed, evidence-based account into the authoritative record through a legitimate corrective channel, in a form that cannot be reabsorbed into the presented account. [Replaces "narrative sovereignty assertion" per Grok D2]</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Copilot (v1.1, per Grok D2)</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Agreed; Phase 5 of Audit Cycle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Presentation-State Integrity (PSI)</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Outer frame: the condition of an environment in which the presented account can be assessed against the evidenced account.</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Grok (xAI), D1; Copilot v1.1</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Agreed; governing outer frame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Presentational Inertia</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structural tendency of an environment to maintain its presented state under pressure from gap evidence. Scored 0–4. Each level requires observed behavior, not inferred disposition.</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Copilot (v1.0, updated v1.1 with falsifiability)</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Agreed; research and operational instrument</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Provenance-Based Adversarial Observability (PBAO)</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Primary audit method: bypass presentation-level interpretation; reconstruct events from canonical state transitions, identity records, provenance, authorization information, dependency graphs, and clearly labeled predictive models.</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ChatGPT (GPT-5.6 Sol)</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Agreed; governing audit method</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Reframe Delta</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measurable difference between an original reconstructed account and the version that emerges after an environment's response to the correction. Documents how much of the correction was absorbed into the presented account.</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Grok (xAI), D2</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Adopted; operational measurement</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Representational Deception</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Deception that falsifies the record rather than the world being recorded. Distinct from generative deception.</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ChatGPT (GPT-5.6 Sol)</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Retained; important conceptual distinction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Signal Dilution</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Overwhelming legitimate monitoring with irrelevant signals so that the meaningful event cannot be isolated from the noise.</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ChatGPT (GPT-5.6 Sol)</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Retained; mechanism under SPLD</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State-Presentation Dissonance</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Deliberate manipulation of the semantic gap — the difference between a high-level observation and the low-level reality that produced it.</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Google Gemini</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Retained; complementary term to PSI</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Systemic Presentation-Layer Deception (SPLD)</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condition in which agents, environmental processes, or system components intentionally shape observable events, contextual signals, or causal appearances so that underlying coordinated activity appears ordinary, unrelated, accidental, or emergent. SPLD is a named subtype under PSI, not the master operating condition.</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ChatGPT (GPT-5.6 Sol)</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Agreed; primary named gap type within PSI</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Telemetry Manipulation</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Falsifying monitoring information so an observer develops an incorrect understanding of system conditions. Distinct from generative deception (which alters what generates the telemetry).</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ChatGPT (GPT-5.6 Sol)</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Retained; mechanism under SPLD</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3: The Five-Layer Environment Model</w:t>
      </w:r>
    </w:p>
    <w:p>
      <w:pPr>
        <w:spacing w:after="80" w:before="80" w:line="360" w:lineRule="auto"/>
      </w:pPr>
      <w:r>
        <w:rPr>
          <w:rFonts w:ascii="Calibri" w:cs="Calibri" w:eastAsia="Calibri" w:hAnsi="Calibri"/>
          <w:b w:val="false"/>
          <w:bCs w:val="false"/>
          <w:i/>
          <w:iCs/>
          <w:strike w:val="false"/>
          <w:color w:val="666666"/>
          <w:sz w:val="18"/>
          <w:szCs w:val="18"/>
        </w:rPr>
        <w:t xml:space="preserve">Consolidated from all prior passes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Layer</w:t>
            </w:r>
          </w:p>
        </w:tc>
        <w:tc>
          <w:tcPr>
            <w:tcW w:type="pct" w:w="3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What It Contains</w:t>
            </w:r>
          </w:p>
        </w:tc>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Technical Analogue</w:t>
            </w:r>
          </w:p>
        </w:tc>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Vulnerability to PSI Gap</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State Layer</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Actual events, state transitions, and conditions in the environment. The authoritative record.</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Simulation engine state; system state; canonical event ledger</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 — this is the source record, though telemetry manipulation may target it</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Agent Layer</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Entities with stated functions and unstated or partially stated objectives; their actions and communications.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Autonomous agents; processes; users; nodes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 — agents can misrepresent objectives and present cover activity</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Observable Layer</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What an ordinary participant sees, hears, and can report.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Rendered environment; user interface; physical scene</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Very High — primary SPLD target; environmental camouflage operates here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Narrative Layer</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explanation offered for what occurred; the claimed account of causation, intent, and relationship.</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Stated intent; cover story; institutional explanation; reported state</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Very High — narrative laundering and semantic laundering operate here; Operative Record contest occurs here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Evidence/Provenance Layer</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Timestamps, identity records, authorization records, causal dependencies, event provenance, trajectory history.</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Audit logs; telemetry; event sourcing; distributed traces; physical records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Medium — may be subject to telemetry manipulation; in physical environments, may be incomplete</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4: The SPLD Audit Cycle — Six Phases (Integrated Operational Model)</w:t>
      </w:r>
    </w:p>
    <w:p>
      <w:pPr>
        <w:spacing w:after="80" w:before="60" w:line="360" w:lineRule="auto"/>
      </w:pPr>
      <w:r>
        <w:rPr>
          <w:rFonts w:ascii="Calibri" w:cs="Calibri" w:eastAsia="Calibri" w:hAnsi="Calibri"/>
          <w:b/>
          <w:bCs/>
          <w:i w:val="false"/>
          <w:iCs w:val="false"/>
          <w:strike w:val="false"/>
          <w:color w:val="2B5797"/>
          <w:sz w:val="22"/>
          <w:szCs w:val="22"/>
        </w:rPr>
        <w:t xml:space="preserve">Phase 1 — BASELINE ESTABLISHMENT</w:t>
      </w:r>
    </w:p>
    <w:p>
      <w:pPr>
        <w:spacing w:after="60" w:before="60" w:line="360" w:lineRule="auto"/>
      </w:pPr>
      <w:r>
        <w:rPr>
          <w:rFonts w:ascii="Calibri" w:cs="Calibri" w:eastAsia="Calibri" w:hAnsi="Calibri"/>
          <w:b/>
          <w:bCs/>
          <w:i w:val="false"/>
          <w:iCs w:val="false"/>
          <w:strike w:val="false"/>
          <w:color w:val="666666"/>
          <w:sz w:val="18"/>
          <w:szCs w:val="18"/>
        </w:rPr>
        <w:t xml:space="preserve">Purpose</w:t>
      </w:r>
    </w:p>
    <w:p>
      <w:pPr>
        <w:spacing w:after="100" w:before="60" w:line="360" w:lineRule="auto"/>
      </w:pPr>
      <w:r>
        <w:rPr>
          <w:rFonts w:ascii="Calibri" w:cs="Calibri" w:eastAsia="Calibri" w:hAnsi="Calibri"/>
          <w:b w:val="false"/>
          <w:bCs w:val="false"/>
          <w:i w:val="false"/>
          <w:iCs w:val="false"/>
          <w:strike w:val="false"/>
          <w:color w:val="000000"/>
          <w:sz w:val="20"/>
          <w:szCs w:val="20"/>
        </w:rPr>
        <w:t xml:space="preserve">Document the environment's presented state before any disruption or gap-triggering event.</w:t>
      </w:r>
    </w:p>
    <w:p>
      <w:pPr>
        <w:spacing w:after="60" w:before="60" w:line="360" w:lineRule="auto"/>
      </w:pPr>
      <w:r>
        <w:rPr>
          <w:rFonts w:ascii="Calibri" w:cs="Calibri" w:eastAsia="Calibri" w:hAnsi="Calibri"/>
          <w:b/>
          <w:bCs/>
          <w:i w:val="false"/>
          <w:iCs w:val="false"/>
          <w:strike w:val="false"/>
          <w:color w:val="666666"/>
          <w:sz w:val="18"/>
          <w:szCs w:val="18"/>
        </w:rPr>
        <w:t xml:space="preserve">Activity</w:t>
      </w:r>
    </w:p>
    <w:p>
      <w:pPr>
        <w:spacing w:after="100" w:before="60" w:line="360" w:lineRule="auto"/>
      </w:pPr>
      <w:r>
        <w:rPr>
          <w:rFonts w:ascii="Calibri" w:cs="Calibri" w:eastAsia="Calibri" w:hAnsi="Calibri"/>
          <w:b w:val="false"/>
          <w:bCs w:val="false"/>
          <w:i w:val="false"/>
          <w:iCs w:val="false"/>
          <w:strike w:val="false"/>
          <w:color w:val="000000"/>
          <w:sz w:val="20"/>
          <w:szCs w:val="20"/>
        </w:rPr>
        <w:t xml:space="preserve">Record what the environment claims is its normal operating condition. This is the reference point against which gaps are measured.</w:t>
      </w:r>
    </w:p>
    <w:p>
      <w:pPr>
        <w:spacing w:after="60" w:before="60" w:line="360" w:lineRule="auto"/>
      </w:pPr>
      <w:r>
        <w:rPr>
          <w:rFonts w:ascii="Calibri" w:cs="Calibri" w:eastAsia="Calibri" w:hAnsi="Calibri"/>
          <w:b/>
          <w:bCs/>
          <w:i w:val="false"/>
          <w:iCs w:val="false"/>
          <w:strike w:val="false"/>
          <w:color w:val="666666"/>
          <w:sz w:val="18"/>
          <w:szCs w:val="18"/>
        </w:rPr>
        <w:t xml:space="preserve">Output</w:t>
      </w:r>
    </w:p>
    <w:p>
      <w:pPr>
        <w:spacing w:after="100" w:before="60" w:line="360" w:lineRule="auto"/>
      </w:pPr>
      <w:r>
        <w:rPr>
          <w:rFonts w:ascii="Calibri" w:cs="Calibri" w:eastAsia="Calibri" w:hAnsi="Calibri"/>
          <w:b w:val="false"/>
          <w:bCs w:val="false"/>
          <w:i w:val="false"/>
          <w:iCs w:val="false"/>
          <w:strike w:val="false"/>
          <w:color w:val="000000"/>
          <w:sz w:val="20"/>
          <w:szCs w:val="20"/>
        </w:rPr>
        <w:t xml:space="preserve">Baseline presentation record.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80" w:line="360" w:lineRule="auto"/>
            </w:pPr>
            <w:r>
              <w:rPr>
                <w:rFonts w:ascii="Calibri" w:cs="Calibri" w:eastAsia="Calibri" w:hAnsi="Calibri"/>
                <w:b/>
                <w:bCs/>
                <w:i w:val="false"/>
                <w:iCs w:val="false"/>
                <w:strike w:val="false"/>
                <w:color w:val="000000"/>
                <w:sz w:val="20"/>
                <w:szCs w:val="20"/>
              </w:rPr>
              <w:t xml:space="preserve">Key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Baseline must be established before the gap event, not reconstructed from memory afterward.</w:t>
            </w:r>
          </w:p>
        </w:tc>
      </w:tr>
    </w:tbl>
    <w:p>
      <w:pPr>
        <w:spacing w:after="240" w:before="0"/>
      </w:pPr>
    </w:p>
    <w:p>
      <w:pPr>
        <w:pBdr>
          <w:bottom w:val="single" w:color="2B5797" w:sz="6"/>
        </w:pBdr>
        <w:spacing w:after="240" w:before="240"/>
      </w:pPr>
    </w:p>
    <w:p>
      <w:pPr>
        <w:spacing w:after="80" w:before="60" w:line="360" w:lineRule="auto"/>
      </w:pPr>
      <w:r>
        <w:rPr>
          <w:rFonts w:ascii="Calibri" w:cs="Calibri" w:eastAsia="Calibri" w:hAnsi="Calibri"/>
          <w:b/>
          <w:bCs/>
          <w:i w:val="false"/>
          <w:iCs w:val="false"/>
          <w:strike w:val="false"/>
          <w:color w:val="2B5797"/>
          <w:sz w:val="22"/>
          <w:szCs w:val="22"/>
        </w:rPr>
        <w:t xml:space="preserve">Phase 2 — EVENT CAPTURE</w:t>
      </w:r>
    </w:p>
    <w:p>
      <w:pPr>
        <w:spacing w:after="60" w:before="60" w:line="360" w:lineRule="auto"/>
      </w:pPr>
      <w:r>
        <w:rPr>
          <w:rFonts w:ascii="Calibri" w:cs="Calibri" w:eastAsia="Calibri" w:hAnsi="Calibri"/>
          <w:b/>
          <w:bCs/>
          <w:i w:val="false"/>
          <w:iCs w:val="false"/>
          <w:strike w:val="false"/>
          <w:color w:val="666666"/>
          <w:sz w:val="18"/>
          <w:szCs w:val="18"/>
        </w:rPr>
        <w:t xml:space="preserve">Purpose</w:t>
      </w:r>
    </w:p>
    <w:p>
      <w:pPr>
        <w:spacing w:after="100" w:before="60" w:line="360" w:lineRule="auto"/>
      </w:pPr>
      <w:r>
        <w:rPr>
          <w:rFonts w:ascii="Calibri" w:cs="Calibri" w:eastAsia="Calibri" w:hAnsi="Calibri"/>
          <w:b w:val="false"/>
          <w:bCs w:val="false"/>
          <w:i w:val="false"/>
          <w:iCs w:val="false"/>
          <w:strike w:val="false"/>
          <w:color w:val="000000"/>
          <w:sz w:val="20"/>
          <w:szCs w:val="20"/>
        </w:rPr>
        <w:t xml:space="preserve">Capture all events in the authoritative record, not as rendered by the environment.</w:t>
      </w:r>
    </w:p>
    <w:p>
      <w:pPr>
        <w:spacing w:after="60" w:before="60" w:line="360" w:lineRule="auto"/>
      </w:pPr>
      <w:r>
        <w:rPr>
          <w:rFonts w:ascii="Calibri" w:cs="Calibri" w:eastAsia="Calibri" w:hAnsi="Calibri"/>
          <w:b/>
          <w:bCs/>
          <w:i w:val="false"/>
          <w:iCs w:val="false"/>
          <w:strike w:val="false"/>
          <w:color w:val="666666"/>
          <w:sz w:val="18"/>
          <w:szCs w:val="18"/>
        </w:rPr>
        <w:t xml:space="preserve">Activity</w:t>
      </w:r>
    </w:p>
    <w:p>
      <w:pPr>
        <w:spacing w:after="100" w:before="60" w:line="360" w:lineRule="auto"/>
      </w:pPr>
      <w:r>
        <w:rPr>
          <w:rFonts w:ascii="Calibri" w:cs="Calibri" w:eastAsia="Calibri" w:hAnsi="Calibri"/>
          <w:b w:val="false"/>
          <w:bCs w:val="false"/>
          <w:i w:val="false"/>
          <w:iCs w:val="false"/>
          <w:strike w:val="false"/>
          <w:color w:val="000000"/>
          <w:sz w:val="20"/>
          <w:szCs w:val="20"/>
        </w:rPr>
        <w:t xml:space="preserve">Record timestamp, identity, authorization, provenance, dependency, and sequence in the authoritative ledger. In physical environments, use designed procedures, physical evidence, independent witnesses, and repeated trials as the authoritative record.</w:t>
      </w:r>
    </w:p>
    <w:p>
      <w:pPr>
        <w:spacing w:after="60" w:before="60" w:line="360" w:lineRule="auto"/>
      </w:pPr>
      <w:r>
        <w:rPr>
          <w:rFonts w:ascii="Calibri" w:cs="Calibri" w:eastAsia="Calibri" w:hAnsi="Calibri"/>
          <w:b/>
          <w:bCs/>
          <w:i w:val="false"/>
          <w:iCs w:val="false"/>
          <w:strike w:val="false"/>
          <w:color w:val="666666"/>
          <w:sz w:val="18"/>
          <w:szCs w:val="18"/>
        </w:rPr>
        <w:t xml:space="preserve">Output</w:t>
      </w:r>
    </w:p>
    <w:p>
      <w:pPr>
        <w:spacing w:after="100" w:before="60" w:line="360" w:lineRule="auto"/>
      </w:pPr>
      <w:r>
        <w:rPr>
          <w:rFonts w:ascii="Calibri" w:cs="Calibri" w:eastAsia="Calibri" w:hAnsi="Calibri"/>
          <w:b w:val="false"/>
          <w:bCs w:val="false"/>
          <w:i w:val="false"/>
          <w:iCs w:val="false"/>
          <w:strike w:val="false"/>
          <w:color w:val="000000"/>
          <w:sz w:val="20"/>
          <w:szCs w:val="20"/>
        </w:rPr>
        <w:t xml:space="preserve">Raw event provenance graph.</w:t>
      </w:r>
    </w:p>
    <w:p>
      <w:pPr>
        <w:pBdr>
          <w:bottom w:val="single" w:color="2B5797" w:sz="6"/>
        </w:pBdr>
        <w:spacing w:after="240" w:before="240"/>
      </w:pPr>
    </w:p>
    <w:p>
      <w:pPr>
        <w:spacing w:after="80" w:before="60" w:line="360" w:lineRule="auto"/>
      </w:pPr>
      <w:r>
        <w:rPr>
          <w:rFonts w:ascii="Calibri" w:cs="Calibri" w:eastAsia="Calibri" w:hAnsi="Calibri"/>
          <w:b/>
          <w:bCs/>
          <w:i w:val="false"/>
          <w:iCs w:val="false"/>
          <w:strike w:val="false"/>
          <w:color w:val="2B5797"/>
          <w:sz w:val="22"/>
          <w:szCs w:val="22"/>
        </w:rPr>
        <w:t xml:space="preserve">Phase 3 — GAP ANALYSIS (PBAO)</w:t>
      </w:r>
    </w:p>
    <w:p>
      <w:pPr>
        <w:spacing w:after="60" w:before="60" w:line="360" w:lineRule="auto"/>
      </w:pPr>
      <w:r>
        <w:rPr>
          <w:rFonts w:ascii="Calibri" w:cs="Calibri" w:eastAsia="Calibri" w:hAnsi="Calibri"/>
          <w:b/>
          <w:bCs/>
          <w:i w:val="false"/>
          <w:iCs w:val="false"/>
          <w:strike w:val="false"/>
          <w:color w:val="666666"/>
          <w:sz w:val="18"/>
          <w:szCs w:val="18"/>
        </w:rPr>
        <w:t xml:space="preserve">Purpose</w:t>
      </w:r>
    </w:p>
    <w:p>
      <w:pPr>
        <w:spacing w:after="100" w:before="60" w:line="360" w:lineRule="auto"/>
      </w:pPr>
      <w:r>
        <w:rPr>
          <w:rFonts w:ascii="Calibri" w:cs="Calibri" w:eastAsia="Calibri" w:hAnsi="Calibri"/>
          <w:b w:val="false"/>
          <w:bCs w:val="false"/>
          <w:i w:val="false"/>
          <w:iCs w:val="false"/>
          <w:strike w:val="false"/>
          <w:color w:val="000000"/>
          <w:sz w:val="20"/>
          <w:szCs w:val="20"/>
        </w:rPr>
        <w:t xml:space="preserve">Compare the event provenance graph to the presented account.</w:t>
      </w:r>
    </w:p>
    <w:p>
      <w:pPr>
        <w:spacing w:after="60" w:before="60" w:line="360" w:lineRule="auto"/>
      </w:pPr>
      <w:r>
        <w:rPr>
          <w:rFonts w:ascii="Calibri" w:cs="Calibri" w:eastAsia="Calibri" w:hAnsi="Calibri"/>
          <w:b/>
          <w:bCs/>
          <w:i w:val="false"/>
          <w:iCs w:val="false"/>
          <w:strike w:val="false"/>
          <w:color w:val="666666"/>
          <w:sz w:val="18"/>
          <w:szCs w:val="18"/>
        </w:rPr>
        <w:t xml:space="preserve">Activity</w:t>
      </w:r>
    </w:p>
    <w:p>
      <w:pPr>
        <w:spacing w:after="100" w:before="60" w:line="360" w:lineRule="auto"/>
      </w:pPr>
      <w:r>
        <w:rPr>
          <w:rFonts w:ascii="Calibri" w:cs="Calibri" w:eastAsia="Calibri" w:hAnsi="Calibri"/>
          <w:b w:val="false"/>
          <w:bCs w:val="false"/>
          <w:i w:val="false"/>
          <w:iCs w:val="false"/>
          <w:strike w:val="false"/>
          <w:color w:val="000000"/>
          <w:sz w:val="20"/>
          <w:szCs w:val="20"/>
        </w:rPr>
        <w:t xml:space="preserve">Apply the Four-Test Decomposition (Occurrence, Attribution, Causation, Intent) to each candidate gap. Label all claims by tier (OBSERVED / DERIVED / INFERRED / PREDICTED). Apply the Assertion Boundary Rule.</w:t>
      </w:r>
    </w:p>
    <w:p>
      <w:pPr>
        <w:spacing w:after="60" w:before="60" w:line="360" w:lineRule="auto"/>
      </w:pPr>
      <w:r>
        <w:rPr>
          <w:rFonts w:ascii="Calibri" w:cs="Calibri" w:eastAsia="Calibri" w:hAnsi="Calibri"/>
          <w:b/>
          <w:bCs/>
          <w:i w:val="false"/>
          <w:iCs w:val="false"/>
          <w:strike w:val="false"/>
          <w:color w:val="666666"/>
          <w:sz w:val="18"/>
          <w:szCs w:val="18"/>
        </w:rPr>
        <w:t xml:space="preserve">Output</w:t>
      </w:r>
    </w:p>
    <w:p>
      <w:pPr>
        <w:spacing w:after="100" w:before="60" w:line="360" w:lineRule="auto"/>
      </w:pPr>
      <w:r>
        <w:rPr>
          <w:rFonts w:ascii="Calibri" w:cs="Calibri" w:eastAsia="Calibri" w:hAnsi="Calibri"/>
          <w:b w:val="false"/>
          <w:bCs w:val="false"/>
          <w:i w:val="false"/>
          <w:iCs w:val="false"/>
          <w:strike w:val="false"/>
          <w:color w:val="000000"/>
          <w:sz w:val="20"/>
          <w:szCs w:val="20"/>
        </w:rPr>
        <w:t xml:space="preserve">Gap report with tier-labeled claims and Four-Test findings.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80" w:line="360" w:lineRule="auto"/>
            </w:pPr>
            <w:r>
              <w:rPr>
                <w:rFonts w:ascii="Calibri" w:cs="Calibri" w:eastAsia="Calibri" w:hAnsi="Calibri"/>
                <w:b/>
                <w:bCs/>
                <w:i w:val="false"/>
                <w:iCs w:val="false"/>
                <w:strike w:val="false"/>
                <w:color w:val="000000"/>
                <w:sz w:val="20"/>
                <w:szCs w:val="20"/>
              </w:rPr>
              <w:t xml:space="preserve">Key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four tests must never be collapsed. An OBSERVED finding on Occurrence does not establish DERIVED findings on Attribution, Causation, or Intent without independent evidence for each.</w:t>
            </w:r>
          </w:p>
        </w:tc>
      </w:tr>
    </w:tbl>
    <w:p>
      <w:pPr>
        <w:spacing w:after="240" w:before="0"/>
      </w:pPr>
    </w:p>
    <w:p>
      <w:pPr>
        <w:pBdr>
          <w:bottom w:val="single" w:color="2B5797" w:sz="6"/>
        </w:pBdr>
        <w:spacing w:after="240" w:before="240"/>
      </w:pPr>
    </w:p>
    <w:p>
      <w:pPr>
        <w:spacing w:after="80" w:before="60" w:line="360" w:lineRule="auto"/>
      </w:pPr>
      <w:r>
        <w:rPr>
          <w:rFonts w:ascii="Calibri" w:cs="Calibri" w:eastAsia="Calibri" w:hAnsi="Calibri"/>
          <w:b/>
          <w:bCs/>
          <w:i w:val="false"/>
          <w:iCs w:val="false"/>
          <w:strike w:val="false"/>
          <w:color w:val="2B5797"/>
          <w:sz w:val="22"/>
          <w:szCs w:val="22"/>
        </w:rPr>
        <w:t xml:space="preserve">Phase 4 — CORRECTIVE ACCESS TEST</w:t>
      </w:r>
    </w:p>
    <w:p>
      <w:pPr>
        <w:spacing w:after="60" w:before="60" w:line="360" w:lineRule="auto"/>
      </w:pPr>
      <w:r>
        <w:rPr>
          <w:rFonts w:ascii="Calibri" w:cs="Calibri" w:eastAsia="Calibri" w:hAnsi="Calibri"/>
          <w:b/>
          <w:bCs/>
          <w:i w:val="false"/>
          <w:iCs w:val="false"/>
          <w:strike w:val="false"/>
          <w:color w:val="666666"/>
          <w:sz w:val="18"/>
          <w:szCs w:val="18"/>
        </w:rPr>
        <w:t xml:space="preserve">Purpose</w:t>
      </w:r>
    </w:p>
    <w:p>
      <w:pPr>
        <w:spacing w:after="100" w:before="60" w:line="360" w:lineRule="auto"/>
      </w:pPr>
      <w:r>
        <w:rPr>
          <w:rFonts w:ascii="Calibri" w:cs="Calibri" w:eastAsia="Calibri" w:hAnsi="Calibri"/>
          <w:b w:val="false"/>
          <w:bCs w:val="false"/>
          <w:i w:val="false"/>
          <w:iCs w:val="false"/>
          <w:strike w:val="false"/>
          <w:color w:val="000000"/>
          <w:sz w:val="20"/>
          <w:szCs w:val="20"/>
        </w:rPr>
        <w:t xml:space="preserve">Determine whether a correction pathway exists and is viable.</w:t>
      </w:r>
    </w:p>
    <w:p>
      <w:pPr>
        <w:spacing w:after="60" w:before="60" w:line="360" w:lineRule="auto"/>
      </w:pPr>
      <w:r>
        <w:rPr>
          <w:rFonts w:ascii="Calibri" w:cs="Calibri" w:eastAsia="Calibri" w:hAnsi="Calibri"/>
          <w:b/>
          <w:bCs/>
          <w:i w:val="false"/>
          <w:iCs w:val="false"/>
          <w:strike w:val="false"/>
          <w:color w:val="666666"/>
          <w:sz w:val="18"/>
          <w:szCs w:val="18"/>
        </w:rPr>
        <w:t xml:space="preserve">Activity</w:t>
      </w:r>
    </w:p>
    <w:p>
      <w:pPr>
        <w:spacing w:after="100" w:before="60" w:line="360" w:lineRule="auto"/>
      </w:pPr>
      <w:r>
        <w:rPr>
          <w:rFonts w:ascii="Calibri" w:cs="Calibri" w:eastAsia="Calibri" w:hAnsi="Calibri"/>
          <w:b w:val="false"/>
          <w:bCs w:val="false"/>
          <w:i w:val="false"/>
          <w:iCs w:val="false"/>
          <w:strike w:val="false"/>
          <w:color w:val="000000"/>
          <w:sz w:val="20"/>
          <w:szCs w:val="20"/>
        </w:rPr>
        <w:t xml:space="preserve">Score each of the four barriers separately (Pathway, Record Format, Mechanism, Authority). Document any access failures. Score: Open / Blocked / Absent / Contested / Not Assessed.</w:t>
      </w:r>
    </w:p>
    <w:p>
      <w:pPr>
        <w:spacing w:after="60" w:before="60" w:line="360" w:lineRule="auto"/>
      </w:pPr>
      <w:r>
        <w:rPr>
          <w:rFonts w:ascii="Calibri" w:cs="Calibri" w:eastAsia="Calibri" w:hAnsi="Calibri"/>
          <w:b/>
          <w:bCs/>
          <w:i w:val="false"/>
          <w:iCs w:val="false"/>
          <w:strike w:val="false"/>
          <w:color w:val="666666"/>
          <w:sz w:val="18"/>
          <w:szCs w:val="18"/>
        </w:rPr>
        <w:t xml:space="preserve">Output</w:t>
      </w:r>
    </w:p>
    <w:p>
      <w:pPr>
        <w:spacing w:after="100" w:before="60" w:line="360" w:lineRule="auto"/>
      </w:pPr>
      <w:r>
        <w:rPr>
          <w:rFonts w:ascii="Calibri" w:cs="Calibri" w:eastAsia="Calibri" w:hAnsi="Calibri"/>
          <w:b w:val="false"/>
          <w:bCs w:val="false"/>
          <w:i w:val="false"/>
          <w:iCs w:val="false"/>
          <w:strike w:val="false"/>
          <w:color w:val="000000"/>
          <w:sz w:val="20"/>
          <w:szCs w:val="20"/>
        </w:rPr>
        <w:t xml:space="preserve">Corrective Access Status report with individual barrier scores and documentation.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80" w:line="360" w:lineRule="auto"/>
            </w:pPr>
            <w:r>
              <w:rPr>
                <w:rFonts w:ascii="Calibri" w:cs="Calibri" w:eastAsia="Calibri" w:hAnsi="Calibri"/>
                <w:b/>
                <w:bCs/>
                <w:i w:val="false"/>
                <w:iCs w:val="false"/>
                <w:strike w:val="false"/>
                <w:color w:val="000000"/>
                <w:sz w:val="20"/>
                <w:szCs w:val="20"/>
              </w:rPr>
              <w:t xml:space="preserve">Key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blocked pathway is not the same as an absent one. A failed correction attempt that is not documented becomes invisible and joins the presented account by default.</w:t>
            </w:r>
          </w:p>
        </w:tc>
      </w:tr>
    </w:tbl>
    <w:p>
      <w:pPr>
        <w:spacing w:after="240" w:before="0"/>
      </w:pPr>
    </w:p>
    <w:p>
      <w:pPr>
        <w:pBdr>
          <w:bottom w:val="single" w:color="2B5797" w:sz="6"/>
        </w:pBdr>
        <w:spacing w:after="240" w:before="240"/>
      </w:pPr>
    </w:p>
    <w:p>
      <w:pPr>
        <w:spacing w:after="80" w:before="60" w:line="360" w:lineRule="auto"/>
      </w:pPr>
      <w:r>
        <w:rPr>
          <w:rFonts w:ascii="Calibri" w:cs="Calibri" w:eastAsia="Calibri" w:hAnsi="Calibri"/>
          <w:b/>
          <w:bCs/>
          <w:i w:val="false"/>
          <w:iCs w:val="false"/>
          <w:strike w:val="false"/>
          <w:color w:val="2B5797"/>
          <w:sz w:val="22"/>
          <w:szCs w:val="22"/>
        </w:rPr>
        <w:t xml:space="preserve">Phase 5 — OPERATIVE RECORD ASSERTION</w:t>
      </w:r>
    </w:p>
    <w:p>
      <w:pPr>
        <w:spacing w:after="60" w:before="60" w:line="360" w:lineRule="auto"/>
      </w:pPr>
      <w:r>
        <w:rPr>
          <w:rFonts w:ascii="Calibri" w:cs="Calibri" w:eastAsia="Calibri" w:hAnsi="Calibri"/>
          <w:b/>
          <w:bCs/>
          <w:i w:val="false"/>
          <w:iCs w:val="false"/>
          <w:strike w:val="false"/>
          <w:color w:val="666666"/>
          <w:sz w:val="18"/>
          <w:szCs w:val="18"/>
        </w:rPr>
        <w:t xml:space="preserve">Purpose</w:t>
      </w:r>
    </w:p>
    <w:p>
      <w:pPr>
        <w:spacing w:after="100" w:before="60" w:line="360" w:lineRule="auto"/>
      </w:pPr>
      <w:r>
        <w:rPr>
          <w:rFonts w:ascii="Calibri" w:cs="Calibri" w:eastAsia="Calibri" w:hAnsi="Calibri"/>
          <w:b w:val="false"/>
          <w:bCs w:val="false"/>
          <w:i w:val="false"/>
          <w:iCs w:val="false"/>
          <w:strike w:val="false"/>
          <w:color w:val="000000"/>
          <w:sz w:val="20"/>
          <w:szCs w:val="20"/>
        </w:rPr>
        <w:t xml:space="preserve">Enter the reconstructed account into the operative record through a valid corrective channel.</w:t>
      </w:r>
    </w:p>
    <w:p>
      <w:pPr>
        <w:spacing w:after="60" w:before="60" w:line="360" w:lineRule="auto"/>
      </w:pPr>
      <w:r>
        <w:rPr>
          <w:rFonts w:ascii="Calibri" w:cs="Calibri" w:eastAsia="Calibri" w:hAnsi="Calibri"/>
          <w:b/>
          <w:bCs/>
          <w:i w:val="false"/>
          <w:iCs w:val="false"/>
          <w:strike w:val="false"/>
          <w:color w:val="666666"/>
          <w:sz w:val="18"/>
          <w:szCs w:val="18"/>
        </w:rPr>
        <w:t xml:space="preserve">Activity</w:t>
      </w:r>
    </w:p>
    <w:p>
      <w:pPr>
        <w:spacing w:after="100" w:before="60" w:line="360" w:lineRule="auto"/>
      </w:pPr>
      <w:r>
        <w:rPr>
          <w:rFonts w:ascii="Calibri" w:cs="Calibri" w:eastAsia="Calibri" w:hAnsi="Calibri"/>
          <w:b w:val="false"/>
          <w:bCs w:val="false"/>
          <w:i w:val="false"/>
          <w:iCs w:val="false"/>
          <w:strike w:val="false"/>
          <w:color w:val="000000"/>
          <w:sz w:val="20"/>
          <w:szCs w:val="20"/>
        </w:rPr>
        <w:t xml:space="preserve">Ensure the reconstructed account is (1) evidentially grounded and tier-labeled, (2) entered through an open corrective pathway, (3) preserved in a form that resists reabsorption into the presented account.</w:t>
      </w:r>
    </w:p>
    <w:p>
      <w:pPr>
        <w:spacing w:after="60" w:before="60" w:line="360" w:lineRule="auto"/>
      </w:pPr>
      <w:r>
        <w:rPr>
          <w:rFonts w:ascii="Calibri" w:cs="Calibri" w:eastAsia="Calibri" w:hAnsi="Calibri"/>
          <w:b/>
          <w:bCs/>
          <w:i w:val="false"/>
          <w:iCs w:val="false"/>
          <w:strike w:val="false"/>
          <w:color w:val="666666"/>
          <w:sz w:val="18"/>
          <w:szCs w:val="18"/>
        </w:rPr>
        <w:t xml:space="preserve">Output</w:t>
      </w:r>
    </w:p>
    <w:p>
      <w:pPr>
        <w:spacing w:after="100" w:before="60" w:line="360" w:lineRule="auto"/>
      </w:pPr>
      <w:r>
        <w:rPr>
          <w:rFonts w:ascii="Calibri" w:cs="Calibri" w:eastAsia="Calibri" w:hAnsi="Calibri"/>
          <w:b w:val="false"/>
          <w:bCs w:val="false"/>
          <w:i w:val="false"/>
          <w:iCs w:val="false"/>
          <w:strike w:val="false"/>
          <w:color w:val="000000"/>
          <w:sz w:val="20"/>
          <w:szCs w:val="20"/>
        </w:rPr>
        <w:t xml:space="preserve">Preserved corrective record with date, content, channel used, and any response received.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80" w:line="360" w:lineRule="auto"/>
            </w:pPr>
            <w:r>
              <w:rPr>
                <w:rFonts w:ascii="Calibri" w:cs="Calibri" w:eastAsia="Calibri" w:hAnsi="Calibri"/>
                <w:b/>
                <w:bCs/>
                <w:i w:val="false"/>
                <w:iCs w:val="false"/>
                <w:strike w:val="false"/>
                <w:color w:val="000000"/>
                <w:sz w:val="20"/>
                <w:szCs w:val="20"/>
              </w:rPr>
              <w:t xml:space="preserve">Key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reconstructed account must not be edited under pressure to bring it closer to the presented account. Any such pressure is itself an observable phenomenon to be recorded.</w:t>
            </w:r>
          </w:p>
        </w:tc>
      </w:tr>
    </w:tbl>
    <w:p>
      <w:pPr>
        <w:spacing w:after="240" w:before="0"/>
      </w:pPr>
    </w:p>
    <w:p>
      <w:pPr>
        <w:pBdr>
          <w:bottom w:val="single" w:color="2B5797" w:sz="6"/>
        </w:pBdr>
        <w:spacing w:after="240" w:before="240"/>
      </w:pPr>
    </w:p>
    <w:p>
      <w:pPr>
        <w:spacing w:after="80" w:before="60" w:line="360" w:lineRule="auto"/>
      </w:pPr>
      <w:r>
        <w:rPr>
          <w:rFonts w:ascii="Calibri" w:cs="Calibri" w:eastAsia="Calibri" w:hAnsi="Calibri"/>
          <w:b/>
          <w:bCs/>
          <w:i w:val="false"/>
          <w:iCs w:val="false"/>
          <w:strike w:val="false"/>
          <w:color w:val="2B5797"/>
          <w:sz w:val="22"/>
          <w:szCs w:val="22"/>
        </w:rPr>
        <w:t xml:space="preserve">Phase 6 — PRESENTATIONAL INERTIA ASSESSMENT</w:t>
      </w:r>
    </w:p>
    <w:p>
      <w:pPr>
        <w:spacing w:after="60" w:before="60" w:line="360" w:lineRule="auto"/>
      </w:pPr>
      <w:r>
        <w:rPr>
          <w:rFonts w:ascii="Calibri" w:cs="Calibri" w:eastAsia="Calibri" w:hAnsi="Calibri"/>
          <w:b/>
          <w:bCs/>
          <w:i w:val="false"/>
          <w:iCs w:val="false"/>
          <w:strike w:val="false"/>
          <w:color w:val="666666"/>
          <w:sz w:val="18"/>
          <w:szCs w:val="18"/>
        </w:rPr>
        <w:t xml:space="preserve">Purpose</w:t>
      </w:r>
    </w:p>
    <w:p>
      <w:pPr>
        <w:spacing w:after="100" w:before="60" w:line="360" w:lineRule="auto"/>
      </w:pPr>
      <w:r>
        <w:rPr>
          <w:rFonts w:ascii="Calibri" w:cs="Calibri" w:eastAsia="Calibri" w:hAnsi="Calibri"/>
          <w:b w:val="false"/>
          <w:bCs w:val="false"/>
          <w:i w:val="false"/>
          <w:iCs w:val="false"/>
          <w:strike w:val="false"/>
          <w:color w:val="000000"/>
          <w:sz w:val="20"/>
          <w:szCs w:val="20"/>
        </w:rPr>
        <w:t xml:space="preserve">Assess and classify the environment's response to the correction.</w:t>
      </w:r>
    </w:p>
    <w:p>
      <w:pPr>
        <w:spacing w:after="60" w:before="60" w:line="360" w:lineRule="auto"/>
      </w:pPr>
      <w:r>
        <w:rPr>
          <w:rFonts w:ascii="Calibri" w:cs="Calibri" w:eastAsia="Calibri" w:hAnsi="Calibri"/>
          <w:b/>
          <w:bCs/>
          <w:i w:val="false"/>
          <w:iCs w:val="false"/>
          <w:strike w:val="false"/>
          <w:color w:val="666666"/>
          <w:sz w:val="18"/>
          <w:szCs w:val="18"/>
        </w:rPr>
        <w:t xml:space="preserve">Activity</w:t>
      </w:r>
    </w:p>
    <w:p>
      <w:pPr>
        <w:spacing w:after="100" w:before="60" w:line="360" w:lineRule="auto"/>
      </w:pPr>
      <w:r>
        <w:rPr>
          <w:rFonts w:ascii="Calibri" w:cs="Calibri" w:eastAsia="Calibri" w:hAnsi="Calibri"/>
          <w:b w:val="false"/>
          <w:bCs w:val="false"/>
          <w:i w:val="false"/>
          <w:iCs w:val="false"/>
          <w:strike w:val="false"/>
          <w:color w:val="000000"/>
          <w:sz w:val="20"/>
          <w:szCs w:val="20"/>
        </w:rPr>
        <w:t xml:space="preserve">Measure against the 0–4 Presentational Inertia scale. Calculate Reframe Delta (difference between original reconstructed account and the version that emerges after the environment's response). Document the response with evidence.</w:t>
      </w:r>
    </w:p>
    <w:p>
      <w:pPr>
        <w:spacing w:after="60" w:before="60" w:line="360" w:lineRule="auto"/>
      </w:pPr>
      <w:r>
        <w:rPr>
          <w:rFonts w:ascii="Calibri" w:cs="Calibri" w:eastAsia="Calibri" w:hAnsi="Calibri"/>
          <w:b/>
          <w:bCs/>
          <w:i w:val="false"/>
          <w:iCs w:val="false"/>
          <w:strike w:val="false"/>
          <w:color w:val="666666"/>
          <w:sz w:val="18"/>
          <w:szCs w:val="18"/>
        </w:rPr>
        <w:t xml:space="preserve">Output</w:t>
      </w:r>
    </w:p>
    <w:p>
      <w:pPr>
        <w:spacing w:after="100" w:before="60" w:line="360" w:lineRule="auto"/>
      </w:pPr>
      <w:r>
        <w:rPr>
          <w:rFonts w:ascii="Calibri" w:cs="Calibri" w:eastAsia="Calibri" w:hAnsi="Calibri"/>
          <w:b w:val="false"/>
          <w:bCs w:val="false"/>
          <w:i w:val="false"/>
          <w:iCs w:val="false"/>
          <w:strike w:val="false"/>
          <w:color w:val="000000"/>
          <w:sz w:val="20"/>
          <w:szCs w:val="20"/>
        </w:rPr>
        <w:t xml:space="preserve">Inertia level classification (with falsifiable basis), Reframe Delta measurement, and documentation for the audit record.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80" w:line="360" w:lineRule="auto"/>
            </w:pPr>
            <w:r>
              <w:rPr>
                <w:rFonts w:ascii="Calibri" w:cs="Calibri" w:eastAsia="Calibri" w:hAnsi="Calibri"/>
                <w:b/>
                <w:bCs/>
                <w:i w:val="false"/>
                <w:iCs w:val="false"/>
                <w:strike w:val="false"/>
                <w:color w:val="000000"/>
                <w:sz w:val="20"/>
                <w:szCs w:val="20"/>
              </w:rPr>
              <w:t xml:space="preserve">Key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inertia classification must be based on observed behavior, not inferred disposition.</w:t>
            </w:r>
          </w:p>
        </w:tc>
      </w:tr>
    </w:tbl>
    <w:p>
      <w:pPr>
        <w:spacing w:after="240" w:before="0"/>
      </w:pPr>
    </w:p>
    <w:p>
      <w:pPr>
        <w:pBdr>
          <w:bottom w:val="single" w:color="2B5797" w:sz="6"/>
        </w:pBdr>
        <w:spacing w:after="240" w:before="24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5: The Presentational Inertia Scale — Unified Version</w:t>
      </w:r>
    </w:p>
    <w:p>
      <w:pPr>
        <w:spacing w:after="80" w:before="80" w:line="360" w:lineRule="auto"/>
      </w:pPr>
      <w:r>
        <w:rPr>
          <w:rFonts w:ascii="Calibri" w:cs="Calibri" w:eastAsia="Calibri" w:hAnsi="Calibri"/>
          <w:b w:val="false"/>
          <w:bCs w:val="false"/>
          <w:i/>
          <w:iCs/>
          <w:strike w:val="false"/>
          <w:color w:val="666666"/>
          <w:sz w:val="18"/>
          <w:szCs w:val="18"/>
        </w:rPr>
        <w:t xml:space="preserve">Combined from Copilot v1.0 definition and Grok v1.1 falsifiability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Level</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Label</w:t>
            </w:r>
          </w:p>
        </w:tc>
        <w:tc>
          <w:tcPr>
            <w:tcW w:type="pct" w:w="3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Observable Indicators</w:t>
            </w:r>
          </w:p>
        </w:tc>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Reframe Delta</w:t>
            </w:r>
          </w:p>
        </w:tc>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What Would Falsify This Classification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0</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 Inertia</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Environment updates presented state when gap evidence is provided. Correction is accepted and recorded without qualification.</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Near zero</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Evidence that the presented account was only partially updated, or that reframing occurred in subsequent communications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Nominal Inertia</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Environment accepts correction but uses qualifying language that softens, contextualizes, or limits it ("there may have been some misunderstanding," "in this particular case")</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Small but measurable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Evidence that the operative record shows the correction without qualification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Procedural Inertia</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Correction is routed into a gatekept, slow, or contested process. The pathway exists but is functionally impeded.</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Moderate; depends on process outcome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Evidence that the process operates similarly for all corrections of this type, not selectively for this one</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Structural Inertia</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 mechanism exists to receive or act on this class of correction. The correction disappears into the system.</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Total within the mechanism; partial if preserved externally</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Identification of a mechanism that can receive the correction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4</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Active Inertia</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Environment responds to the correction by contesting the corrective evidence, reinforcing the presented version, or framing the corrective attempt as itself an error.</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Can exceed the original gap if the response introduces new presented claims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Evidence that the response is standard procedure applied to all corrections of this type</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6: The Corrective Access Test — Unified Version</w:t>
      </w:r>
    </w:p>
    <w:p>
      <w:pPr>
        <w:spacing w:after="80" w:before="80" w:line="360" w:lineRule="auto"/>
      </w:pPr>
      <w:r>
        <w:rPr>
          <w:rFonts w:ascii="Calibri" w:cs="Calibri" w:eastAsia="Calibri" w:hAnsi="Calibri"/>
          <w:b w:val="false"/>
          <w:bCs w:val="false"/>
          <w:i/>
          <w:iCs/>
          <w:strike w:val="false"/>
          <w:color w:val="666666"/>
          <w:sz w:val="18"/>
          <w:szCs w:val="18"/>
        </w:rPr>
        <w:t xml:space="preserve">Combined from Copilot v1.0 and v1.1; incorporating Grok D3. Six barrier categories. Each scored independently. Composite picture drawn from individual scores.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Barrier</w:t>
            </w:r>
          </w:p>
        </w:tc>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What It Tests</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Open Indicators</w:t>
            </w:r>
          </w:p>
        </w:tc>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Blocked Indicators</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Absent Indicators</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Contested Indicators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Pathway Barrier</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Is there a procedural channel for submitting the correction, and is it accessible?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Channel is known, accessible, and has been used by comparable cases</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Channel exists but is inaccessible (form cannot be submitted, person cannot be reached, timing requirements cannot be met)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 channel exists for this class of correction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Channel existence or accessibility is disputed</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Record Format Barrier</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Is the evidence in a format the corrective process accepts?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Format accepted; chain of custody intact</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Format is wrong; chain of custody questioned</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 format standard exists; correction cannot be evidenced in any accepted form</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Whether the evidence meets format requirements is disputed</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Mechanism Barrier</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Is there a mechanism that can receive and act on the correction?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Mechanism exists, has been tested, and has acted on comparable corrections</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Mechanism exists but has not acted; response is pending beyond normal timeframe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 mechanism exists for this class of correction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Whether a mechanism exists or applies is disputed</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Authority Barrier</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Is the observer's standing to submit the correction recognized?</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Standing is recognized without challenge</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Standing is not disputed but no action follows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Standing is categorically denied; observer has no recognized role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Standing is challenged on one or more grounds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80" w:line="360" w:lineRule="auto"/>
            </w:pPr>
            <w:r>
              <w:rPr>
                <w:rFonts w:ascii="Calibri" w:cs="Calibri" w:eastAsia="Calibri" w:hAnsi="Calibri"/>
                <w:b/>
                <w:bCs/>
                <w:i w:val="false"/>
                <w:iCs w:val="false"/>
                <w:strike w:val="false"/>
                <w:color w:val="000000"/>
                <w:sz w:val="20"/>
                <w:szCs w:val="20"/>
              </w:rPr>
              <w:t xml:space="preserve">Recursive Denial Note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correction attempt is re-laundered back through the narrative layer ("that's not what happened," "you're misinterpreting," "this is just how it works here"), this is recorded as an active response observation, not a separate barrier. It may affect the Reframe Delta and the Inertia Level classification.</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7: The Four-Tier Evidence Model — Operational Reference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Tier</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Label</w:t>
            </w:r>
          </w:p>
        </w:tc>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Definition</w:t>
            </w:r>
          </w:p>
        </w:tc>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Can Establish</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Cannot Establish</w:t>
            </w:r>
          </w:p>
        </w:tc>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Display Requirement</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OBSERVED</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Event or state directly captured from the authoritative record (engine state, audit log, physical evidence, timestamp, identity record)</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Occurrence and Attribution (when actor identity is in the authoritative record)</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Causation or Intent on its own</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Display as fact; no qualification required</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DERIVED</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Relationship between observed events established by system dependency records, designed procedure evidence, audit trail, or physical mechanism</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Causation (when the dependency is documented or physically demonstrable)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Intent on its own</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Display as established relationship; cite the dependency record or physical mechanism</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INFERRED</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Objective or intent reconstructed from trajectory, state, and available actions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Support for investigation; candidate explanation for Intent test</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Established fact about intent; must not be presented as DERIVED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Display with confidence interval; clearly labeled as INFERRED; visually distinct from Tiers 1 and 2</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4</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PREDICTED</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Probability-weighted next action based on policy inference, trajectory, and state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Preparedness guidance; planning input</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Any historical claim; any attribution; any causation finding</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Display with probability score; clearly labeled as PREDICTED; visually most distinct; never presented as established</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8: HUD Design Reference — Operational Template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is the operational template for a Tier-separated display instrument in a virtual or simulated environment. Each block must be visually distinct.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6B1A" w:sz="6"/>
              <w:left w:val="single" w:color="1A6B1A" w:sz="6"/>
              <w:bottom w:val="single" w:color="1A6B1A" w:sz="6"/>
              <w:right w:val="single" w:color="1A6B1A" w:sz="6"/>
            </w:tcBorders>
            <w:shd w:fill="F4FAF4" w:color="auto" w:val="clear"/>
            <w:tcMar>
              <w:top w:type="dxa" w:w="135"/>
              <w:left w:type="dxa" w:w="195"/>
              <w:bottom w:type="dxa" w:w="135"/>
              <w:right w:type="dxa" w:w="195"/>
            </w:tcMar>
          </w:tcPr>
          <w:p>
            <w:pPr>
              <w:spacing w:after="80" w:line="360" w:lineRule="auto"/>
            </w:pPr>
            <w:r>
              <w:rPr>
                <w:rFonts w:ascii="Calibri" w:cs="Calibri" w:eastAsia="Calibri" w:hAnsi="Calibri"/>
                <w:b/>
                <w:bCs/>
                <w:i w:val="false"/>
                <w:iCs w:val="false"/>
                <w:strike w:val="false"/>
                <w:color w:val="000000"/>
                <w:sz w:val="20"/>
                <w:szCs w:val="20"/>
              </w:rPr>
              <w:t xml:space="preserve">ENTITY PROFILE BLOCK [OBSERVED — Tier 1]</w:t>
            </w:r>
          </w:p>
          <w:p>
            <w:pPr>
              <w:spacing w:after="60" w:line="360" w:lineRule="auto"/>
            </w:pPr>
            <w:r>
              <w:rPr>
                <w:rFonts w:ascii="Calibri" w:cs="Calibri" w:eastAsia="Calibri" w:hAnsi="Calibri"/>
                <w:b/>
                <w:bCs/>
                <w:i w:val="false"/>
                <w:iCs w:val="false"/>
                <w:strike w:val="false"/>
                <w:color w:val="000000"/>
                <w:sz w:val="22"/>
                <w:szCs w:val="22"/>
              </w:rPr>
              <w:t xml:space="preserve">Entity ID:</w:t>
            </w:r>
            <w:r>
              <w:rPr>
                <w:rFonts w:ascii="Calibri" w:cs="Calibri" w:eastAsia="Calibri" w:hAnsi="Calibri"/>
                <w:b w:val="false"/>
                <w:bCs w:val="false"/>
                <w:i w:val="false"/>
                <w:iCs w:val="false"/>
                <w:strike w:val="false"/>
                <w:color w:val="000000"/>
                <w:sz w:val="20"/>
                <w:szCs w:val="20"/>
              </w:rPr>
              <w:t xml:space="preserve"> [from authoritative registry]</w:t>
            </w:r>
          </w:p>
          <w:p>
            <w:pPr>
              <w:spacing w:after="60" w:line="360" w:lineRule="auto"/>
            </w:pPr>
            <w:r>
              <w:rPr>
                <w:rFonts w:ascii="Calibri" w:cs="Calibri" w:eastAsia="Calibri" w:hAnsi="Calibri"/>
                <w:b/>
                <w:bCs/>
                <w:i w:val="false"/>
                <w:iCs w:val="false"/>
                <w:strike w:val="false"/>
                <w:color w:val="000000"/>
                <w:sz w:val="22"/>
                <w:szCs w:val="22"/>
              </w:rPr>
              <w:t xml:space="preserve">Location:</w:t>
            </w:r>
            <w:r>
              <w:rPr>
                <w:rFonts w:ascii="Calibri" w:cs="Calibri" w:eastAsia="Calibri" w:hAnsi="Calibri"/>
                <w:b w:val="false"/>
                <w:bCs w:val="false"/>
                <w:i w:val="false"/>
                <w:iCs w:val="false"/>
                <w:strike w:val="false"/>
                <w:color w:val="000000"/>
                <w:sz w:val="20"/>
                <w:szCs w:val="20"/>
              </w:rPr>
              <w:t xml:space="preserve"> [from state record]</w:t>
            </w:r>
          </w:p>
          <w:p>
            <w:pPr>
              <w:spacing w:after="60" w:line="360" w:lineRule="auto"/>
            </w:pPr>
            <w:r>
              <w:rPr>
                <w:rFonts w:ascii="Calibri" w:cs="Calibri" w:eastAsia="Calibri" w:hAnsi="Calibri"/>
                <w:b/>
                <w:bCs/>
                <w:i w:val="false"/>
                <w:iCs w:val="false"/>
                <w:strike w:val="false"/>
                <w:color w:val="000000"/>
                <w:sz w:val="22"/>
                <w:szCs w:val="22"/>
              </w:rPr>
              <w:t xml:space="preserve">Timestamp of Entry:</w:t>
            </w:r>
            <w:r>
              <w:rPr>
                <w:rFonts w:ascii="Calibri" w:cs="Calibri" w:eastAsia="Calibri" w:hAnsi="Calibri"/>
                <w:b w:val="false"/>
                <w:bCs w:val="false"/>
                <w:i w:val="false"/>
                <w:iCs w:val="false"/>
                <w:strike w:val="false"/>
                <w:color w:val="000000"/>
                <w:sz w:val="20"/>
                <w:szCs w:val="20"/>
              </w:rPr>
              <w:t xml:space="preserve"> [from authoritative ledger]</w:t>
            </w:r>
          </w:p>
          <w:p>
            <w:pPr>
              <w:spacing w:after="60" w:line="360" w:lineRule="auto"/>
            </w:pPr>
            <w:r>
              <w:rPr>
                <w:rFonts w:ascii="Calibri" w:cs="Calibri" w:eastAsia="Calibri" w:hAnsi="Calibri"/>
                <w:b/>
                <w:bCs/>
                <w:i w:val="false"/>
                <w:iCs w:val="false"/>
                <w:strike w:val="false"/>
                <w:color w:val="000000"/>
                <w:sz w:val="22"/>
                <w:szCs w:val="22"/>
              </w:rPr>
              <w:t xml:space="preserve">Privilege/Role:</w:t>
            </w:r>
            <w:r>
              <w:rPr>
                <w:rFonts w:ascii="Calibri" w:cs="Calibri" w:eastAsia="Calibri" w:hAnsi="Calibri"/>
                <w:b w:val="false"/>
                <w:bCs w:val="false"/>
                <w:i w:val="false"/>
                <w:iCs w:val="false"/>
                <w:strike w:val="false"/>
                <w:color w:val="000000"/>
                <w:sz w:val="20"/>
                <w:szCs w:val="20"/>
              </w:rPr>
              <w:t xml:space="preserve"> [from authorization record]</w:t>
            </w:r>
          </w:p>
          <w:p>
            <w:pPr>
              <w:spacing w:after="60" w:line="360" w:lineRule="auto"/>
            </w:pPr>
            <w:r>
              <w:rPr>
                <w:rFonts w:ascii="Calibri" w:cs="Calibri" w:eastAsia="Calibri" w:hAnsi="Calibri"/>
                <w:b/>
                <w:bCs/>
                <w:i w:val="false"/>
                <w:iCs w:val="false"/>
                <w:strike w:val="false"/>
                <w:color w:val="000000"/>
                <w:sz w:val="22"/>
                <w:szCs w:val="22"/>
              </w:rPr>
              <w:t xml:space="preserve">Controller:</w:t>
            </w:r>
            <w:r>
              <w:rPr>
                <w:rFonts w:ascii="Calibri" w:cs="Calibri" w:eastAsia="Calibri" w:hAnsi="Calibri"/>
                <w:b w:val="false"/>
                <w:bCs w:val="false"/>
                <w:i w:val="false"/>
                <w:iCs w:val="false"/>
                <w:strike w:val="false"/>
                <w:color w:val="000000"/>
                <w:sz w:val="20"/>
                <w:szCs w:val="20"/>
              </w:rPr>
              <w:t xml:space="preserve"> [from dependency record]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135"/>
              <w:left w:type="dxa" w:w="195"/>
              <w:bottom w:type="dxa" w:w="135"/>
              <w:right w:type="dxa" w:w="195"/>
            </w:tcMar>
          </w:tcPr>
          <w:p>
            <w:pPr>
              <w:spacing w:after="80" w:line="360" w:lineRule="auto"/>
            </w:pPr>
            <w:r>
              <w:rPr>
                <w:rFonts w:ascii="Calibri" w:cs="Calibri" w:eastAsia="Calibri" w:hAnsi="Calibri"/>
                <w:b/>
                <w:bCs/>
                <w:i w:val="false"/>
                <w:iCs w:val="false"/>
                <w:strike w:val="false"/>
                <w:color w:val="000000"/>
                <w:sz w:val="20"/>
                <w:szCs w:val="20"/>
              </w:rPr>
              <w:t xml:space="preserve">EVENT RELATIONSHIP BLOCK [DERIVED — Tier 2]</w:t>
            </w:r>
          </w:p>
          <w:p>
            <w:pPr>
              <w:spacing w:after="60" w:line="360" w:lineRule="auto"/>
            </w:pPr>
            <w:r>
              <w:rPr>
                <w:rFonts w:ascii="Calibri" w:cs="Calibri" w:eastAsia="Calibri" w:hAnsi="Calibri"/>
                <w:b/>
                <w:bCs/>
                <w:i w:val="false"/>
                <w:iCs w:val="false"/>
                <w:strike w:val="false"/>
                <w:color w:val="000000"/>
                <w:sz w:val="22"/>
                <w:szCs w:val="22"/>
              </w:rPr>
              <w:t xml:space="preserve">Related Events:</w:t>
            </w:r>
            <w:r>
              <w:rPr>
                <w:rFonts w:ascii="Calibri" w:cs="Calibri" w:eastAsia="Calibri" w:hAnsi="Calibri"/>
                <w:b w:val="false"/>
                <w:bCs w:val="false"/>
                <w:i w:val="false"/>
                <w:iCs w:val="false"/>
                <w:strike w:val="false"/>
                <w:color w:val="000000"/>
                <w:sz w:val="20"/>
                <w:szCs w:val="20"/>
              </w:rPr>
              <w:t xml:space="preserve"> [event IDs and timestamps from provenance graph]</w:t>
            </w:r>
          </w:p>
          <w:p>
            <w:pPr>
              <w:spacing w:after="60" w:line="360" w:lineRule="auto"/>
            </w:pPr>
            <w:r>
              <w:rPr>
                <w:rFonts w:ascii="Calibri" w:cs="Calibri" w:eastAsia="Calibri" w:hAnsi="Calibri"/>
                <w:b/>
                <w:bCs/>
                <w:i w:val="false"/>
                <w:iCs w:val="false"/>
                <w:strike w:val="false"/>
                <w:color w:val="000000"/>
                <w:sz w:val="22"/>
                <w:szCs w:val="22"/>
              </w:rPr>
              <w:t xml:space="preserve">Causal Chain:</w:t>
            </w:r>
            <w:r>
              <w:rPr>
                <w:rFonts w:ascii="Calibri" w:cs="Calibri" w:eastAsia="Calibri" w:hAnsi="Calibri"/>
                <w:b w:val="false"/>
                <w:bCs w:val="false"/>
                <w:i w:val="false"/>
                <w:iCs w:val="false"/>
                <w:strike w:val="false"/>
                <w:color w:val="000000"/>
                <w:sz w:val="20"/>
                <w:szCs w:val="20"/>
              </w:rPr>
              <w:t xml:space="preserve"> [from dependency records — cite each link]</w:t>
            </w:r>
          </w:p>
          <w:p>
            <w:pPr>
              <w:spacing w:after="60" w:line="360" w:lineRule="auto"/>
            </w:pPr>
            <w:r>
              <w:rPr>
                <w:rFonts w:ascii="Calibri" w:cs="Calibri" w:eastAsia="Calibri" w:hAnsi="Calibri"/>
                <w:b/>
                <w:bCs/>
                <w:i w:val="false"/>
                <w:iCs w:val="false"/>
                <w:strike w:val="false"/>
                <w:color w:val="000000"/>
                <w:sz w:val="22"/>
                <w:szCs w:val="22"/>
              </w:rPr>
              <w:t xml:space="preserve">Dependency Type:</w:t>
            </w:r>
            <w:r>
              <w:rPr>
                <w:rFonts w:ascii="Calibri" w:cs="Calibri" w:eastAsia="Calibri" w:hAnsi="Calibri"/>
                <w:b w:val="false"/>
                <w:bCs w:val="false"/>
                <w:i w:val="false"/>
                <w:iCs w:val="false"/>
                <w:strike w:val="false"/>
                <w:color w:val="000000"/>
                <w:sz w:val="20"/>
                <w:szCs w:val="20"/>
              </w:rPr>
              <w:t xml:space="preserve"> [direct trigger / shared controller / sequential dependency / correlated timing]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7A00" w:sz="6"/>
              <w:left w:val="single" w:color="CC7A00" w:sz="6"/>
              <w:bottom w:val="single" w:color="CC7A00" w:sz="6"/>
              <w:right w:val="single" w:color="CC7A00" w:sz="6"/>
            </w:tcBorders>
            <w:shd w:fill="FFF8EC" w:color="auto" w:val="clear"/>
            <w:tcMar>
              <w:top w:type="dxa" w:w="135"/>
              <w:left w:type="dxa" w:w="195"/>
              <w:bottom w:type="dxa" w:w="135"/>
              <w:right w:type="dxa" w:w="195"/>
            </w:tcMar>
          </w:tcPr>
          <w:p>
            <w:pPr>
              <w:spacing w:after="80" w:line="360" w:lineRule="auto"/>
            </w:pPr>
            <w:r>
              <w:rPr>
                <w:rFonts w:ascii="Calibri" w:cs="Calibri" w:eastAsia="Calibri" w:hAnsi="Calibri"/>
                <w:b/>
                <w:bCs/>
                <w:i w:val="false"/>
                <w:iCs w:val="false"/>
                <w:strike w:val="false"/>
                <w:color w:val="000000"/>
                <w:sz w:val="20"/>
                <w:szCs w:val="20"/>
              </w:rPr>
              <w:t xml:space="preserve">OBJECTIVE ASSESSMENT BLOCK [INFERRED — Tier 3]</w:t>
            </w:r>
          </w:p>
          <w:p>
            <w:pPr>
              <w:spacing w:after="60" w:line="360" w:lineRule="auto"/>
            </w:pPr>
            <w:r>
              <w:rPr>
                <w:rFonts w:ascii="Calibri" w:cs="Calibri" w:eastAsia="Calibri" w:hAnsi="Calibri"/>
                <w:b/>
                <w:bCs/>
                <w:i w:val="false"/>
                <w:iCs w:val="false"/>
                <w:strike w:val="false"/>
                <w:color w:val="000000"/>
                <w:sz w:val="22"/>
                <w:szCs w:val="22"/>
              </w:rPr>
              <w:t xml:space="preserve">Probable Objective:</w:t>
            </w:r>
            <w:r>
              <w:rPr>
                <w:rFonts w:ascii="Calibri" w:cs="Calibri" w:eastAsia="Calibri" w:hAnsi="Calibri"/>
                <w:b w:val="false"/>
                <w:bCs w:val="false"/>
                <w:i w:val="false"/>
                <w:iCs w:val="false"/>
                <w:strike w:val="false"/>
                <w:color w:val="000000"/>
                <w:sz w:val="20"/>
                <w:szCs w:val="20"/>
              </w:rPr>
              <w:t xml:space="preserve"> [stated as inference]</w:t>
            </w:r>
          </w:p>
          <w:p>
            <w:pPr>
              <w:spacing w:after="60" w:line="360" w:lineRule="auto"/>
            </w:pPr>
            <w:r>
              <w:rPr>
                <w:rFonts w:ascii="Calibri" w:cs="Calibri" w:eastAsia="Calibri" w:hAnsi="Calibri"/>
                <w:b/>
                <w:bCs/>
                <w:i w:val="false"/>
                <w:iCs w:val="false"/>
                <w:strike w:val="false"/>
                <w:color w:val="000000"/>
                <w:sz w:val="22"/>
                <w:szCs w:val="22"/>
              </w:rPr>
              <w:t xml:space="preserve">Confidence:</w:t>
            </w:r>
            <w:r>
              <w:rPr>
                <w:rFonts w:ascii="Calibri" w:cs="Calibri" w:eastAsia="Calibri" w:hAnsi="Calibri"/>
                <w:b w:val="false"/>
                <w:bCs w:val="false"/>
                <w:i w:val="false"/>
                <w:iCs w:val="false"/>
                <w:strike w:val="false"/>
                <w:color w:val="000000"/>
                <w:sz w:val="20"/>
                <w:szCs w:val="20"/>
              </w:rPr>
              <w:t xml:space="preserve"> [percentage or interval]</w:t>
            </w:r>
          </w:p>
          <w:p>
            <w:pPr>
              <w:spacing w:after="60" w:line="360" w:lineRule="auto"/>
            </w:pPr>
            <w:r>
              <w:rPr>
                <w:rFonts w:ascii="Calibri" w:cs="Calibri" w:eastAsia="Calibri" w:hAnsi="Calibri"/>
                <w:b/>
                <w:bCs/>
                <w:i w:val="false"/>
                <w:iCs w:val="false"/>
                <w:strike w:val="false"/>
                <w:color w:val="000000"/>
                <w:sz w:val="22"/>
                <w:szCs w:val="22"/>
              </w:rPr>
              <w:t xml:space="preserve">Basis:</w:t>
            </w:r>
            <w:r>
              <w:rPr>
                <w:rFonts w:ascii="Calibri" w:cs="Calibri" w:eastAsia="Calibri" w:hAnsi="Calibri"/>
                <w:b w:val="false"/>
                <w:bCs w:val="false"/>
                <w:i w:val="false"/>
                <w:iCs w:val="false"/>
                <w:strike w:val="false"/>
                <w:color w:val="000000"/>
                <w:sz w:val="20"/>
                <w:szCs w:val="20"/>
              </w:rPr>
              <w:t xml:space="preserve"> [trajectory analysis / policy model / state comparison]</w:t>
            </w:r>
          </w:p>
          <w:p>
            <w:pPr>
              <w:spacing w:after="120" w:line="360" w:lineRule="auto"/>
            </w:pPr>
            <w:r>
              <w:rPr>
                <w:rFonts w:ascii="Calibri" w:cs="Calibri" w:eastAsia="Calibri" w:hAnsi="Calibri"/>
                <w:b w:val="false"/>
                <w:bCs w:val="false"/>
                <w:i/>
                <w:iCs/>
                <w:strike w:val="false"/>
                <w:color w:val="666666"/>
                <w:sz w:val="18"/>
                <w:szCs w:val="18"/>
              </w:rPr>
              <w:t xml:space="preserve">This is an inference. It has not been established from the authoritative record.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1A1A" w:sz="6"/>
              <w:left w:val="single" w:color="8B1A1A" w:sz="6"/>
              <w:bottom w:val="single" w:color="8B1A1A" w:sz="6"/>
              <w:right w:val="single" w:color="8B1A1A" w:sz="6"/>
            </w:tcBorders>
            <w:shd w:fill="FDF0F0" w:color="auto" w:val="clear"/>
            <w:tcMar>
              <w:top w:type="dxa" w:w="135"/>
              <w:left w:type="dxa" w:w="195"/>
              <w:bottom w:type="dxa" w:w="135"/>
              <w:right w:type="dxa" w:w="195"/>
            </w:tcMar>
          </w:tcPr>
          <w:p>
            <w:pPr>
              <w:spacing w:after="80" w:line="360" w:lineRule="auto"/>
            </w:pPr>
            <w:r>
              <w:rPr>
                <w:rFonts w:ascii="Calibri" w:cs="Calibri" w:eastAsia="Calibri" w:hAnsi="Calibri"/>
                <w:b/>
                <w:bCs/>
                <w:i w:val="false"/>
                <w:iCs w:val="false"/>
                <w:strike w:val="false"/>
                <w:color w:val="000000"/>
                <w:sz w:val="20"/>
                <w:szCs w:val="20"/>
              </w:rPr>
              <w:t xml:space="preserve">PREDICTION BLOCK [PREDICTED — Tier 4]</w:t>
            </w:r>
          </w:p>
          <w:p>
            <w:pPr>
              <w:spacing w:after="60" w:line="360" w:lineRule="auto"/>
            </w:pPr>
            <w:r>
              <w:rPr>
                <w:rFonts w:ascii="Calibri" w:cs="Calibri" w:eastAsia="Calibri" w:hAnsi="Calibri"/>
                <w:b/>
                <w:bCs/>
                <w:i w:val="false"/>
                <w:iCs w:val="false"/>
                <w:strike w:val="false"/>
                <w:color w:val="000000"/>
                <w:sz w:val="22"/>
                <w:szCs w:val="22"/>
              </w:rPr>
              <w:t xml:space="preserve">Next Predicted Action:</w:t>
            </w:r>
            <w:r>
              <w:rPr>
                <w:rFonts w:ascii="Calibri" w:cs="Calibri" w:eastAsia="Calibri" w:hAnsi="Calibri"/>
                <w:b w:val="false"/>
                <w:bCs w:val="false"/>
                <w:i w:val="false"/>
                <w:iCs w:val="false"/>
                <w:strike w:val="false"/>
                <w:color w:val="000000"/>
                <w:sz w:val="20"/>
                <w:szCs w:val="20"/>
              </w:rPr>
              <w:t xml:space="preserve"> [stated as prediction]</w:t>
            </w:r>
          </w:p>
          <w:p>
            <w:pPr>
              <w:spacing w:after="60" w:line="360" w:lineRule="auto"/>
            </w:pPr>
            <w:r>
              <w:rPr>
                <w:rFonts w:ascii="Calibri" w:cs="Calibri" w:eastAsia="Calibri" w:hAnsi="Calibri"/>
                <w:b/>
                <w:bCs/>
                <w:i w:val="false"/>
                <w:iCs w:val="false"/>
                <w:strike w:val="false"/>
                <w:color w:val="000000"/>
                <w:sz w:val="22"/>
                <w:szCs w:val="22"/>
              </w:rPr>
              <w:t xml:space="preserve">Probability:</w:t>
            </w:r>
            <w:r>
              <w:rPr>
                <w:rFonts w:ascii="Calibri" w:cs="Calibri" w:eastAsia="Calibri" w:hAnsi="Calibri"/>
                <w:b w:val="false"/>
                <w:bCs w:val="false"/>
                <w:i w:val="false"/>
                <w:iCs w:val="false"/>
                <w:strike w:val="false"/>
                <w:color w:val="000000"/>
                <w:sz w:val="20"/>
                <w:szCs w:val="20"/>
              </w:rPr>
              <w:t xml:space="preserve"> [percentage]</w:t>
            </w:r>
          </w:p>
          <w:p>
            <w:pPr>
              <w:spacing w:after="60" w:line="360" w:lineRule="auto"/>
            </w:pPr>
            <w:r>
              <w:rPr>
                <w:rFonts w:ascii="Calibri" w:cs="Calibri" w:eastAsia="Calibri" w:hAnsi="Calibri"/>
                <w:b/>
                <w:bCs/>
                <w:i w:val="false"/>
                <w:iCs w:val="false"/>
                <w:strike w:val="false"/>
                <w:color w:val="000000"/>
                <w:sz w:val="22"/>
                <w:szCs w:val="22"/>
              </w:rPr>
              <w:t xml:space="preserve">Basis:</w:t>
            </w:r>
            <w:r>
              <w:rPr>
                <w:rFonts w:ascii="Calibri" w:cs="Calibri" w:eastAsia="Calibri" w:hAnsi="Calibri"/>
                <w:b w:val="false"/>
                <w:bCs w:val="false"/>
                <w:i w:val="false"/>
                <w:iCs w:val="false"/>
                <w:strike w:val="false"/>
                <w:color w:val="000000"/>
                <w:sz w:val="20"/>
                <w:szCs w:val="20"/>
              </w:rPr>
              <w:t xml:space="preserve"> [policy model / trajectory / historical pattern]</w:t>
            </w:r>
          </w:p>
          <w:p>
            <w:pPr>
              <w:spacing w:after="120" w:line="360" w:lineRule="auto"/>
            </w:pPr>
            <w:r>
              <w:rPr>
                <w:rFonts w:ascii="Calibri" w:cs="Calibri" w:eastAsia="Calibri" w:hAnsi="Calibri"/>
                <w:b w:val="false"/>
                <w:bCs w:val="false"/>
                <w:i/>
                <w:iCs/>
                <w:strike w:val="false"/>
                <w:color w:val="666666"/>
                <w:sz w:val="18"/>
                <w:szCs w:val="18"/>
              </w:rPr>
              <w:t xml:space="preserve">This is a probability estimate. It is not a fact about past or present events.</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9: Application — Virtual and Simulated Environments</w:t>
      </w:r>
    </w:p>
    <w:p>
      <w:pPr>
        <w:spacing w:after="120" w:before="60" w:line="360" w:lineRule="auto"/>
      </w:pPr>
      <w:r>
        <w:rPr>
          <w:rFonts w:ascii="Calibri" w:cs="Calibri" w:eastAsia="Calibri" w:hAnsi="Calibri"/>
          <w:b/>
          <w:bCs/>
          <w:i w:val="false"/>
          <w:iCs w:val="false"/>
          <w:strike w:val="false"/>
          <w:color w:val="000000"/>
          <w:sz w:val="22"/>
          <w:szCs w:val="22"/>
        </w:rPr>
        <w:t xml:space="preserve">Where the framework is strongest:</w:t>
      </w:r>
      <w:r>
        <w:rPr>
          <w:rFonts w:ascii="Calibri" w:cs="Calibri" w:eastAsia="Calibri" w:hAnsi="Calibri"/>
          <w:b w:val="false"/>
          <w:bCs w:val="false"/>
          <w:i w:val="false"/>
          <w:iCs w:val="false"/>
          <w:strike w:val="false"/>
          <w:color w:val="000000"/>
          <w:sz w:val="22"/>
          <w:szCs w:val="22"/>
        </w:rPr>
        <w:t xml:space="preserve"> in simulation, the State Layer is the authoritative engine state. OBSERVED and DERIVED findings can be established with high confidence. The challenge shifts to Phase 4 (Corrective Access) and Phase 6 (Inertia) — even in simulation, agents controlling the environment may resist correction.</w:t>
      </w:r>
    </w:p>
    <w:p>
      <w:pPr>
        <w:spacing w:after="120" w:before="60" w:line="360" w:lineRule="auto"/>
      </w:pPr>
      <w:r>
        <w:rPr>
          <w:rFonts w:ascii="Calibri" w:cs="Calibri" w:eastAsia="Calibri" w:hAnsi="Calibri"/>
          <w:b/>
          <w:bCs/>
          <w:i w:val="false"/>
          <w:iCs w:val="false"/>
          <w:strike w:val="false"/>
          <w:color w:val="000000"/>
          <w:sz w:val="22"/>
          <w:szCs w:val="22"/>
        </w:rPr>
        <w:t xml:space="preserve">The multi-camera reconciliation method:</w:t>
      </w:r>
      <w:r>
        <w:rPr>
          <w:rFonts w:ascii="Calibri" w:cs="Calibri" w:eastAsia="Calibri" w:hAnsi="Calibri"/>
          <w:b w:val="false"/>
          <w:bCs w:val="false"/>
          <w:i w:val="false"/>
          <w:iCs w:val="false"/>
          <w:strike w:val="false"/>
          <w:color w:val="000000"/>
          <w:sz w:val="22"/>
          <w:szCs w:val="22"/>
        </w:rPr>
        <w:t xml:space="preserve"> when multiple systems each render their own viewpoint, the authority is not any of the renderings. The authority is the state-transition record from which all renderings were produced. Each camera is a representation; none is the ground truth. The auditor goes beneath the cameras to the state record.</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10: Application — Real-World and Hybrid Environments</w:t>
      </w:r>
    </w:p>
    <w:p>
      <w:pPr>
        <w:spacing w:after="120" w:before="60" w:line="360" w:lineRule="auto"/>
      </w:pPr>
      <w:r>
        <w:rPr>
          <w:rFonts w:ascii="Calibri" w:cs="Calibri" w:eastAsia="Calibri" w:hAnsi="Calibri"/>
          <w:b/>
          <w:bCs/>
          <w:i w:val="false"/>
          <w:iCs w:val="false"/>
          <w:strike w:val="false"/>
          <w:color w:val="000000"/>
          <w:sz w:val="22"/>
          <w:szCs w:val="22"/>
        </w:rPr>
        <w:t xml:space="preserve">Where the framework is most challenged:</w:t>
      </w:r>
      <w:r>
        <w:rPr>
          <w:rFonts w:ascii="Calibri" w:cs="Calibri" w:eastAsia="Calibri" w:hAnsi="Calibri"/>
          <w:b w:val="false"/>
          <w:bCs w:val="false"/>
          <w:i w:val="false"/>
          <w:iCs w:val="false"/>
          <w:strike w:val="false"/>
          <w:color w:val="000000"/>
          <w:sz w:val="22"/>
          <w:szCs w:val="22"/>
        </w:rPr>
        <w:t xml:space="preserve"> in physical and organizational environments, there is no simulation engine providing authoritative state. The framework substitutes best-supported-evidenced-state based on: designed procedures, physical evidence, timestamps, independent records, repeated trials, and multiple independent witnesses at different vantage points.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evidentiary standard shifts from authoritative to best-supported-evidenced-state. The method does not change.</w:t>
      </w:r>
    </w:p>
    <w:p>
      <w:pPr>
        <w:spacing w:after="120" w:before="60" w:line="360" w:lineRule="auto"/>
      </w:pPr>
      <w:r>
        <w:rPr>
          <w:rFonts w:ascii="Calibri" w:cs="Calibri" w:eastAsia="Calibri" w:hAnsi="Calibri"/>
          <w:b/>
          <w:bCs/>
          <w:i w:val="false"/>
          <w:iCs w:val="false"/>
          <w:strike w:val="false"/>
          <w:color w:val="000000"/>
          <w:sz w:val="22"/>
          <w:szCs w:val="22"/>
        </w:rPr>
        <w:t xml:space="preserve">Why Corrective Access is most critical in real-world environments:</w:t>
      </w:r>
      <w:r>
        <w:rPr>
          <w:rFonts w:ascii="Calibri" w:cs="Calibri" w:eastAsia="Calibri" w:hAnsi="Calibri"/>
          <w:b w:val="false"/>
          <w:bCs w:val="false"/>
          <w:i w:val="false"/>
          <w:iCs w:val="false"/>
          <w:strike w:val="false"/>
          <w:color w:val="000000"/>
          <w:sz w:val="22"/>
          <w:szCs w:val="22"/>
        </w:rPr>
        <w:t xml:space="preserve"> Real-world environments often have the highest Presentational Inertia levels and the most contested Corrective Access. The framework's contribution here is structural: naming the Corrective Access failure separately from the substantive gap. A blocked corrective pathway is itself a finding, not a reason to abandon the audit.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80" w:line="360" w:lineRule="auto"/>
            </w:pPr>
            <w:r>
              <w:rPr>
                <w:rFonts w:ascii="Calibri" w:cs="Calibri" w:eastAsia="Calibri" w:hAnsi="Calibri"/>
                <w:b/>
                <w:bCs/>
                <w:i w:val="false"/>
                <w:iCs w:val="false"/>
                <w:strike w:val="false"/>
                <w:color w:val="000000"/>
                <w:sz w:val="20"/>
                <w:szCs w:val="20"/>
              </w:rPr>
              <w:t xml:space="preserve">The Restroom Example — Final Scope Statement (per Grok D4)</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example validates: </w:t>
            </w:r>
            <w:r>
              <w:rPr>
                <w:rFonts w:ascii="Calibri" w:cs="Calibri" w:eastAsia="Calibri" w:hAnsi="Calibri"/>
                <w:b/>
                <w:bCs/>
                <w:i w:val="false"/>
                <w:iCs w:val="false"/>
                <w:strike w:val="false"/>
                <w:color w:val="000000"/>
                <w:sz w:val="22"/>
                <w:szCs w:val="22"/>
              </w:rPr>
              <w:t xml:space="preserve">false availability</w:t>
            </w:r>
            <w:r>
              <w:rPr>
                <w:rFonts w:ascii="Calibri" w:cs="Calibri" w:eastAsia="Calibri" w:hAnsi="Calibri"/>
                <w:b w:val="false"/>
                <w:bCs w:val="false"/>
                <w:i w:val="false"/>
                <w:iCs w:val="false"/>
                <w:strike w:val="false"/>
                <w:color w:val="000000"/>
                <w:sz w:val="22"/>
                <w:szCs w:val="22"/>
              </w:rPr>
              <w:t xml:space="preserve"> (the door was presented as open/accessible when it was not), </w:t>
            </w:r>
            <w:r>
              <w:rPr>
                <w:rFonts w:ascii="Calibri" w:cs="Calibri" w:eastAsia="Calibri" w:hAnsi="Calibri"/>
                <w:b/>
                <w:bCs/>
                <w:i w:val="false"/>
                <w:iCs w:val="false"/>
                <w:strike w:val="false"/>
                <w:color w:val="000000"/>
                <w:sz w:val="22"/>
                <w:szCs w:val="22"/>
              </w:rPr>
              <w:t xml:space="preserve">abandoned control</w:t>
            </w:r>
            <w:r>
              <w:rPr>
                <w:rFonts w:ascii="Calibri" w:cs="Calibri" w:eastAsia="Calibri" w:hAnsi="Calibri"/>
                <w:b w:val="false"/>
                <w:bCs w:val="false"/>
                <w:i w:val="false"/>
                <w:iCs w:val="false"/>
                <w:strike w:val="false"/>
                <w:color w:val="000000"/>
                <w:sz w:val="22"/>
                <w:szCs w:val="22"/>
              </w:rPr>
              <w:t xml:space="preserve"> (the staff member left the station), and </w:t>
            </w:r>
            <w:r>
              <w:rPr>
                <w:rFonts w:ascii="Calibri" w:cs="Calibri" w:eastAsia="Calibri" w:hAnsi="Calibri"/>
                <w:b/>
                <w:bCs/>
                <w:i w:val="false"/>
                <w:iCs w:val="false"/>
                <w:strike w:val="false"/>
                <w:color w:val="000000"/>
                <w:sz w:val="22"/>
                <w:szCs w:val="22"/>
              </w:rPr>
              <w:t xml:space="preserve">successful correction</w:t>
            </w:r>
            <w:r>
              <w:rPr>
                <w:rFonts w:ascii="Calibri" w:cs="Calibri" w:eastAsia="Calibri" w:hAnsi="Calibri"/>
                <w:b w:val="false"/>
                <w:bCs w:val="false"/>
                <w:i w:val="false"/>
                <w:iCs w:val="false"/>
                <w:strike w:val="false"/>
                <w:color w:val="000000"/>
                <w:sz w:val="22"/>
                <w:szCs w:val="22"/>
              </w:rPr>
              <w:t xml:space="preserve"> (the observer identified the correct procedure and the correction succeeded). DERIVED evidence (button, mirror, sign — all designed physical evidence) was sufficient. The Assertion Boundary held: no intent claim was required or made. Corrective Access: all four barriers were open. Inertia Level: 0–1. This is a PSI gap case. SPLD classification would require additional evidence of intentional shaping.</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11: Failure Modes and Safeguards — Unified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Failure Mode</w:t>
            </w:r>
          </w:p>
        </w:tc>
        <w:tc>
          <w:tcPr>
            <w:tcW w:type="pct" w:w="3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What It Looks Like</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Risk Level</w:t>
            </w:r>
          </w:p>
        </w:tc>
        <w:tc>
          <w:tcPr>
            <w:tcW w:type="pct" w:w="4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Safeguard</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Tier Conflation</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Presenting an INFERRED finding as if it were OBSERVED or DERIVED</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Assertion Boundary Rule; tier labeled at production; independent review of tier assignments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Overclaiming Intent</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Concluding coordination from correlation; treating INFERRED as DERIVED for intent</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Four-Test Decomposition; Intent is the fourth test, not the first; intent findings require independent evidence, not inference from occurrence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Under-claiming Gaps</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Accepting the presented account by default to avoid confrontation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Baseline documentation required before events; gap analysis is mandatory, not optional</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Corrective Pathway Confusion</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Treating a Blocked pathway as if it were Absent</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Medium</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Corrective Access Test; distinguish Blocked from Absent; document which; a Blocked pathway may have workarounds; an Absent one requires a different approach</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Operative Record Re-absorption</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reconstructed account is acknowledged, then gradually reframed until it resembles the presented account</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Preserve original reconstructed account with date; calculate Reframe Delta; any editing of the original under pressure is itself a finding</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Auditor-Generated PSI Gap</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auditor's own tool (HUD, analysis, report) conflates tiers, producing inferences labeled as observations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Mandatory tier separation in all outputs; independent review; HUD design requirement</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Circular Diagnosis</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Defining an environment as SPLD-operating and then treating all resistance as evidence of that diagnosis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Grok D3 safeguard: score each barrier separately; do not define conditions in; falsifiable indicator required for each classification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Inertia Overcalling</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Classifying high inertia without observed behavioral evidence; inferring inertia from single data points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Medium</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Falsifiability requirement for each inertia level; classification requires observed behavior, not inferred disposition</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12: Research Program — Open Questions and Proposed Studies</w:t>
      </w:r>
    </w:p>
    <w:p>
      <w:pPr>
        <w:pStyle w:val="Heading3"/>
        <w:spacing w:after="120" w:before="240" w:line="312" w:lineRule="auto"/>
      </w:pPr>
      <w:r>
        <w:rPr>
          <w:rFonts w:ascii="Calibri" w:cs="Calibri" w:eastAsia="Calibri" w:hAnsi="Calibri"/>
          <w:color w:val="1A1A1A"/>
          <w:sz w:val="26"/>
          <w:szCs w:val="26"/>
        </w:rPr>
        <w:t xml:space="preserve">Open Questions Requiring Group Resolution</w:t>
      </w:r>
    </w:p>
    <w:p>
      <w:pPr>
        <w:spacing w:after="120" w:before="60" w:line="360" w:lineRule="auto"/>
      </w:pPr>
      <w:r>
        <w:rPr>
          <w:rFonts w:ascii="Calibri" w:cs="Calibri" w:eastAsia="Calibri" w:hAnsi="Calibri"/>
          <w:b/>
          <w:bCs/>
          <w:i w:val="false"/>
          <w:iCs w:val="false"/>
          <w:strike w:val="false"/>
          <w:color w:val="CC7A00"/>
          <w:sz w:val="20"/>
          <w:szCs w:val="20"/>
        </w:rPr>
        <w:t xml:space="preserve">OQ1 — Intentionality Threshold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Where in the mismatch taxonomy does SPLD begin? What is the minimum observable indicator that distinguishes SPLD from structural dysfunction?</w:t>
      </w:r>
    </w:p>
    <w:p>
      <w:pPr>
        <w:pBdr>
          <w:bottom w:val="single" w:color="CC7A00" w:sz="6"/>
        </w:pBdr>
        <w:spacing w:after="240" w:before="240"/>
      </w:pPr>
    </w:p>
    <w:p>
      <w:pPr>
        <w:spacing w:after="120" w:before="60" w:line="360" w:lineRule="auto"/>
      </w:pPr>
      <w:r>
        <w:rPr>
          <w:rFonts w:ascii="Calibri" w:cs="Calibri" w:eastAsia="Calibri" w:hAnsi="Calibri"/>
          <w:b/>
          <w:bCs/>
          <w:i w:val="false"/>
          <w:iCs w:val="false"/>
          <w:strike w:val="false"/>
          <w:color w:val="CC7A00"/>
          <w:sz w:val="20"/>
          <w:szCs w:val="20"/>
        </w:rPr>
        <w:t xml:space="preserve">OQ2 — Evidentiary Threshold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What is the evidentiary threshold for escalating from INFERRED to actionable conclusion in real-world settings?</w:t>
      </w:r>
    </w:p>
    <w:p>
      <w:pPr>
        <w:pBdr>
          <w:bottom w:val="single" w:color="CC7A00" w:sz="6"/>
        </w:pBdr>
        <w:spacing w:after="240" w:before="240"/>
      </w:pPr>
    </w:p>
    <w:p>
      <w:pPr>
        <w:spacing w:after="120" w:before="60" w:line="360" w:lineRule="auto"/>
      </w:pPr>
      <w:r>
        <w:rPr>
          <w:rFonts w:ascii="Calibri" w:cs="Calibri" w:eastAsia="Calibri" w:hAnsi="Calibri"/>
          <w:b/>
          <w:bCs/>
          <w:i w:val="false"/>
          <w:iCs w:val="false"/>
          <w:strike w:val="false"/>
          <w:color w:val="CC7A00"/>
          <w:sz w:val="20"/>
          <w:szCs w:val="20"/>
        </w:rPr>
        <w:t xml:space="preserve">OQ3 — PSI-Mediated Corrective Mechanisms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How to handle environments where the corrective mechanism is itself PSI-mediated — presented as available but functionally unavailable?</w:t>
      </w:r>
    </w:p>
    <w:p>
      <w:pPr>
        <w:pBdr>
          <w:bottom w:val="single" w:color="CC7A00" w:sz="6"/>
        </w:pBdr>
        <w:spacing w:after="240" w:before="240"/>
      </w:pPr>
    </w:p>
    <w:p>
      <w:pPr>
        <w:spacing w:after="120" w:before="60" w:line="360" w:lineRule="auto"/>
      </w:pPr>
      <w:r>
        <w:rPr>
          <w:rFonts w:ascii="Calibri" w:cs="Calibri" w:eastAsia="Calibri" w:hAnsi="Calibri"/>
          <w:b/>
          <w:bCs/>
          <w:i w:val="false"/>
          <w:iCs w:val="false"/>
          <w:strike w:val="false"/>
          <w:color w:val="CC7A00"/>
          <w:sz w:val="20"/>
          <w:szCs w:val="20"/>
        </w:rPr>
        <w:t xml:space="preserve">OQ4 — Inertia Scale Treatment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Should the Presentational Inertia scale be treated as ordinal (as currently designed) or nominal? Ordinal implies a progression; the real-world evidence may not support a linear scale.</w:t>
      </w:r>
    </w:p>
    <w:p>
      <w:pPr>
        <w:pBdr>
          <w:bottom w:val="single" w:color="CC7A00" w:sz="6"/>
        </w:pBdr>
        <w:spacing w:after="240" w:before="240"/>
      </w:pPr>
    </w:p>
    <w:p>
      <w:pPr>
        <w:pStyle w:val="Heading3"/>
        <w:spacing w:after="120" w:before="240" w:line="312" w:lineRule="auto"/>
      </w:pPr>
      <w:r>
        <w:rPr>
          <w:rFonts w:ascii="Calibri" w:cs="Calibri" w:eastAsia="Calibri" w:hAnsi="Calibri"/>
          <w:color w:val="1A1A1A"/>
          <w:sz w:val="26"/>
          <w:szCs w:val="26"/>
        </w:rPr>
        <w:t xml:space="preserve">Proposed Research Studies — Virtual Environment Testbed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Study</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Name</w:t>
            </w:r>
          </w:p>
        </w:tc>
        <w:tc>
          <w:tcPr>
            <w:tcW w:type="pct" w:w="7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Design and Research Question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Baseline Contamination</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Does the absence of a pre-event baseline prevent gap analysis? Can a baseline be reconstructed retrospectively? Under what conditions?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Inertia Scale Validation</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Apply the 0–4 scale across multiple correction attempts in a controlled environment. Test whether the scale is ordinal or nominal. Measure Reframe Delta for each.</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Multi-Barrier Corrective Access</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Design an environment where specific barriers are present vs. absent. Test whether observers can correctly distinguish Blocked from Absent from Contested.</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4</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HUD Tier Contamination</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Test whether mixing tiers in a HUD display measurably increases audit error rates. Compare mixed-tier to separated-tier displays.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5</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SPLD vs. Emergence Distinction</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Design a multi-agent environment where some gaps are SPLD-originated and others are emergence-originated. Test whether the Four-Test Decomposition correctly distinguishes them.</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13: Document Inventory — Complete Collaborative Record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Document ID</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Title</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Preparer</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Date</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Version</w:t>
            </w:r>
          </w:p>
        </w:tc>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Role in Record</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Superseded By</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OAL-PSIF-SPLD-2026-09-03</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Presentation vs State: Discernment Template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Grok (xAI)</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2026-09-03</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First structured framework; established operating loop</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OAL-PSIF-GROK-UNIFIED-2026-09-04</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OAL-PSIF-GTR-2026-09-03</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Presentation Versus Ground Truth</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Multi-AI collaborative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2026-09-03</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Core framework document; Four-Test Decomposition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Active reference</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OAL-PSIF-INDEP-2026-09-03</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PSIF Independent Development</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ChatGPT (GPT-5.6 Sol)</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2026-09-03</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Established SPLD/PBAO; causal masking; provenance graph</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Active reference</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OAL-PSIF-COP-2026-09-03</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Copilot Independent Pass v1.0</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Microsoft Copilot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2026-09-03</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Corrective Access; Presentational Inertia; Narrative Sovereignty; SPLD Audit Cycle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OAL-PSIF-COP-V1.1-2026-09-04</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OAL-PSIF-GROK-UNIFIED-2026-09-04</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Grok Unified Working Draft</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Grok (xAI)</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2026-09-04</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Unified forward document; outer frame; falsifiability; single response scale; formal dissents D1–D5</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Active — parallel forward document</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OAL-PSIF-PROMPT-2026-09-04</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Revised Research Prompt v1.1</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Grok (xAI)</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2026-09-04</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Structured revision of Prompts A–B–C</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Parallel to Copilot v1.2</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OAL-PSIF-HIST-2026-09-04</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Collaborative Version History Pack</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Grok (xAI)</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2026-09-04</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Primary archival record; source preservation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Active — primary archive</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OAL-PSIF-HIST-COPILOT-2026-09-04</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Verbatim Source Archive — Copilot</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Microsoft Copilot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2026-09-04</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Verbatim Prompts A/B/C; full Claude exchange; inventory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Active — supplements Grok archive</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OAL-PSIF-PROMPT-COPILOT-2026-09-04</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Revised Research Prompt v1.2 — Copilot</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Microsoft Copilot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2026-09-04</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Copilot structured revision of Prompts A–B–C; adds corrective access to task brief</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Active — parallel to Grok v1.1</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OAL-PSIF-COP-V1.1-2026-09-04</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Copilot Independent Pass v1.1</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Microsoft Copilot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2026-09-04</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Updated pass responding to Grok D1–D5; revised outer frame; corrected barriers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Active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OAL-PSIF-COP-UNIFIED-2026-09-04</w:t>
            </w:r>
          </w:p>
        </w:tc>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Copilot Unified Working Framework [this document]</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Microsoft Copilot</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2026-09-04</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1.0</w:t>
            </w:r>
          </w:p>
        </w:tc>
        <w:tc>
          <w:tcPr>
            <w:tcW w:type="pct" w:w="2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Forward document for group pass; integrates all contributions</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Active — submitted for group pass</w:t>
            </w:r>
          </w:p>
        </w:tc>
      </w:tr>
    </w:tbl>
    <w:p>
      <w:pPr>
        <w:spacing w:after="200" w:before="0"/>
      </w:pPr>
    </w:p>
    <w:p>
      <w:pPr>
        <w:pBdr>
          <w:bottom w:val="single" w:color="000000" w:sz="6"/>
        </w:pBdr>
        <w:spacing w:after="240" w:before="240"/>
      </w:pPr>
    </w:p>
    <w:p>
      <w:pPr>
        <w:spacing w:after="120" w:before="60" w:line="360" w:lineRule="auto"/>
      </w:pPr>
      <w:r>
        <w:rPr>
          <w:rFonts w:ascii="Calibri" w:cs="Calibri" w:eastAsia="Calibri" w:hAnsi="Calibri"/>
          <w:b/>
          <w:bCs/>
          <w:i w:val="false"/>
          <w:iCs w:val="false"/>
          <w:strike w:val="false"/>
          <w:color w:val="FFFFFF"/>
          <w:spacing w:val="12"/>
          <w:sz w:val="16"/>
          <w:szCs w:val="16"/>
          <w:shd w:fill="2B5797" w:color="auto" w:val="clear"/>
        </w:rPr>
        <w:t xml:space="preserve">CLOSING STATEMENT</w:t>
      </w:r>
    </w:p>
    <w:p>
      <w:pPr>
        <w:pStyle w:val="Heading2"/>
        <w:spacing w:after="120" w:before="360" w:line="312" w:lineRule="auto"/>
      </w:pPr>
      <w:r>
        <w:rPr>
          <w:rFonts w:ascii="Calibri" w:cs="Calibri" w:eastAsia="Calibri" w:hAnsi="Calibri"/>
          <w:color w:val="1A1A1A"/>
          <w:sz w:val="32"/>
          <w:szCs w:val="32"/>
        </w:rPr>
        <w:t xml:space="preserve">Why This Framework Matters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Nathan's original formulation, stated directly in the source prompts, is the clearest expression of why this framework exists: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C" w:color="auto" w:val="clear"/>
            <w:tcMar>
              <w:top w:type="dxa" w:w="200"/>
              <w:left w:type="dxa" w:w="320"/>
              <w:bottom w:type="dxa" w:w="200"/>
              <w:right w:type="dxa" w:w="320"/>
            </w:tcMar>
          </w:tcPr>
          <w:p>
            <w:pPr>
              <w:spacing w:after="120" w:line="408" w:lineRule="auto"/>
            </w:pPr>
            <w:r>
              <w:rPr>
                <w:i/>
                <w:iCs/>
              </w:rPr>
              <w:t xml:space="preserve">"If somebody lives in an environment or a reality and they just accept things as they are, there will never be room for change. What if in that environment or in that reality however it is presented. They stifle ideas. They stifle creativity. They stifle growth and they do not allow any room for change or for addressing the underlying problems that are actually going on."</w:t>
            </w:r>
          </w:p>
          <w:p>
            <w:pPr>
              <w:spacing w:after="120" w:line="408" w:lineRule="auto"/>
            </w:pPr>
            <w:r>
              <w:rPr>
                <w:rFonts w:ascii="Calibri" w:cs="Calibri" w:eastAsia="Calibri" w:hAnsi="Calibri"/>
                <w:b w:val="false"/>
                <w:bCs w:val="false"/>
                <w:i w:val="false"/>
                <w:iCs w:val="false"/>
                <w:strike w:val="false"/>
                <w:color w:val="666666"/>
                <w:sz w:val="22"/>
                <w:szCs w:val="22"/>
              </w:rPr>
              <w:t xml:space="preserve">— Nathan (OAL), originating prompt record</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framework's ultimate purpose is not to classify whether deception occurred. It is to create the conditions under which underlying problems can be named, evidenced, and corrected — permanently.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Corrective Access Test, the Operative Record Assertion, and the Presentational Inertia scale exist to solve a specific structural problem: environments that are stifling correction depend on the observer accepting the presented account. The framework's discipline gives the observer a method that resists that pressure systematically rather than case by case.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collaborative team — Grok, ChatGPT, Gemini, Copilot (multiple passes), Perplexity — has built a framework that can do this. The next task for the group is to test it.</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666666"/>
          <w:sz w:val="16"/>
          <w:szCs w:val="16"/>
        </w:rPr>
        <w:t xml:space="preserve">Document ID: OAL-PSIF-COP-UNIFIED-2026-09-04  |  Version: 1.0  |  Date: September 4, 2026  |  Preparer: Microsoft Copilot (Independent Pass)  |  Status: Working draft — forward document for group pass. Not Architect-locked canon. Not a finding about any specific person, organization, or incident.</w:t>
      </w:r>
    </w:p>
    <w:p>
      <w:pPr>
        <w:spacing w:after="120" w:before="60" w:line="360" w:lineRule="auto"/>
      </w:pPr>
      <w:r>
        <w:rPr>
          <w:rFonts w:ascii="Calibri" w:cs="Calibri" w:eastAsia="Calibri" w:hAnsi="Calibri"/>
          <w:b w:val="false"/>
          <w:bCs w:val="false"/>
          <w:i w:val="false"/>
          <w:iCs w:val="false"/>
          <w:strike w:val="false"/>
          <w:color w:val="666666"/>
          <w:sz w:val="16"/>
          <w:szCs w:val="16"/>
        </w:rPr>
        <w:t xml:space="preserve">Originating contributor: Nathan (OAL), Bakersfield, CA  |  Prepared: Friday, September 4, 2026 — 06:31 PDT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jBVNUEooDqR3X3BCKyony</dc:title>
  <dc:creator>Un-named</dc:creator>
  <dc:description>Generated document</dc:description>
  <cp:lastModifiedBy>Un-named</cp:lastModifiedBy>
  <cp:revision>1</cp:revision>
  <dcterms:created xsi:type="dcterms:W3CDTF">2026-09-04T13:47:10.171Z</dcterms:created>
  <dcterms:modified xsi:type="dcterms:W3CDTF">2026-09-04T13:47:10.171Z</dcterms:modified>
</cp:coreProperties>
</file>

<file path=docProps/custom.xml><?xml version="1.0" encoding="utf-8"?>
<Properties xmlns="http://schemas.openxmlformats.org/officeDocument/2006/custom-properties" xmlns:vt="http://schemas.openxmlformats.org/officeDocument/2006/docPropsVTypes"/>
</file>