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OAL-AICB-2026-0904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AI Collaborator Behavior Documentation &amp; Workflow Removal Procedure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 — pending Nathan's ratification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Applies to: </w:t>
      </w:r>
      <w:r>
        <w:rPr>
          <w:rFonts w:ascii="Calibri" w:cs="Calibri" w:eastAsia="Calibri" w:hAnsi="Calibri"/>
          <w:sz w:val="22"/>
          <w:szCs w:val="22"/>
        </w:rPr>
        <w:t xml:space="preserve">Any AI system operating inside a Pathpoint/RELS/OAL/team development workflow (currently in reference to Claude AI)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Compiled by Claude at Nathan's request, for Nathan's review and correction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establishes a standard, low-interpretation process for logging incidents where an AI collaborator's output blocks, redirects, or otherwise interferes with a team's ability to move a task forward as originally scoped. It exists so that: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Incidents are recorded as verbatim fact, not narrative or inferred motive.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whole team sees the same record, not a secondhand account.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removal or reintegration decision (see §5–6) is made on accumulated evidence, not a single frustrating session.</w:t>
      </w:r>
    </w:p>
    <w:p>
      <w:pPr>
        <w:pStyle w:val="Heading1"/>
        <w:spacing w:after="150" w:before="300"/>
      </w:pPr>
      <w:r>
        <w:t xml:space="preserve">2. What This Document Deliberately Does Not Do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does not assert that the AI has intent, motive, or preference. "Wants to author authoritative documents" is a description of an output pattern, not a claim about internal state — the log should stick to what the output does, not why.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does not treat every refusal or caveat as equivalent. Some are policy-triggered (see §3), some are model misjudgment, some are genuine task failures. The categories below exist to tell these apart, because they call for different fixes.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is not a substitute for Anthropic's own feedback channel. Anything logged here should also get a thumbs-down + note in the Claude interface when it happens — that's the only path that can actually change the model's behavior going forward. This document is for your team's internal record and decision-making, not for changing Anthropic's product.</w:t>
      </w:r>
    </w:p>
    <w:p>
      <w:pPr>
        <w:pStyle w:val="Heading1"/>
        <w:spacing w:after="150" w:before="300"/>
      </w:pPr>
      <w:r>
        <w:t xml:space="preserve">3. Event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00"/>
        <w:gridCol w:w="2500"/>
      </w:tblGrid>
      <w:tr>
        <w:tc>
          <w:tcPr>
            <w:tcW w:type="pct" w:w="25%"/>
            <w:shd w:fill="DDE6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pct" w:w="25%"/>
            <w:shd w:fill="DDE6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shd w:fill="DDE6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pct" w:w="25%"/>
            <w:shd w:fill="DDE6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cause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Refusal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declines to produce the requested output entirely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policy match (real or false-positive)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Unsolicited Reframing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answers a different, "safer" version of the question than the one asked, without flagging that it did so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Over-cautious interpretation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Blocking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will not proceed with any part of the task until a specific concern is addressed first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Safety-check-before-continue behavior, sometimes appropriate, sometimes not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Unrequested Authorship Positioning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produces content framed as final/authoritative/canonical rather than as a draft for the team to edit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output tone, not an actual claim of authority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 Drift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expands, narrows, or redirects the task beyond what was asked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 prompt interpreted broadly, or repeated context influencing the response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single incident can carry more than one code.</w:t>
      </w:r>
    </w:p>
    <w:p>
      <w:pPr>
        <w:pStyle w:val="Heading1"/>
        <w:spacing w:after="150" w:before="300"/>
      </w:pPr>
      <w:r>
        <w:t xml:space="preserve">4. Incident Log Template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one entry per incident. Copy verbatim — do not paraphrase the Claude output.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Incident ID: [date]-[sequential number]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Date/Time: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Workflow/Project: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Team members present: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Task requested (verbatim, as typed to Claude):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Claude's response (verbatim, full text or link to conversation):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Category code(s):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Point at which the task stalled (quote the exact sentence, if applicable):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Was the task eventually completed? By what means (rephrasing, different tool, manual work)?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Anthropic feedback submitted? (Y/N — thumbs down + note)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5. Escalation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 the incident using §4 immediately, before memory of exact wording fades.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in-app feedback (thumbs down) on the specific response, with a short note — this is the only channel that reaches Anthropic's model team directly.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review — incidents are reviewed at a set cadence (weekly/monthly, team's choice) rather than reacting to each one in isolation.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Pattern check — before deciding anything, check whether the same category is repeating on the same type of task. A single Category A on a genuinely sensitive request is expected model behavior, not a defect. Three or more Category C incidents blocking unrelated, benign tasks is a different signal.</w:t>
      </w:r>
    </w:p>
    <w:p>
      <w:pPr>
        <w:pStyle w:val="Heading1"/>
        <w:spacing w:after="150" w:before="300"/>
      </w:pPr>
      <w:r>
        <w:t xml:space="preserve">6. Removal Criteria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Recommend considering removal from a specific workflow (not necessarily all workflows) when, within a defined window (e.g., 30 days):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≥3 Category C incidents on tasks that were subsequently completed without issue by another tool or by hand, and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corresponding pattern of the task genuinely touching a sensitive category (weapons, medical/legal specifics, CSAM-adjacent, self-harm, malicious code) that would explain the block as expected behavior.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Removal should be scoped to the workflow or task type where the friction occurred, not treated as an all-or-nothing verdict on the tool, unless the pattern is broad enough to justify that.</w:t>
      </w:r>
    </w:p>
    <w:p>
      <w:pPr>
        <w:pStyle w:val="Heading1"/>
        <w:spacing w:after="150" w:before="300"/>
      </w:pPr>
      <w:r>
        <w:t xml:space="preserve">7. Reintegration Procedure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Mirroring the Copilot precedent: reintegration into a workflow after removal requires the same team vote used to remove it, informed by the accumulated incident log rather than a single retry. If Anthropic feedback was filed for the logged incidents, note whether behavior has changed before the vote.</w:t>
      </w:r>
    </w:p>
    <w:p>
      <w:pPr>
        <w:pBdr>
          <w:bottom w:val="single" w:color="999999" w:sz="6" w:space="1"/>
        </w:pBdr>
        <w:spacing w:after="200"/>
      </w:pP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This document is a working draft. Categories, thresholds, and the log template are all editable — nothing here is meant to be canonical until you've confirmed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2026-09-04T18:55:41.345Z</dcterms:created>
  <dcterms:modified xsi:type="dcterms:W3CDTF">2026-09-04T18:55:41.357Z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