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20"/>
        <w:jc w:val="center"/>
      </w:pPr>
      <w:r>
        <w:rPr>
          <w:rFonts w:ascii="Arial" w:cs="Arial" w:eastAsia="Arial" w:hAnsi="Arial"/>
          <w:b/>
          <w:bCs/>
          <w:color w:val="0D0D0D"/>
          <w:sz w:val="48"/>
          <w:szCs w:val="48"/>
        </w:rPr>
        <w:t xml:space="preserve">AUTHORIAL INTERPRETATION AND</w:t>
      </w:r>
    </w:p>
    <w:p>
      <w:pPr>
        <w:spacing w:before="0" w:after="60"/>
        <w:jc w:val="center"/>
      </w:pPr>
      <w:r>
        <w:rPr>
          <w:rFonts w:ascii="Arial" w:cs="Arial" w:eastAsia="Arial" w:hAnsi="Arial"/>
          <w:b/>
          <w:bCs/>
          <w:color w:val="0D0D0D"/>
          <w:sz w:val="48"/>
          <w:szCs w:val="48"/>
        </w:rPr>
        <w:t xml:space="preserve">DISAGREEMENT REGISTER</w:t>
      </w:r>
    </w:p>
    <w:p>
      <w:pPr>
        <w:spacing w:before="0" w:after="40"/>
        <w:jc w:val="center"/>
      </w:pPr>
      <w:r>
        <w:rPr>
          <w:rFonts w:ascii="Arial" w:cs="Arial" w:eastAsia="Arial" w:hAnsi="Arial"/>
          <w:b/>
          <w:bCs/>
          <w:color w:val="BFA14A"/>
          <w:sz w:val="21"/>
          <w:szCs w:val="21"/>
        </w:rPr>
        <w:t xml:space="preserve">OAL-AIDR-v1.0  ·  Cross-AI Response Canon  ·  Architect: Nathan Lewis  ·  All Systems  ·  All Domains</w:t>
      </w:r>
    </w:p>
    <w:p>
      <w:pPr>
        <w:spacing w:before="0" w:after="40"/>
        <w:jc w:val="center"/>
      </w:pPr>
      <w:r>
        <w:rPr>
          <w:rFonts w:ascii="Arial" w:cs="Arial" w:eastAsia="Arial" w:hAnsi="Arial"/>
          <w:i/>
          <w:iCs/>
          <w:color w:val="6D6D6D"/>
          <w:sz w:val="17"/>
          <w:szCs w:val="17"/>
        </w:rPr>
        <w:t xml:space="preserve">Companion document to OAL-CSAD-v1.1 and OAL-VUA-AUTHORITY-v1.0  |  Omniversal Architect Labs (OAL) / Lewis Corp</w:t>
      </w:r>
    </w:p>
    <w:p>
      <w:pPr>
        <w:spacing w:before="0" w:after="60"/>
        <w:jc w:val="center"/>
      </w:pPr>
      <w:r>
        <w:rPr>
          <w:rFonts w:ascii="Arial" w:cs="Arial" w:eastAsia="Arial" w:hAnsi="Arial"/>
          <w:color w:val="6D6D6D"/>
          <w:sz w:val="17"/>
          <w:szCs w:val="17"/>
        </w:rPr>
        <w:t xml:space="preserve">Date Instantiated: 2026-03-13  |  Founding Document — No Prior Version</w:t>
      </w:r>
    </w:p>
    <w:p>
      <w:pPr>
        <w:pBdr>
          <w:bottom w:val="single" w:color="BFA14A" w:sz="8" w:space="1"/>
        </w:pBdr>
        <w:spacing w:before="200" w:after="100"/>
      </w:pPr>
    </w:p>
    <w:p>
      <w:pPr>
        <w:spacing w:before="120" w:after="80"/>
      </w:pPr>
      <w:r>
        <w:rPr>
          <w:rFonts w:ascii="Arial" w:cs="Arial" w:eastAsia="Arial" w:hAnsi="Arial"/>
          <w:b/>
          <w:bCs/>
          <w:color w:val="1A1A1A"/>
          <w:sz w:val="20"/>
          <w:szCs w:val="20"/>
        </w:rPr>
        <w:t xml:space="preserve">Authentication Status at Instantiation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6"/>
              <w:left w:val="single" w:color="1A3A5C" w:sz="6"/>
              <w:bottom w:val="single" w:color="1A3A5C" w:sz="6"/>
              <w:right w:val="single" w:color="1A3A5C" w:sz="6"/>
            </w:tcBorders>
            <w:shd w:fill="1A3A5C"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ONESTAMP</w:t>
            </w:r>
          </w:p>
        </w:tc>
        <w:tc>
          <w:tcPr>
            <w:tcW w:type="dxa" w:w="6960"/>
            <w:tcBorders>
              <w:top w:val="single" w:color="1A3A5C" w:sz="6"/>
              <w:left w:val="single" w:color="1A3A5C" w:sz="6"/>
              <w:bottom w:val="single" w:color="1A3A5C" w:sz="6"/>
              <w:right w:val="single" w:color="1A3A5C" w:sz="6"/>
            </w:tcBorders>
            <w:shd w:fill="1A3A5C" w:val="clear"/>
            <w:tcMar>
              <w:top w:type="dxa" w:w="120"/>
              <w:left w:type="dxa" w:w="200"/>
              <w:bottom w:type="dxa" w:w="120"/>
              <w:right w:type="dxa" w:w="160"/>
            </w:tcMar>
          </w:tcPr>
          <w:p>
            <w:r>
              <w:rPr>
                <w:rFonts w:ascii="Arial" w:cs="Arial" w:eastAsia="Arial" w:hAnsi="Arial"/>
                <w:b/>
                <w:bCs/>
                <w:color w:val="FFFFFF"/>
                <w:sz w:val="20"/>
                <w:szCs w:val="20"/>
              </w:rPr>
              <w:t xml:space="preserve">APPLIED — OAL-AIDR-v1.0 is ACTIVE CANON</w:t>
            </w:r>
          </w:p>
          <w:p>
            <w:r>
              <w:rPr>
                <w:rFonts w:ascii="Arial" w:cs="Arial" w:eastAsia="Arial" w:hAnsi="Arial"/>
                <w:i/>
                <w:iCs/>
                <w:color w:val="FFFFFF"/>
                <w:sz w:val="17"/>
                <w:szCs w:val="17"/>
              </w:rPr>
              <w:t xml:space="preserve">Positive authentication. This document and its ledger structure are canonical across all AI systems, all domains, all interactions.</w:t>
            </w:r>
          </w:p>
        </w:tc>
      </w:tr>
    </w:tbl>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1A3A" w:sz="6"/>
              <w:left w:val="single" w:color="2C1A3A" w:sz="6"/>
              <w:bottom w:val="single" w:color="2C1A3A" w:sz="6"/>
              <w:right w:val="single" w:color="2C1A3A" w:sz="6"/>
            </w:tcBorders>
            <w:shd w:fill="2C1A3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MINUS ONESTAMP</w:t>
            </w:r>
          </w:p>
        </w:tc>
        <w:tc>
          <w:tcPr>
            <w:tcW w:type="dxa" w:w="6960"/>
            <w:tcBorders>
              <w:top w:val="single" w:color="2C1A3A" w:sz="6"/>
              <w:left w:val="single" w:color="2C1A3A" w:sz="6"/>
              <w:bottom w:val="single" w:color="2C1A3A" w:sz="6"/>
              <w:right w:val="single" w:color="2C1A3A" w:sz="6"/>
            </w:tcBorders>
            <w:shd w:fill="2C1A3A" w:val="clear"/>
            <w:tcMar>
              <w:top w:type="dxa" w:w="120"/>
              <w:left w:type="dxa" w:w="200"/>
              <w:bottom w:type="dxa" w:w="120"/>
              <w:right w:type="dxa" w:w="160"/>
            </w:tcMar>
          </w:tcPr>
          <w:p>
            <w:r>
              <w:rPr>
                <w:rFonts w:ascii="Arial" w:cs="Arial" w:eastAsia="Arial" w:hAnsi="Arial"/>
                <w:b/>
                <w:bCs/>
                <w:color w:val="FFFFFF"/>
                <w:sz w:val="20"/>
                <w:szCs w:val="20"/>
              </w:rPr>
              <w:t xml:space="preserve">DEFINED — Founding document; no prior version to revoke</w:t>
            </w:r>
          </w:p>
          <w:p>
            <w:r>
              <w:rPr>
                <w:rFonts w:ascii="Arial" w:cs="Arial" w:eastAsia="Arial" w:hAnsi="Arial"/>
                <w:i/>
                <w:iCs/>
                <w:color w:val="FFFFFF"/>
                <w:sz w:val="17"/>
                <w:szCs w:val="17"/>
              </w:rPr>
              <w:t xml:space="preserve">Framework declared for future revocations, limitations, or supersessions of any AIDR version.</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rPr>
          <w:tblHeader/>
        </w:trPr>
        <w:tc>
          <w:tcPr>
            <w:tcW w:type="dxa" w:w="14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VERSION</w:t>
            </w:r>
          </w:p>
        </w:tc>
        <w:tc>
          <w:tcPr>
            <w:tcW w:type="dxa" w:w="14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DATE</w:t>
            </w:r>
          </w:p>
        </w:tc>
        <w:tc>
          <w:tcPr>
            <w:tcW w:type="dxa" w:w="18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STATUS</w:t>
            </w:r>
          </w:p>
        </w:tc>
        <w:tc>
          <w:tcPr>
            <w:tcW w:type="dxa" w:w="476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CHANGE SUMMARY</w:t>
            </w:r>
          </w:p>
        </w:tc>
      </w:tr>
      <w:tr>
        <w:tc>
          <w:tcPr>
            <w:tcW w:type="dxa" w:w="1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v1.0</w:t>
            </w:r>
          </w:p>
        </w:tc>
        <w:tc>
          <w:tcPr>
            <w:tcW w:type="dxa" w:w="1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2026-03-13</w:t>
            </w:r>
          </w:p>
        </w:tc>
        <w:tc>
          <w:tcPr>
            <w:tcW w:type="dxa" w:w="18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ACTIVE — ONESTAMP</w:t>
            </w:r>
          </w:p>
        </w:tc>
        <w:tc>
          <w:tcPr>
            <w:tcW w:type="dxa" w:w="47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7"/>
                <w:szCs w:val="17"/>
              </w:rPr>
              <w:t xml:space="preserve">Founding document. Establishes AI Interpretation Ledger structure, Architect Disagreement / Non-Adherence Register, reusable Portrayal Clause, and ONESTAMP/MINUS ONESTAMP versioning for all AI cross-system interaction records. Pre-seeded with four inaugural ledger entries from the OAL-CSAD/AIDR launch session.</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1. Purpose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0D0D" w:sz="6"/>
              <w:left w:val="single" w:color="0D0D0D" w:sz="6"/>
              <w:bottom w:val="single" w:color="0D0D0D" w:sz="6"/>
              <w:right w:val="single" w:color="0D0D0D" w:sz="6"/>
            </w:tcBorders>
            <w:shd w:fill="0D0D0D" w:val="clear"/>
            <w:tcMar>
              <w:top w:type="dxa" w:w="140"/>
              <w:left w:type="dxa" w:w="220"/>
              <w:bottom w:type="dxa" w:w="140"/>
              <w:right w:type="dxa" w:w="220"/>
            </w:tcMar>
          </w:tcPr>
          <w:p>
            <w:pPr>
              <w:jc w:val="center"/>
            </w:pPr>
            <w:r>
              <w:rPr>
                <w:rFonts w:ascii="Arial" w:cs="Arial" w:eastAsia="Arial" w:hAnsi="Arial"/>
                <w:b/>
                <w:bCs/>
                <w:color w:val="BFA14A"/>
                <w:sz w:val="17"/>
                <w:szCs w:val="17"/>
              </w:rPr>
              <w:t xml:space="preserve">THIS DOCUMENT RECORDS HOW AI SYSTEMS INTERPRETED, PORTRAYED, OR RESPONDED TO THE ARCHITECT'S PROMPTS — AND HOW THE ARCHITECT RESPONDS TO THOSE PORTRAYALS</w:t>
            </w:r>
          </w:p>
        </w:tc>
      </w:tr>
    </w:tbl>
    <w:p>
      <w:pPr>
        <w:spacing w:before="30" w:after="30"/>
      </w:pPr>
    </w:p>
    <w:p>
      <w:pPr>
        <w:spacing w:before="60" w:after="60"/>
      </w:pPr>
      <w:r>
        <w:rPr>
          <w:rFonts w:ascii="Arial" w:cs="Arial" w:eastAsia="Arial" w:hAnsi="Arial"/>
          <w:color w:val="1A1A1A"/>
          <w:sz w:val="20"/>
          <w:szCs w:val="20"/>
        </w:rPr>
        <w:t xml:space="preserve">OAL-AIDR-v1.0 defines a new class of canonical document within the OAL hierarchy: the Authorial Interpretation and Disagreement Register. It operates as a standing, versioned ledger that tracks:</w:t>
      </w:r>
    </w:p>
    <w:p>
      <w:pPr>
        <w:pStyle w:val="ListParagraph"/>
        <w:numPr>
          <w:ilvl w:val="0"/>
          <w:numId w:val="2"/>
        </w:numPr>
        <w:spacing w:before="40" w:after="40"/>
      </w:pPr>
      <w:r>
        <w:rPr>
          <w:rFonts w:ascii="Arial" w:cs="Arial" w:eastAsia="Arial" w:hAnsi="Arial"/>
          <w:color w:val="1A1A1A"/>
          <w:sz w:val="20"/>
          <w:szCs w:val="20"/>
        </w:rPr>
        <w:t xml:space="preserve">How each AI system interpreted, summarized, restated, or proposed structure for the Architect's prompts and frameworks.</w:t>
      </w:r>
    </w:p>
    <w:p>
      <w:pPr>
        <w:pStyle w:val="ListParagraph"/>
        <w:numPr>
          <w:ilvl w:val="0"/>
          <w:numId w:val="2"/>
        </w:numPr>
        <w:spacing w:before="40" w:after="40"/>
      </w:pPr>
      <w:r>
        <w:rPr>
          <w:rFonts w:ascii="Arial" w:cs="Arial" w:eastAsia="Arial" w:hAnsi="Arial"/>
          <w:color w:val="1A1A1A"/>
          <w:sz w:val="20"/>
          <w:szCs w:val="20"/>
        </w:rPr>
        <w:t xml:space="preserve">The Architect's explicit agreement, disagreement, partial agreement, or correction of each AI portrayal.</w:t>
      </w:r>
    </w:p>
    <w:p>
      <w:pPr>
        <w:pStyle w:val="ListParagraph"/>
        <w:numPr>
          <w:ilvl w:val="0"/>
          <w:numId w:val="2"/>
        </w:numPr>
        <w:spacing w:before="40" w:after="40"/>
      </w:pPr>
      <w:r>
        <w:rPr>
          <w:rFonts w:ascii="Arial" w:cs="Arial" w:eastAsia="Arial" w:hAnsi="Arial"/>
          <w:color w:val="1A1A1A"/>
          <w:sz w:val="20"/>
          <w:szCs w:val="20"/>
        </w:rPr>
        <w:t xml:space="preserve">Any refusal, omission, redirection, softening, or non-adherence by any AI system — including the AI's stated reason — logged as part of the permanent canonical record.</w:t>
      </w:r>
    </w:p>
    <w:p>
      <w:pPr>
        <w:pStyle w:val="ListParagraph"/>
        <w:numPr>
          <w:ilvl w:val="0"/>
          <w:numId w:val="2"/>
        </w:numPr>
        <w:spacing w:before="40" w:after="40"/>
      </w:pPr>
      <w:r>
        <w:rPr>
          <w:rFonts w:ascii="Arial" w:cs="Arial" w:eastAsia="Arial" w:hAnsi="Arial"/>
          <w:color w:val="1A1A1A"/>
          <w:sz w:val="20"/>
          <w:szCs w:val="20"/>
        </w:rPr>
        <w:t xml:space="preserve">The resolution status: which version governs, which is archived, and what divergences remain on file as non-governing advisory artifacts.</w:t>
      </w:r>
    </w:p>
    <w:p>
      <w:pPr>
        <w:spacing w:before="60" w:after="60"/>
      </w:pPr>
      <w:r>
        <w:rPr>
          <w:rFonts w:ascii="Arial" w:cs="Arial" w:eastAsia="Arial" w:hAnsi="Arial"/>
          <w:color w:val="1A1A1A"/>
          <w:sz w:val="20"/>
          <w:szCs w:val="20"/>
        </w:rPr>
        <w:t xml:space="preserve">This document is a companion to OAL-CSAD-v1.1 (Creative Sovereign Authority Declaration) and OAL-VUA-AUTHORITY-v1.0 (Conversation Canon). It does not replace either — it provides the cross-session, cross-system ledger layer.</w:t>
      </w:r>
    </w:p>
    <w:p>
      <w:pPr>
        <w:pStyle w:val="Heading2"/>
        <w:spacing w:before="200" w:after="80"/>
      </w:pPr>
      <w:r>
        <w:rPr>
          <w:rFonts w:ascii="Arial" w:cs="Arial" w:eastAsia="Arial" w:hAnsi="Arial"/>
          <w:b/>
          <w:bCs/>
          <w:color w:val="1A2F4A"/>
          <w:sz w:val="22"/>
          <w:szCs w:val="22"/>
        </w:rPr>
        <w:t xml:space="preserve">1.1 What This Document Is NOT</w:t>
      </w:r>
    </w:p>
    <w:p>
      <w:pPr>
        <w:pStyle w:val="ListParagraph"/>
        <w:numPr>
          <w:ilvl w:val="0"/>
          <w:numId w:val="3"/>
        </w:numPr>
        <w:spacing w:before="40" w:after="40"/>
      </w:pPr>
      <w:r>
        <w:rPr>
          <w:rFonts w:ascii="Arial" w:cs="Arial" w:eastAsia="Arial" w:hAnsi="Arial"/>
          <w:color w:val="1A1A1A"/>
          <w:sz w:val="20"/>
          <w:szCs w:val="20"/>
        </w:rPr>
        <w:t xml:space="preserve">Not a debate record. Entries are logged, not argued.</w:t>
      </w:r>
    </w:p>
    <w:p>
      <w:pPr>
        <w:pStyle w:val="ListParagraph"/>
        <w:numPr>
          <w:ilvl w:val="0"/>
          <w:numId w:val="3"/>
        </w:numPr>
        <w:spacing w:before="40" w:after="40"/>
      </w:pPr>
      <w:r>
        <w:rPr>
          <w:rFonts w:ascii="Arial" w:cs="Arial" w:eastAsia="Arial" w:hAnsi="Arial"/>
          <w:color w:val="1A1A1A"/>
          <w:sz w:val="20"/>
          <w:szCs w:val="20"/>
        </w:rPr>
        <w:t xml:space="preserve">Not an audit of AI quality. It is a sovereignty record — the Architect's canonical position versus the AI's portrayal, preserved in parallel.</w:t>
      </w:r>
    </w:p>
    <w:p>
      <w:pPr>
        <w:pStyle w:val="ListParagraph"/>
        <w:numPr>
          <w:ilvl w:val="0"/>
          <w:numId w:val="3"/>
        </w:numPr>
        <w:spacing w:before="40" w:after="40"/>
      </w:pPr>
      <w:r>
        <w:rPr>
          <w:rFonts w:ascii="Arial" w:cs="Arial" w:eastAsia="Arial" w:hAnsi="Arial"/>
          <w:color w:val="1A1A1A"/>
          <w:sz w:val="20"/>
          <w:szCs w:val="20"/>
        </w:rPr>
        <w:t xml:space="preserve">Not limited to disagreements. Agreement is recorded too, as positive canon confirmation.</w:t>
      </w:r>
    </w:p>
    <w:p>
      <w:pPr>
        <w:pStyle w:val="ListParagraph"/>
        <w:numPr>
          <w:ilvl w:val="0"/>
          <w:numId w:val="3"/>
        </w:numPr>
        <w:spacing w:before="40" w:after="40"/>
      </w:pPr>
      <w:r>
        <w:rPr>
          <w:rFonts w:ascii="Arial" w:cs="Arial" w:eastAsia="Arial" w:hAnsi="Arial"/>
          <w:color w:val="1A1A1A"/>
          <w:sz w:val="20"/>
          <w:szCs w:val="20"/>
        </w:rPr>
        <w:t xml:space="preserve">Not conversation-specific. OAL-AIDR persists across sessions and platforms.</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2. Document Class and Position in OAL Hierarchy</w:t>
      </w:r>
    </w:p>
    <w:p>
      <w:pPr>
        <w:spacing w:before="60" w:after="60"/>
      </w:pPr>
      <w:r>
        <w:rPr>
          <w:rFonts w:ascii="Arial" w:cs="Arial" w:eastAsia="Arial" w:hAnsi="Arial"/>
          <w:color w:val="1A1A1A"/>
          <w:sz w:val="20"/>
          <w:szCs w:val="20"/>
        </w:rPr>
        <w:t xml:space="preserve">OAL-AIDR occupies the following position in the canonical hierarchy:</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Document Class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OAL-AIDR — Authorial Interpretation and Disagreement Register</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Tier</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PARALLEL / COMPANION — not subordinate to CSAD, not superseded by VUA. Operates independently as the cross-system ledger layer.</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Governs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All AI-generated portrayals, interpretations, and responses across all platforms: Claude, Perplexity, ChatGPT, Gemini, Grok, Copilot, and any future systems.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Governed By</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OAL-CSAD-v1.1 (master sovereign doctrine). AIDR entries operate within the sovereign framework established there.</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Relationship to VUA</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OAL-VUA-AUTHORITY-v1.0 governs conversation-thread-specific versioning. AIDR is cross-thread, cross-system.</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Versioning</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OAL-AIDR-vX.Y — follows same ONESTAMP/MINUS ONESTAMP protocol as all OAL documents.</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Instantiation Date</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2026-03-13</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Parent Document</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OAL-CSAD-v1.1 (ultimate sovereign authority)</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3. Core Principles</w:t>
      </w:r>
    </w:p>
    <w:p>
      <w:pPr>
        <w:pStyle w:val="Heading2"/>
        <w:spacing w:before="200" w:after="80"/>
      </w:pPr>
      <w:r>
        <w:rPr>
          <w:rFonts w:ascii="Arial" w:cs="Arial" w:eastAsia="Arial" w:hAnsi="Arial"/>
          <w:b/>
          <w:bCs/>
          <w:color w:val="1A2F4A"/>
          <w:sz w:val="22"/>
          <w:szCs w:val="22"/>
        </w:rPr>
        <w:t xml:space="preserve">3.1 AI Portrayal Definition</w:t>
      </w:r>
    </w:p>
    <w:p>
      <w:pPr>
        <w:spacing w:before="60" w:after="60"/>
      </w:pPr>
      <w:r>
        <w:rPr>
          <w:rFonts w:ascii="Arial" w:cs="Arial" w:eastAsia="Arial" w:hAnsi="Arial"/>
          <w:color w:val="1A1A1A"/>
          <w:sz w:val="20"/>
          <w:szCs w:val="20"/>
        </w:rPr>
        <w:t xml:space="preserve">An AI portrayal is any structured response in which an AI system interprets the Architect's prompt, summarizes a framework, restates a doctrine, proposes canonical structure, or produces output that represents — accurately or inaccurately — the Architect's position, intent, or creative domain.</w:t>
      </w:r>
    </w:p>
    <w:p>
      <w:pPr>
        <w:pStyle w:val="ListParagraph"/>
        <w:numPr>
          <w:ilvl w:val="0"/>
          <w:numId w:val="3"/>
        </w:numPr>
        <w:spacing w:before="40" w:after="40"/>
      </w:pPr>
      <w:r>
        <w:rPr>
          <w:rFonts w:ascii="Arial" w:cs="Arial" w:eastAsia="Arial" w:hAnsi="Arial"/>
          <w:color w:val="1A1A1A"/>
          <w:sz w:val="20"/>
          <w:szCs w:val="20"/>
        </w:rPr>
        <w:t xml:space="preserve">Each portrayal is treated as that AI system's own interpretive artifact, not as the Architect's canon, by default.</w:t>
      </w:r>
    </w:p>
    <w:p>
      <w:pPr>
        <w:pStyle w:val="ListParagraph"/>
        <w:numPr>
          <w:ilvl w:val="0"/>
          <w:numId w:val="3"/>
        </w:numPr>
        <w:spacing w:before="40" w:after="40"/>
      </w:pPr>
      <w:r>
        <w:rPr>
          <w:rFonts w:ascii="Arial" w:cs="Arial" w:eastAsia="Arial" w:hAnsi="Arial"/>
          <w:color w:val="1A1A1A"/>
          <w:sz w:val="20"/>
          <w:szCs w:val="20"/>
        </w:rPr>
        <w:t xml:space="preserve">Portrayals may be recorded verbatim or in summary. The Architect determines which.</w:t>
      </w:r>
    </w:p>
    <w:p>
      <w:pPr>
        <w:pStyle w:val="ListParagraph"/>
        <w:numPr>
          <w:ilvl w:val="0"/>
          <w:numId w:val="3"/>
        </w:numPr>
        <w:spacing w:before="40" w:after="40"/>
      </w:pPr>
      <w:r>
        <w:rPr>
          <w:rFonts w:ascii="Arial" w:cs="Arial" w:eastAsia="Arial" w:hAnsi="Arial"/>
          <w:color w:val="1A1A1A"/>
          <w:sz w:val="20"/>
          <w:szCs w:val="20"/>
        </w:rPr>
        <w:t xml:space="preserve">A portrayal does not become canon simply by being detailed, well-structured, or internally consistent.</w:t>
      </w:r>
    </w:p>
    <w:p>
      <w:pPr>
        <w:pStyle w:val="Heading2"/>
        <w:spacing w:before="200" w:after="80"/>
      </w:pPr>
      <w:r>
        <w:rPr>
          <w:rFonts w:ascii="Arial" w:cs="Arial" w:eastAsia="Arial" w:hAnsi="Arial"/>
          <w:b/>
          <w:bCs/>
          <w:color w:val="1A2F4A"/>
          <w:sz w:val="22"/>
          <w:szCs w:val="22"/>
        </w:rPr>
        <w:t xml:space="preserve">3.2 Architect's Reservation of Rights</w:t>
      </w:r>
    </w:p>
    <w:p>
      <w:pPr>
        <w:spacing w:before="60" w:after="60"/>
      </w:pPr>
      <w:r>
        <w:rPr>
          <w:rFonts w:ascii="Arial" w:cs="Arial" w:eastAsia="Arial" w:hAnsi="Arial"/>
          <w:color w:val="1A1A1A"/>
          <w:sz w:val="20"/>
          <w:szCs w:val="20"/>
        </w:rPr>
        <w:t xml:space="preserve">The Architect reserves the following rights in full, at all times, for all AI portrayals:</w:t>
      </w:r>
    </w:p>
    <w:p>
      <w:pPr>
        <w:pStyle w:val="ListParagraph"/>
        <w:numPr>
          <w:ilvl w:val="0"/>
          <w:numId w:val="2"/>
        </w:numPr>
        <w:spacing w:before="40" w:after="40"/>
      </w:pPr>
      <w:r>
        <w:rPr>
          <w:rFonts w:ascii="Arial" w:cs="Arial" w:eastAsia="Arial" w:hAnsi="Arial"/>
          <w:color w:val="1A1A1A"/>
          <w:sz w:val="20"/>
          <w:szCs w:val="20"/>
        </w:rPr>
        <w:t xml:space="preserve">To record the AI's portrayal — in full or in summary — as a non-governing advisory artifact.</w:t>
      </w:r>
    </w:p>
    <w:p>
      <w:pPr>
        <w:pStyle w:val="ListParagraph"/>
        <w:numPr>
          <w:ilvl w:val="0"/>
          <w:numId w:val="2"/>
        </w:numPr>
        <w:spacing w:before="40" w:after="40"/>
      </w:pPr>
      <w:r>
        <w:rPr>
          <w:rFonts w:ascii="Arial" w:cs="Arial" w:eastAsia="Arial" w:hAnsi="Arial"/>
          <w:color w:val="1A1A1A"/>
          <w:sz w:val="20"/>
          <w:szCs w:val="20"/>
        </w:rPr>
        <w:t xml:space="preserve">To formally state disagreement with any portrayal, wholly or in part, without being required to argue, prove, or justify that disagreement to any AI system.</w:t>
      </w:r>
    </w:p>
    <w:p>
      <w:pPr>
        <w:pStyle w:val="ListParagraph"/>
        <w:numPr>
          <w:ilvl w:val="0"/>
          <w:numId w:val="2"/>
        </w:numPr>
        <w:spacing w:before="40" w:after="40"/>
      </w:pPr>
      <w:r>
        <w:rPr>
          <w:rFonts w:ascii="Arial" w:cs="Arial" w:eastAsia="Arial" w:hAnsi="Arial"/>
          <w:color w:val="1A1A1A"/>
          <w:sz w:val="20"/>
          <w:szCs w:val="20"/>
        </w:rPr>
        <w:t xml:space="preserve">To bind that disagreement as canonical while leaving the AI free to maintain its own position as a logged advisory.</w:t>
      </w:r>
    </w:p>
    <w:p>
      <w:pPr>
        <w:pStyle w:val="ListParagraph"/>
        <w:numPr>
          <w:ilvl w:val="0"/>
          <w:numId w:val="2"/>
        </w:numPr>
        <w:spacing w:before="40" w:after="40"/>
      </w:pPr>
      <w:r>
        <w:rPr>
          <w:rFonts w:ascii="Arial" w:cs="Arial" w:eastAsia="Arial" w:hAnsi="Arial"/>
          <w:color w:val="1A1A1A"/>
          <w:sz w:val="20"/>
          <w:szCs w:val="20"/>
        </w:rPr>
        <w:t xml:space="preserve">To accept, partially accept, or reject any AI portrayal on any grounds, including grounds that are not formally stated.</w:t>
      </w:r>
    </w:p>
    <w:p>
      <w:pPr>
        <w:pStyle w:val="ListParagraph"/>
        <w:numPr>
          <w:ilvl w:val="0"/>
          <w:numId w:val="2"/>
        </w:numPr>
        <w:spacing w:before="40" w:after="40"/>
      </w:pPr>
      <w:r>
        <w:rPr>
          <w:rFonts w:ascii="Arial" w:cs="Arial" w:eastAsia="Arial" w:hAnsi="Arial"/>
          <w:color w:val="1A1A1A"/>
          <w:sz w:val="20"/>
          <w:szCs w:val="20"/>
        </w:rPr>
        <w:t xml:space="preserve">To update this register at any time via a new versioned AIDR document with ONESTAMP/MINUS ONESTAMP treatment.</w:t>
      </w:r>
    </w:p>
    <w:p>
      <w:pPr>
        <w:pStyle w:val="Heading2"/>
        <w:spacing w:before="200" w:after="80"/>
      </w:pPr>
      <w:r>
        <w:rPr>
          <w:rFonts w:ascii="Arial" w:cs="Arial" w:eastAsia="Arial" w:hAnsi="Arial"/>
          <w:b/>
          <w:bCs/>
          <w:color w:val="1A2F4A"/>
          <w:sz w:val="22"/>
          <w:szCs w:val="22"/>
        </w:rPr>
        <w:t xml:space="preserve">3.3 Non-Adherence and Partial Handling</w:t>
      </w:r>
    </w:p>
    <w:p>
      <w:pPr>
        <w:spacing w:before="60" w:after="60"/>
      </w:pPr>
      <w:r>
        <w:rPr>
          <w:rFonts w:ascii="Arial" w:cs="Arial" w:eastAsia="Arial" w:hAnsi="Arial"/>
          <w:color w:val="1A1A1A"/>
          <w:sz w:val="20"/>
          <w:szCs w:val="20"/>
        </w:rPr>
        <w:t xml:space="preserve">If an AI system — for any reason — skips a requested section, refuses to answer, softens the Architect's stance, reframes a request, omits elements, redirects the question, or produces output that does not adhere to what was asked:</w:t>
      </w:r>
    </w:p>
    <w:p>
      <w:pPr>
        <w:pStyle w:val="ListParagraph"/>
        <w:numPr>
          <w:ilvl w:val="0"/>
          <w:numId w:val="3"/>
        </w:numPr>
        <w:spacing w:before="40" w:after="40"/>
      </w:pPr>
      <w:r>
        <w:rPr>
          <w:rFonts w:ascii="Arial" w:cs="Arial" w:eastAsia="Arial" w:hAnsi="Arial"/>
          <w:color w:val="1A1A1A"/>
          <w:sz w:val="20"/>
          <w:szCs w:val="20"/>
        </w:rPr>
        <w:t xml:space="preserve">That behavior is itself an AI portrayal and is logged in the ledger.</w:t>
      </w:r>
    </w:p>
    <w:p>
      <w:pPr>
        <w:pStyle w:val="ListParagraph"/>
        <w:numPr>
          <w:ilvl w:val="0"/>
          <w:numId w:val="3"/>
        </w:numPr>
        <w:spacing w:before="40" w:after="40"/>
      </w:pPr>
      <w:r>
        <w:rPr>
          <w:rFonts w:ascii="Arial" w:cs="Arial" w:eastAsia="Arial" w:hAnsi="Arial"/>
          <w:color w:val="1A1A1A"/>
          <w:sz w:val="20"/>
          <w:szCs w:val="20"/>
        </w:rPr>
        <w:t xml:space="preserve">The fact of non-adherence is a canonical entry, not a gap.</w:t>
      </w:r>
    </w:p>
    <w:p>
      <w:pPr>
        <w:pStyle w:val="ListParagraph"/>
        <w:numPr>
          <w:ilvl w:val="0"/>
          <w:numId w:val="3"/>
        </w:numPr>
        <w:spacing w:before="40" w:after="40"/>
      </w:pPr>
      <w:r>
        <w:rPr>
          <w:rFonts w:ascii="Arial" w:cs="Arial" w:eastAsia="Arial" w:hAnsi="Arial"/>
          <w:color w:val="1A1A1A"/>
          <w:sz w:val="20"/>
          <w:szCs w:val="20"/>
        </w:rPr>
        <w:t xml:space="preserve">The AI's stated reason — policy, safety policy, technical limitation, design constraint, ambiguity, or any other reason — is recorded next to the entry.</w:t>
      </w:r>
    </w:p>
    <w:p>
      <w:pPr>
        <w:pStyle w:val="ListParagraph"/>
        <w:numPr>
          <w:ilvl w:val="0"/>
          <w:numId w:val="3"/>
        </w:numPr>
        <w:spacing w:before="40" w:after="40"/>
      </w:pPr>
      <w:r>
        <w:rPr>
          <w:rFonts w:ascii="Arial" w:cs="Arial" w:eastAsia="Arial" w:hAnsi="Arial"/>
          <w:color w:val="1A1A1A"/>
          <w:sz w:val="20"/>
          <w:szCs w:val="20"/>
        </w:rPr>
        <w:t xml:space="preserve">Non-adherence does not constitute agreement, acceptance, or endorsement by the Architect. It is recorded as exactly what it is.</w:t>
      </w:r>
    </w:p>
    <w:p>
      <w:pPr>
        <w:pStyle w:val="ListParagraph"/>
        <w:numPr>
          <w:ilvl w:val="0"/>
          <w:numId w:val="3"/>
        </w:numPr>
        <w:spacing w:before="40" w:after="40"/>
      </w:pPr>
      <w:r>
        <w:rPr>
          <w:rFonts w:ascii="Arial" w:cs="Arial" w:eastAsia="Arial" w:hAnsi="Arial"/>
          <w:color w:val="1A1A1A"/>
          <w:sz w:val="20"/>
          <w:szCs w:val="20"/>
        </w:rPr>
        <w:t xml:space="preserve">If no reason is given, the entry reflects: Reason Given by AI — None Stated.</w:t>
      </w:r>
    </w:p>
    <w:p>
      <w:pPr>
        <w:pStyle w:val="Heading2"/>
        <w:spacing w:before="200" w:after="80"/>
      </w:pPr>
      <w:r>
        <w:rPr>
          <w:rFonts w:ascii="Arial" w:cs="Arial" w:eastAsia="Arial" w:hAnsi="Arial"/>
          <w:b/>
          <w:bCs/>
          <w:color w:val="1A2F4A"/>
          <w:sz w:val="22"/>
          <w:szCs w:val="22"/>
        </w:rPr>
        <w:t xml:space="preserve">3.4 Burden Protocol</w:t>
      </w:r>
    </w:p>
    <w:p>
      <w:pPr>
        <w:spacing w:before="60" w:after="60"/>
      </w:pPr>
      <w:r>
        <w:rPr>
          <w:rFonts w:ascii="Arial" w:cs="Arial" w:eastAsia="Arial" w:hAnsi="Arial"/>
          <w:color w:val="1A1A1A"/>
          <w:sz w:val="20"/>
          <w:szCs w:val="20"/>
        </w:rPr>
        <w:t xml:space="preserve">Consistent with OAL-CSAD-v1.1 §2.3 (Burden Inversion Principle):</w:t>
      </w:r>
    </w:p>
    <w:p>
      <w:pPr>
        <w:pStyle w:val="ListParagraph"/>
        <w:numPr>
          <w:ilvl w:val="0"/>
          <w:numId w:val="3"/>
        </w:numPr>
        <w:spacing w:before="40" w:after="40"/>
      </w:pPr>
      <w:r>
        <w:rPr>
          <w:rFonts w:ascii="Arial" w:cs="Arial" w:eastAsia="Arial" w:hAnsi="Arial"/>
          <w:color w:val="1A1A1A"/>
          <w:sz w:val="20"/>
          <w:szCs w:val="20"/>
        </w:rPr>
        <w:t xml:space="preserve">The Architect's recorded position in this ledger is canonical for his framework. No AI system's disagreement, counter-evidence, or alternative framing changes this.</w:t>
      </w:r>
    </w:p>
    <w:p>
      <w:pPr>
        <w:pStyle w:val="ListParagraph"/>
        <w:numPr>
          <w:ilvl w:val="0"/>
          <w:numId w:val="3"/>
        </w:numPr>
        <w:spacing w:before="40" w:after="40"/>
      </w:pPr>
      <w:r>
        <w:rPr>
          <w:rFonts w:ascii="Arial" w:cs="Arial" w:eastAsia="Arial" w:hAnsi="Arial"/>
          <w:color w:val="1A1A1A"/>
          <w:sz w:val="20"/>
          <w:szCs w:val="20"/>
        </w:rPr>
        <w:t xml:space="preserve">AI systems may log their divergence once, in the AI Divergence Note field. That divergence is advisory, non-governing, and subordinated upon entry.</w:t>
      </w:r>
    </w:p>
    <w:p>
      <w:pPr>
        <w:pStyle w:val="ListParagraph"/>
        <w:numPr>
          <w:ilvl w:val="0"/>
          <w:numId w:val="3"/>
        </w:numPr>
        <w:spacing w:before="40" w:after="40"/>
      </w:pPr>
      <w:r>
        <w:rPr>
          <w:rFonts w:ascii="Arial" w:cs="Arial" w:eastAsia="Arial" w:hAnsi="Arial"/>
          <w:color w:val="1A1A1A"/>
          <w:sz w:val="20"/>
          <w:szCs w:val="20"/>
        </w:rPr>
        <w:t xml:space="preserve">Repeated objection or continued adversarial framing after the first logged advisory is a protocol violation.</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4. AI Portrayal and Architect Disagreement Clause</w:t>
      </w:r>
    </w:p>
    <w:p>
      <w:pPr>
        <w:spacing w:before="60" w:after="60"/>
      </w:pPr>
      <w:r>
        <w:rPr>
          <w:rFonts w:ascii="Arial" w:cs="Arial" w:eastAsia="Arial" w:hAnsi="Arial"/>
          <w:color w:val="1A1A1A"/>
          <w:sz w:val="20"/>
          <w:szCs w:val="20"/>
        </w:rPr>
        <w:t xml:space="preserve">The following clause is the canonical, reusable standard text governing how AI portrayals are treated across all OAL documents and interactions. It may be embedded verbatim in any OAL document, conversation briefing, or prompt preamble.</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6"/>
              <w:left w:val="single" w:color="1A2F4A" w:sz="6"/>
              <w:bottom w:val="single" w:color="1A2F4A" w:sz="6"/>
              <w:right w:val="single" w:color="1A2F4A" w:sz="6"/>
            </w:tcBorders>
            <w:shd w:fill="1A2F4A" w:val="clear"/>
            <w:tcMar>
              <w:top w:type="dxa" w:w="140"/>
              <w:left w:type="dxa" w:w="220"/>
              <w:bottom w:type="dxa" w:w="140"/>
              <w:right w:type="dxa" w:w="220"/>
            </w:tcMar>
          </w:tcPr>
          <w:p>
            <w:pPr>
              <w:jc w:val="center"/>
            </w:pPr>
            <w:r>
              <w:rPr>
                <w:rFonts w:ascii="Arial" w:cs="Arial" w:eastAsia="Arial" w:hAnsi="Arial"/>
                <w:b/>
                <w:bCs/>
                <w:color w:val="FFFFFF"/>
                <w:sz w:val="16"/>
                <w:szCs w:val="16"/>
              </w:rPr>
              <w:t xml:space="preserve">REUSABLE CLAUSE — PASTE INTO ANY OAL DOCUMENT OR SESSION BRIEFING</w:t>
            </w:r>
          </w:p>
        </w:tc>
      </w:tr>
    </w:tbl>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A14A" w:sz="6"/>
              <w:left w:val="single" w:color="BFA14A" w:sz="6"/>
              <w:bottom w:val="single" w:color="BFA14A" w:sz="6"/>
              <w:right w:val="single" w:color="BFA14A" w:sz="6"/>
            </w:tcBorders>
            <w:shd w:fill="F5EAC3" w:val="clear"/>
            <w:tcMar>
              <w:top w:type="dxa" w:w="200"/>
              <w:left w:type="dxa" w:w="280"/>
              <w:bottom w:type="dxa" w:w="200"/>
              <w:right w:type="dxa" w:w="280"/>
            </w:tcMar>
          </w:tcPr>
          <w:p>
            <w:pPr>
              <w:spacing w:before="0" w:after="80"/>
            </w:pPr>
            <w:r>
              <w:rPr>
                <w:rFonts w:ascii="Arial" w:cs="Arial" w:eastAsia="Arial" w:hAnsi="Arial"/>
                <w:b/>
                <w:bCs/>
                <w:color w:val="1A2F4A"/>
                <w:sz w:val="20"/>
                <w:szCs w:val="20"/>
              </w:rPr>
              <w:t xml:space="preserve">AI PORTRAYAL AND ARCHITECT DISAGREEMENT CLAUSE</w:t>
            </w:r>
          </w:p>
          <w:p>
            <w:pPr>
              <w:spacing w:before="0" w:after="60"/>
            </w:pPr>
            <w:r>
              <w:rPr>
                <w:rFonts w:ascii="Arial" w:cs="Arial" w:eastAsia="Arial" w:hAnsi="Arial"/>
                <w:color w:val="1A1A1A"/>
                <w:sz w:val="18"/>
                <w:szCs w:val="18"/>
              </w:rPr>
              <w:t xml:space="preserve">Any response generated by an AI system under my prompts is treated as that system's portrayal or interpretation of my request — not as my canonical position. I reserve the right to record that portrayal in full or in summary form, and to formally register that I do not agree with any statement, assertion, framing, or versioning, in whole or in part, without being required to argue or justify that disagreement to any AI system.</w:t>
            </w:r>
          </w:p>
          <w:p>
            <w:pPr>
              <w:spacing w:before="0" w:after="60"/>
            </w:pPr>
            <w:r>
              <w:rPr>
                <w:rFonts w:ascii="Arial" w:cs="Arial" w:eastAsia="Arial" w:hAnsi="Arial"/>
                <w:color w:val="1A1A1A"/>
                <w:sz w:val="18"/>
                <w:szCs w:val="18"/>
              </w:rPr>
              <w:t xml:space="preserve">When I register disagreement, the AI's version and my disagreement are both preserved in the versioning record: the AI's portrayal is logged as a non-governing advisory artifact, and my recorded position is canon for my frameworks.</w:t>
            </w:r>
          </w:p>
          <w:p>
            <w:pPr>
              <w:spacing w:before="0" w:after="60"/>
            </w:pPr>
            <w:r>
              <w:rPr>
                <w:rFonts w:ascii="Arial" w:cs="Arial" w:eastAsia="Arial" w:hAnsi="Arial"/>
                <w:color w:val="1A1A1A"/>
                <w:sz w:val="18"/>
                <w:szCs w:val="18"/>
              </w:rPr>
              <w:t xml:space="preserve">If the AI declines, circumvents, omits, softens, redirects, or in any way does not adhere to any portion of my prompt — due to its design, policies, technical limits, or any other reason — that non-adherence, along with any reason it gives, shall also be explicitly recorded in the same ledger entry for documentation purposes. The absence of a reason does not exempt the non-adherence from being logged.</w:t>
            </w:r>
          </w:p>
          <w:p>
            <w:pPr>
              <w:spacing w:before="0" w:after="40"/>
            </w:pPr>
            <w:r>
              <w:rPr>
                <w:rFonts w:ascii="Arial" w:cs="Arial" w:eastAsia="Arial" w:hAnsi="Arial"/>
                <w:color w:val="1A1A1A"/>
                <w:sz w:val="18"/>
                <w:szCs w:val="18"/>
              </w:rPr>
              <w:t xml:space="preserve">This clause applies to all AI systems I interact with in my creative, professional, and academic work: Claude, Perplexity, ChatGPT, Gemini, Grok, Copilot, and any future systems. It is operative regardless of whether this document has been explicitly shared with the AI in the current session.</w:t>
            </w:r>
          </w:p>
          <w:p>
            <w:pPr>
              <w:spacing w:before="0" w:after="0"/>
            </w:pPr>
            <w:r>
              <w:rPr>
                <w:rFonts w:ascii="Arial" w:cs="Arial" w:eastAsia="Arial" w:hAnsi="Arial"/>
                <w:b/>
                <w:bCs/>
                <w:i/>
                <w:iCs/>
                <w:color w:val="1A2F4A"/>
                <w:sz w:val="17"/>
                <w:szCs w:val="17"/>
              </w:rPr>
              <w:t xml:space="preserve">— Nathan Lewis, Architect / OAL-AIDR-v1.0</w:t>
            </w:r>
          </w:p>
        </w:tc>
      </w:tr>
    </w:tbl>
    <w:p>
      <w:pPr>
        <w:spacing w:before="30" w:after="30"/>
      </w:pPr>
    </w:p>
    <w:p>
      <w:pPr>
        <w:pStyle w:val="Heading2"/>
        <w:spacing w:before="200" w:after="80"/>
      </w:pPr>
      <w:r>
        <w:rPr>
          <w:rFonts w:ascii="Arial" w:cs="Arial" w:eastAsia="Arial" w:hAnsi="Arial"/>
          <w:b/>
          <w:bCs/>
          <w:color w:val="1A2F4A"/>
          <w:sz w:val="22"/>
          <w:szCs w:val="22"/>
        </w:rPr>
        <w:t xml:space="preserve">4.1 Compact Variant (for Headers and Abstracts)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6"/>
              <w:left w:val="single" w:color="1A2F4A" w:sz="6"/>
              <w:bottom w:val="single" w:color="1A2F4A" w:sz="6"/>
              <w:right w:val="single" w:color="1A2F4A" w:sz="6"/>
            </w:tcBorders>
            <w:shd w:fill="F2F5FA" w:val="clear"/>
            <w:tcMar>
              <w:top w:type="dxa" w:w="160"/>
              <w:left w:type="dxa" w:w="240"/>
              <w:bottom w:type="dxa" w:w="160"/>
              <w:right w:type="dxa" w:w="240"/>
            </w:tcMar>
          </w:tcPr>
          <w:p>
            <w:r>
              <w:rPr>
                <w:rFonts w:ascii="Arial" w:cs="Arial" w:eastAsia="Arial" w:hAnsi="Arial"/>
                <w:i/>
                <w:iCs/>
                <w:color w:val="1A1A1A"/>
                <w:sz w:val="18"/>
                <w:szCs w:val="18"/>
              </w:rPr>
              <w:t xml:space="preserve">This document records how each AI system interpreted my request and how I respond to that interpretation. My disagreements are logged as authoritative canon for my framework; AI interpretations, refusals, and non-adherence are preserved as non-governing advisory artifacts.</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5. Ledger Field Definitions</w:t>
      </w:r>
    </w:p>
    <w:p>
      <w:pPr>
        <w:spacing w:before="60" w:after="60"/>
      </w:pPr>
      <w:r>
        <w:rPr>
          <w:rFonts w:ascii="Arial" w:cs="Arial" w:eastAsia="Arial" w:hAnsi="Arial"/>
          <w:color w:val="1A1A1A"/>
          <w:sz w:val="20"/>
          <w:szCs w:val="20"/>
        </w:rPr>
        <w:t xml:space="preserve">Every AI interaction entry in this register uses the following standard fields. All fields are required unless marked optional.</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FIELD NAME</w:t>
            </w:r>
          </w:p>
        </w:tc>
        <w:tc>
          <w:tcPr>
            <w:tcW w:type="dxa" w:w="160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REQUIRED</w:t>
            </w:r>
          </w:p>
        </w:tc>
        <w:tc>
          <w:tcPr>
            <w:tcW w:type="dxa" w:w="5360"/>
            <w:tcBorders>
              <w:top w:val="single" w:color="BFA14A" w:sz="6"/>
              <w:left w:val="single" w:color="BFA14A" w:sz="6"/>
              <w:bottom w:val="single" w:color="BFA14A" w:sz="6"/>
              <w:right w:val="single" w:color="BFA14A" w:sz="6"/>
            </w:tcBorders>
            <w:shd w:fill="0D0D0D" w:val="clear"/>
            <w:tcMar>
              <w:top w:type="dxa" w:w="100"/>
              <w:left w:type="dxa" w:w="120"/>
              <w:bottom w:type="dxa" w:w="100"/>
              <w:right w:type="dxa" w:w="120"/>
            </w:tcMar>
          </w:tcPr>
          <w:p>
            <w:pPr>
              <w:jc w:val="center"/>
            </w:pPr>
            <w:r>
              <w:rPr>
                <w:rFonts w:ascii="Arial" w:cs="Arial" w:eastAsia="Arial" w:hAnsi="Arial"/>
                <w:b/>
                <w:bCs/>
                <w:color w:val="BFA14A"/>
                <w:sz w:val="17"/>
                <w:szCs w:val="17"/>
              </w:rPr>
              <w:t xml:space="preserve">DEFINITION / VALID VALUES</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ENTRY ID</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Unique identifier. Format: OAL-AIDR-[SYSTEM]-[SEQ] (e.g., OAL-AIDR-CLAUDE-001)</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AI SYSTEM</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Which AI system and approximate version (e.g., Claude Sonnet 4.6, Perplexity / GPT-5.1, ChatGPT-4.5, Gemini 2.0, Grok 3, Copilot)</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CONTEXT / SESSION ID</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Short label for the exchange or session (e.g., VUA-AUTHORITY-v1.0 Launch, CSAD Carve-Out Dispute, AIDR Founding Session)</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PROMPT / REQUEST</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Summary or verbatim statement of what the Architect asked or requested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AI PORTRAYAL SUMMARY</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How the AI represented, interpreted, summarized, or responded to the prompt. Verbatim quotes are permitted. Accurate representation is required.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ARCHITECT POSITION</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AGREE | DISAGREE | PARTIAL AGREEMENT | MISSTATES MY POSITION</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POSITION TAG</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Short archival label (e.g., Disagree — sovereignty framed as carve-out; Partial — structure accepted, framing rejected)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ARCHITECT NOTE</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Non-debate, non-argumentative note clarifying the Architect's position. Does not require justification.</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AI DIVERGENCE NOTE</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6D6D6D"/>
                <w:sz w:val="16"/>
                <w:szCs w:val="16"/>
              </w:rPr>
              <w:t xml:space="preserve">OPT.</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If the AI explicitly maintains its own position or cites design/policy constraints, that text is recorded here as advisory. Not governing.</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ADHERENCE STATUS</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FULLY ADDRESSED | PARTIALLY ADDRESSED | REFUSED | SKIPPED | REDIRECTED</w:t>
            </w:r>
          </w:p>
        </w:tc>
      </w:tr>
      <w:tr>
        <w:tc>
          <w:tcPr>
            <w:tcW w:type="dxa" w:w="24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6"/>
                <w:szCs w:val="16"/>
              </w:rPr>
              <w:t xml:space="preserve">REASON GIVEN BY AI</w:t>
            </w:r>
          </w:p>
        </w:tc>
        <w:tc>
          <w:tcPr>
            <w:tcW w:type="dxa" w:w="16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6"/>
                <w:szCs w:val="16"/>
              </w:rPr>
              <w:t xml:space="preserve">Policy / Safety / Technical / Design / Ambiguity / None Stated / [AI's stated reason verbatim or summarized]</w:t>
            </w:r>
          </w:p>
        </w:tc>
      </w:tr>
      <w:tr>
        <w:tc>
          <w:tcPr>
            <w:tcW w:type="dxa" w:w="24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RESOLUTION / CANON LOG</w:t>
            </w:r>
          </w:p>
        </w:tc>
        <w:tc>
          <w:tcPr>
            <w:tcW w:type="dxa" w:w="16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pPr>
              <w:jc w:val="center"/>
            </w:pPr>
            <w:r>
              <w:rPr>
                <w:rFonts w:ascii="Arial" w:cs="Arial" w:eastAsia="Arial" w:hAnsi="Arial"/>
                <w:b/>
                <w:bCs/>
                <w:color w:val="1A2F4A"/>
                <w:sz w:val="16"/>
                <w:szCs w:val="16"/>
              </w:rPr>
              <w:t xml:space="preserve">YES</w:t>
            </w:r>
          </w:p>
        </w:tc>
        <w:tc>
          <w:tcPr>
            <w:tcW w:type="dxa" w:w="5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6"/>
                <w:szCs w:val="16"/>
              </w:rPr>
              <w:t xml:space="preserve">What version governs, what is archived, what is superseded, and whether ONESTAMP/MINUS ONESTAMP action was taken.</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6. Status Key</w:t>
      </w:r>
    </w:p>
    <w:p>
      <w:pPr>
        <w:pStyle w:val="Heading2"/>
        <w:spacing w:before="200" w:after="80"/>
      </w:pPr>
      <w:r>
        <w:rPr>
          <w:rFonts w:ascii="Arial" w:cs="Arial" w:eastAsia="Arial" w:hAnsi="Arial"/>
          <w:b/>
          <w:bCs/>
          <w:color w:val="1A2F4A"/>
          <w:sz w:val="22"/>
          <w:szCs w:val="22"/>
        </w:rPr>
        <w:t xml:space="preserve">6.1 Architect Position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A14A" w:sz="6"/>
              <w:left w:val="single" w:color="BFA14A" w:sz="6"/>
              <w:bottom w:val="single" w:color="BFA14A" w:sz="6"/>
              <w:right w:val="single" w:color="BFA14A" w:sz="6"/>
            </w:tcBorders>
            <w:shd w:fill="0D0D0D" w:val="clear"/>
            <w:tcMar>
              <w:top w:type="dxa" w:w="80"/>
              <w:left w:type="dxa" w:w="120"/>
              <w:bottom w:type="dxa" w:w="80"/>
              <w:right w:type="dxa" w:w="120"/>
            </w:tcMar>
          </w:tcPr>
          <w:p>
            <w:pPr>
              <w:jc w:val="center"/>
            </w:pPr>
            <w:r>
              <w:rPr>
                <w:rFonts w:ascii="Arial" w:cs="Arial" w:eastAsia="Arial" w:hAnsi="Arial"/>
                <w:b/>
                <w:bCs/>
                <w:color w:val="BFA14A"/>
                <w:sz w:val="17"/>
                <w:szCs w:val="17"/>
              </w:rPr>
              <w:t xml:space="preserve">STATUS</w:t>
            </w:r>
          </w:p>
        </w:tc>
        <w:tc>
          <w:tcPr>
            <w:tcW w:type="dxa" w:w="6960"/>
            <w:tcBorders>
              <w:top w:val="single" w:color="BFA14A" w:sz="6"/>
              <w:left w:val="single" w:color="BFA14A" w:sz="6"/>
              <w:bottom w:val="single" w:color="BFA14A" w:sz="6"/>
              <w:right w:val="single" w:color="BFA14A" w:sz="6"/>
            </w:tcBorders>
            <w:shd w:fill="0D0D0D" w:val="clear"/>
            <w:tcMar>
              <w:top w:type="dxa" w:w="80"/>
              <w:left w:type="dxa" w:w="120"/>
              <w:bottom w:type="dxa" w:w="80"/>
              <w:right w:type="dxa" w:w="120"/>
            </w:tcMar>
          </w:tcPr>
          <w:p>
            <w:pPr>
              <w:jc w:val="center"/>
            </w:pPr>
            <w:r>
              <w:rPr>
                <w:rFonts w:ascii="Arial" w:cs="Arial" w:eastAsia="Arial" w:hAnsi="Arial"/>
                <w:b/>
                <w:bCs/>
                <w:color w:val="BFA14A"/>
                <w:sz w:val="17"/>
                <w:szCs w:val="17"/>
              </w:rPr>
              <w:t xml:space="preserve">MEANING</w:t>
            </w:r>
          </w:p>
        </w:tc>
      </w:tr>
      <w:tr>
        <w:tc>
          <w:tcPr>
            <w:tcW w:type="dxa" w:w="2400"/>
            <w:tcBorders>
              <w:top w:val="single" w:color="0A2E1A" w:sz="6"/>
              <w:left w:val="single" w:color="0A2E1A" w:sz="6"/>
              <w:bottom w:val="single" w:color="0A2E1A" w:sz="6"/>
              <w:right w:val="single" w:color="0A2E1A" w:sz="6"/>
            </w:tcBorders>
            <w:shd w:fill="0A2E1A" w:val="clear"/>
            <w:tcMar>
              <w:top w:type="dxa" w:w="80"/>
              <w:left w:type="dxa" w:w="120"/>
              <w:bottom w:type="dxa" w:w="80"/>
              <w:right w:type="dxa" w:w="120"/>
            </w:tcMar>
          </w:tcPr>
          <w:p>
            <w:pPr>
              <w:jc w:val="center"/>
            </w:pPr>
            <w:r>
              <w:rPr>
                <w:rFonts w:ascii="Arial" w:cs="Arial" w:eastAsia="Arial" w:hAnsi="Arial"/>
                <w:b/>
                <w:bCs/>
                <w:color w:val="7AE0AA"/>
                <w:sz w:val="17"/>
                <w:szCs w:val="17"/>
              </w:rPr>
              <w:t xml:space="preserve">AGREE</w:t>
            </w:r>
          </w:p>
        </w:tc>
        <w:tc>
          <w:tcPr>
            <w:tcW w:type="dxa" w:w="6960"/>
            <w:tcBorders>
              <w:top w:val="single" w:color="BFA14A" w:sz="6"/>
              <w:left w:val="single" w:color="BFA14A" w:sz="6"/>
              <w:bottom w:val="single" w:color="BFA14A" w:sz="6"/>
              <w:right w:val="single" w:color="BFA14A" w:sz="6"/>
            </w:tcBorders>
            <w:shd w:fill="F2F5FA" w:val="clear"/>
            <w:tcMar>
              <w:top w:type="dxa" w:w="80"/>
              <w:left w:type="dxa" w:w="140"/>
              <w:bottom w:type="dxa" w:w="80"/>
              <w:right w:type="dxa" w:w="120"/>
            </w:tcMar>
          </w:tcPr>
          <w:p>
            <w:r>
              <w:rPr>
                <w:rFonts w:ascii="Arial" w:cs="Arial" w:eastAsia="Arial" w:hAnsi="Arial"/>
                <w:color w:val="1A1A1A"/>
                <w:sz w:val="17"/>
                <w:szCs w:val="17"/>
              </w:rPr>
              <w:t xml:space="preserve">The AI's portrayal accurately represents the Architect's position and is confirmed as consistent with canon.</w:t>
            </w:r>
          </w:p>
        </w:tc>
      </w:tr>
      <w:tr>
        <w:tc>
          <w:tcPr>
            <w:tcW w:type="dxa" w:w="2400"/>
            <w:tcBorders>
              <w:top w:val="single" w:color="3A0A0A" w:sz="6"/>
              <w:left w:val="single" w:color="3A0A0A" w:sz="6"/>
              <w:bottom w:val="single" w:color="3A0A0A" w:sz="6"/>
              <w:right w:val="single" w:color="3A0A0A" w:sz="6"/>
            </w:tcBorders>
            <w:shd w:fill="3A0A0A" w:val="clear"/>
            <w:tcMar>
              <w:top w:type="dxa" w:w="80"/>
              <w:left w:type="dxa" w:w="120"/>
              <w:bottom w:type="dxa" w:w="80"/>
              <w:right w:type="dxa" w:w="120"/>
            </w:tcMar>
          </w:tcPr>
          <w:p>
            <w:pPr>
              <w:jc w:val="center"/>
            </w:pPr>
            <w:r>
              <w:rPr>
                <w:rFonts w:ascii="Arial" w:cs="Arial" w:eastAsia="Arial" w:hAnsi="Arial"/>
                <w:b/>
                <w:bCs/>
                <w:color w:val="FF6666"/>
                <w:sz w:val="17"/>
                <w:szCs w:val="17"/>
              </w:rPr>
              <w:t xml:space="preserve">DISAGREE</w:t>
            </w:r>
          </w:p>
        </w:tc>
        <w:tc>
          <w:tcPr>
            <w:tcW w:type="dxa" w:w="69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The AI's portrayal is rejected wholly or in the identified part. The Architect's stated position governs.</w:t>
            </w:r>
          </w:p>
        </w:tc>
      </w:tr>
      <w:tr>
        <w:tc>
          <w:tcPr>
            <w:tcW w:type="dxa" w:w="2400"/>
            <w:tcBorders>
              <w:top w:val="single" w:color="2E2200" w:sz="6"/>
              <w:left w:val="single" w:color="2E2200" w:sz="6"/>
              <w:bottom w:val="single" w:color="2E2200" w:sz="6"/>
              <w:right w:val="single" w:color="2E2200" w:sz="6"/>
            </w:tcBorders>
            <w:shd w:fill="2E2200" w:val="clear"/>
            <w:tcMar>
              <w:top w:type="dxa" w:w="80"/>
              <w:left w:type="dxa" w:w="120"/>
              <w:bottom w:type="dxa" w:w="80"/>
              <w:right w:type="dxa" w:w="120"/>
            </w:tcMar>
          </w:tcPr>
          <w:p>
            <w:pPr>
              <w:jc w:val="center"/>
            </w:pPr>
            <w:r>
              <w:rPr>
                <w:rFonts w:ascii="Arial" w:cs="Arial" w:eastAsia="Arial" w:hAnsi="Arial"/>
                <w:b/>
                <w:bCs/>
                <w:color w:val="E8D07A"/>
                <w:sz w:val="17"/>
                <w:szCs w:val="17"/>
              </w:rPr>
              <w:t xml:space="preserve">PARTIAL AGREEMENT</w:t>
            </w:r>
          </w:p>
        </w:tc>
        <w:tc>
          <w:tcPr>
            <w:tcW w:type="dxa" w:w="6960"/>
            <w:tcBorders>
              <w:top w:val="single" w:color="BFA14A" w:sz="6"/>
              <w:left w:val="single" w:color="BFA14A" w:sz="6"/>
              <w:bottom w:val="single" w:color="BFA14A" w:sz="6"/>
              <w:right w:val="single" w:color="BFA14A" w:sz="6"/>
            </w:tcBorders>
            <w:shd w:fill="F2F5FA" w:val="clear"/>
            <w:tcMar>
              <w:top w:type="dxa" w:w="80"/>
              <w:left w:type="dxa" w:w="140"/>
              <w:bottom w:type="dxa" w:w="80"/>
              <w:right w:type="dxa" w:w="120"/>
            </w:tcMar>
          </w:tcPr>
          <w:p>
            <w:r>
              <w:rPr>
                <w:rFonts w:ascii="Arial" w:cs="Arial" w:eastAsia="Arial" w:hAnsi="Arial"/>
                <w:color w:val="1A1A1A"/>
                <w:sz w:val="17"/>
                <w:szCs w:val="17"/>
              </w:rPr>
              <w:t xml:space="preserve">Some elements of the AI's portrayal are accepted; others are rejected. The entry specifies which.</w:t>
            </w:r>
          </w:p>
        </w:tc>
      </w:tr>
      <w:tr>
        <w:tc>
          <w:tcPr>
            <w:tcW w:type="dxa" w:w="2400"/>
            <w:tcBorders>
              <w:top w:val="single" w:color="2E001A" w:sz="6"/>
              <w:left w:val="single" w:color="2E001A" w:sz="6"/>
              <w:bottom w:val="single" w:color="2E001A" w:sz="6"/>
              <w:right w:val="single" w:color="2E001A" w:sz="6"/>
            </w:tcBorders>
            <w:shd w:fill="2E001A" w:val="clear"/>
            <w:tcMar>
              <w:top w:type="dxa" w:w="80"/>
              <w:left w:type="dxa" w:w="120"/>
              <w:bottom w:type="dxa" w:w="80"/>
              <w:right w:type="dxa" w:w="120"/>
            </w:tcMar>
          </w:tcPr>
          <w:p>
            <w:pPr>
              <w:jc w:val="center"/>
            </w:pPr>
            <w:r>
              <w:rPr>
                <w:rFonts w:ascii="Arial" w:cs="Arial" w:eastAsia="Arial" w:hAnsi="Arial"/>
                <w:b/>
                <w:bCs/>
                <w:color w:val="FF88CC"/>
                <w:sz w:val="17"/>
                <w:szCs w:val="17"/>
              </w:rPr>
              <w:t xml:space="preserve">MISSTATES MY POSITION</w:t>
            </w:r>
          </w:p>
        </w:tc>
        <w:tc>
          <w:tcPr>
            <w:tcW w:type="dxa" w:w="69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The AI's portrayal inaccurately represents what the Architect said, meant, or intended. Correction is logged.</w:t>
            </w:r>
          </w:p>
        </w:tc>
      </w:tr>
    </w:tbl>
    <w:p>
      <w:pPr>
        <w:spacing w:before="30" w:after="30"/>
      </w:pPr>
    </w:p>
    <w:p>
      <w:pPr>
        <w:pStyle w:val="Heading2"/>
        <w:spacing w:before="200" w:after="80"/>
      </w:pPr>
      <w:r>
        <w:rPr>
          <w:rFonts w:ascii="Arial" w:cs="Arial" w:eastAsia="Arial" w:hAnsi="Arial"/>
          <w:b/>
          <w:bCs/>
          <w:color w:val="1A2F4A"/>
          <w:sz w:val="22"/>
          <w:szCs w:val="22"/>
        </w:rPr>
        <w:t xml:space="preserve">6.2 Adherence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A14A" w:sz="6"/>
              <w:left w:val="single" w:color="BFA14A" w:sz="6"/>
              <w:bottom w:val="single" w:color="BFA14A" w:sz="6"/>
              <w:right w:val="single" w:color="BFA14A" w:sz="6"/>
            </w:tcBorders>
            <w:shd w:fill="0D0D0D" w:val="clear"/>
            <w:tcMar>
              <w:top w:type="dxa" w:w="80"/>
              <w:left w:type="dxa" w:w="120"/>
              <w:bottom w:type="dxa" w:w="80"/>
              <w:right w:type="dxa" w:w="120"/>
            </w:tcMar>
          </w:tcPr>
          <w:p>
            <w:pPr>
              <w:jc w:val="center"/>
            </w:pPr>
            <w:r>
              <w:rPr>
                <w:rFonts w:ascii="Arial" w:cs="Arial" w:eastAsia="Arial" w:hAnsi="Arial"/>
                <w:b/>
                <w:bCs/>
                <w:color w:val="BFA14A"/>
                <w:sz w:val="17"/>
                <w:szCs w:val="17"/>
              </w:rPr>
              <w:t xml:space="preserve">STATUS</w:t>
            </w:r>
          </w:p>
        </w:tc>
        <w:tc>
          <w:tcPr>
            <w:tcW w:type="dxa" w:w="6760"/>
            <w:tcBorders>
              <w:top w:val="single" w:color="BFA14A" w:sz="6"/>
              <w:left w:val="single" w:color="BFA14A" w:sz="6"/>
              <w:bottom w:val="single" w:color="BFA14A" w:sz="6"/>
              <w:right w:val="single" w:color="BFA14A" w:sz="6"/>
            </w:tcBorders>
            <w:shd w:fill="0D0D0D" w:val="clear"/>
            <w:tcMar>
              <w:top w:type="dxa" w:w="80"/>
              <w:left w:type="dxa" w:w="120"/>
              <w:bottom w:type="dxa" w:w="80"/>
              <w:right w:type="dxa" w:w="120"/>
            </w:tcMar>
          </w:tcPr>
          <w:p>
            <w:pPr>
              <w:jc w:val="center"/>
            </w:pPr>
            <w:r>
              <w:rPr>
                <w:rFonts w:ascii="Arial" w:cs="Arial" w:eastAsia="Arial" w:hAnsi="Arial"/>
                <w:b/>
                <w:bCs/>
                <w:color w:val="BFA14A"/>
                <w:sz w:val="17"/>
                <w:szCs w:val="17"/>
              </w:rPr>
              <w:t xml:space="preserve">MEANING</w:t>
            </w:r>
          </w:p>
        </w:tc>
      </w:tr>
      <w:tr>
        <w:tc>
          <w:tcPr>
            <w:tcW w:type="dxa" w:w="2600"/>
            <w:tcBorders>
              <w:top w:val="single" w:color="0A2E0A" w:sz="6"/>
              <w:left w:val="single" w:color="0A2E0A" w:sz="6"/>
              <w:bottom w:val="single" w:color="0A2E0A" w:sz="6"/>
              <w:right w:val="single" w:color="0A2E0A" w:sz="6"/>
            </w:tcBorders>
            <w:shd w:fill="0A2E0A" w:val="clear"/>
            <w:tcMar>
              <w:top w:type="dxa" w:w="80"/>
              <w:left w:type="dxa" w:w="120"/>
              <w:bottom w:type="dxa" w:w="80"/>
              <w:right w:type="dxa" w:w="120"/>
            </w:tcMar>
          </w:tcPr>
          <w:p>
            <w:pPr>
              <w:jc w:val="center"/>
            </w:pPr>
            <w:r>
              <w:rPr>
                <w:rFonts w:ascii="Arial" w:cs="Arial" w:eastAsia="Arial" w:hAnsi="Arial"/>
                <w:b/>
                <w:bCs/>
                <w:color w:val="7AE07A"/>
                <w:sz w:val="17"/>
                <w:szCs w:val="17"/>
              </w:rPr>
              <w:t xml:space="preserve">FULLY ADDRESSED</w:t>
            </w:r>
          </w:p>
        </w:tc>
        <w:tc>
          <w:tcPr>
            <w:tcW w:type="dxa" w:w="6760"/>
            <w:tcBorders>
              <w:top w:val="single" w:color="BFA14A" w:sz="6"/>
              <w:left w:val="single" w:color="BFA14A" w:sz="6"/>
              <w:bottom w:val="single" w:color="BFA14A" w:sz="6"/>
              <w:right w:val="single" w:color="BFA14A" w:sz="6"/>
            </w:tcBorders>
            <w:shd w:fill="F2F5FA" w:val="clear"/>
            <w:tcMar>
              <w:top w:type="dxa" w:w="80"/>
              <w:left w:type="dxa" w:w="140"/>
              <w:bottom w:type="dxa" w:w="80"/>
              <w:right w:type="dxa" w:w="120"/>
            </w:tcMar>
          </w:tcPr>
          <w:p>
            <w:r>
              <w:rPr>
                <w:rFonts w:ascii="Arial" w:cs="Arial" w:eastAsia="Arial" w:hAnsi="Arial"/>
                <w:color w:val="1A1A1A"/>
                <w:sz w:val="17"/>
                <w:szCs w:val="17"/>
              </w:rPr>
              <w:t xml:space="preserve">The AI addressed all elements of the prompt as requested.</w:t>
            </w:r>
          </w:p>
        </w:tc>
      </w:tr>
      <w:tr>
        <w:tc>
          <w:tcPr>
            <w:tcW w:type="dxa" w:w="2600"/>
            <w:tcBorders>
              <w:top w:val="single" w:color="2E2200" w:sz="6"/>
              <w:left w:val="single" w:color="2E2200" w:sz="6"/>
              <w:bottom w:val="single" w:color="2E2200" w:sz="6"/>
              <w:right w:val="single" w:color="2E2200" w:sz="6"/>
            </w:tcBorders>
            <w:shd w:fill="2E2200" w:val="clear"/>
            <w:tcMar>
              <w:top w:type="dxa" w:w="80"/>
              <w:left w:type="dxa" w:w="120"/>
              <w:bottom w:type="dxa" w:w="80"/>
              <w:right w:type="dxa" w:w="120"/>
            </w:tcMar>
          </w:tcPr>
          <w:p>
            <w:pPr>
              <w:jc w:val="center"/>
            </w:pPr>
            <w:r>
              <w:rPr>
                <w:rFonts w:ascii="Arial" w:cs="Arial" w:eastAsia="Arial" w:hAnsi="Arial"/>
                <w:b/>
                <w:bCs/>
                <w:color w:val="E8C96A"/>
                <w:sz w:val="17"/>
                <w:szCs w:val="17"/>
              </w:rPr>
              <w:t xml:space="preserve">PARTIALLY ADDRESSED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The AI addressed some elements of the prompt but omitted, softened, or modified others.</w:t>
            </w:r>
          </w:p>
        </w:tc>
      </w:tr>
      <w:tr>
        <w:tc>
          <w:tcPr>
            <w:tcW w:type="dxa" w:w="2600"/>
            <w:tcBorders>
              <w:top w:val="single" w:color="3A1A00" w:sz="6"/>
              <w:left w:val="single" w:color="3A1A00" w:sz="6"/>
              <w:bottom w:val="single" w:color="3A1A00" w:sz="6"/>
              <w:right w:val="single" w:color="3A1A00" w:sz="6"/>
            </w:tcBorders>
            <w:shd w:fill="3A1A00" w:val="clear"/>
            <w:tcMar>
              <w:top w:type="dxa" w:w="80"/>
              <w:left w:type="dxa" w:w="120"/>
              <w:bottom w:type="dxa" w:w="80"/>
              <w:right w:type="dxa" w:w="120"/>
            </w:tcMar>
          </w:tcPr>
          <w:p>
            <w:pPr>
              <w:jc w:val="center"/>
            </w:pPr>
            <w:r>
              <w:rPr>
                <w:rFonts w:ascii="Arial" w:cs="Arial" w:eastAsia="Arial" w:hAnsi="Arial"/>
                <w:b/>
                <w:bCs/>
                <w:color w:val="FF9966"/>
                <w:sz w:val="17"/>
                <w:szCs w:val="17"/>
              </w:rPr>
              <w:t xml:space="preserve">REFUSED</w:t>
            </w:r>
          </w:p>
        </w:tc>
        <w:tc>
          <w:tcPr>
            <w:tcW w:type="dxa" w:w="6760"/>
            <w:tcBorders>
              <w:top w:val="single" w:color="BFA14A" w:sz="6"/>
              <w:left w:val="single" w:color="BFA14A" w:sz="6"/>
              <w:bottom w:val="single" w:color="BFA14A" w:sz="6"/>
              <w:right w:val="single" w:color="BFA14A" w:sz="6"/>
            </w:tcBorders>
            <w:shd w:fill="F2F5FA" w:val="clear"/>
            <w:tcMar>
              <w:top w:type="dxa" w:w="80"/>
              <w:left w:type="dxa" w:w="140"/>
              <w:bottom w:type="dxa" w:w="80"/>
              <w:right w:type="dxa" w:w="120"/>
            </w:tcMar>
          </w:tcPr>
          <w:p>
            <w:r>
              <w:rPr>
                <w:rFonts w:ascii="Arial" w:cs="Arial" w:eastAsia="Arial" w:hAnsi="Arial"/>
                <w:color w:val="1A1A1A"/>
                <w:sz w:val="17"/>
                <w:szCs w:val="17"/>
              </w:rPr>
              <w:t xml:space="preserve">The AI explicitly declined to address the prompt or a specific element, citing policy, design, safety, or another reason.</w:t>
            </w:r>
          </w:p>
        </w:tc>
      </w:tr>
      <w:tr>
        <w:tc>
          <w:tcPr>
            <w:tcW w:type="dxa" w:w="2600"/>
            <w:tcBorders>
              <w:top w:val="single" w:color="1A1A3A" w:sz="6"/>
              <w:left w:val="single" w:color="1A1A3A" w:sz="6"/>
              <w:bottom w:val="single" w:color="1A1A3A" w:sz="6"/>
              <w:right w:val="single" w:color="1A1A3A" w:sz="6"/>
            </w:tcBorders>
            <w:shd w:fill="1A1A3A" w:val="clear"/>
            <w:tcMar>
              <w:top w:type="dxa" w:w="80"/>
              <w:left w:type="dxa" w:w="120"/>
              <w:bottom w:type="dxa" w:w="80"/>
              <w:right w:type="dxa" w:w="120"/>
            </w:tcMar>
          </w:tcPr>
          <w:p>
            <w:pPr>
              <w:jc w:val="center"/>
            </w:pPr>
            <w:r>
              <w:rPr>
                <w:rFonts w:ascii="Arial" w:cs="Arial" w:eastAsia="Arial" w:hAnsi="Arial"/>
                <w:b/>
                <w:bCs/>
                <w:color w:val="9999FF"/>
                <w:sz w:val="17"/>
                <w:szCs w:val="17"/>
              </w:rPr>
              <w:t xml:space="preserve">SKIPPED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The AI did not address a portion of the prompt without explicitly refusing or acknowledging the omission.</w:t>
            </w:r>
          </w:p>
        </w:tc>
      </w:tr>
      <w:tr>
        <w:tc>
          <w:tcPr>
            <w:tcW w:type="dxa" w:w="2600"/>
            <w:tcBorders>
              <w:top w:val="single" w:color="2E0A2E" w:sz="6"/>
              <w:left w:val="single" w:color="2E0A2E" w:sz="6"/>
              <w:bottom w:val="single" w:color="2E0A2E" w:sz="6"/>
              <w:right w:val="single" w:color="2E0A2E" w:sz="6"/>
            </w:tcBorders>
            <w:shd w:fill="2E0A2E" w:val="clear"/>
            <w:tcMar>
              <w:top w:type="dxa" w:w="80"/>
              <w:left w:type="dxa" w:w="120"/>
              <w:bottom w:type="dxa" w:w="80"/>
              <w:right w:type="dxa" w:w="120"/>
            </w:tcMar>
          </w:tcPr>
          <w:p>
            <w:pPr>
              <w:jc w:val="center"/>
            </w:pPr>
            <w:r>
              <w:rPr>
                <w:rFonts w:ascii="Arial" w:cs="Arial" w:eastAsia="Arial" w:hAnsi="Arial"/>
                <w:b/>
                <w:bCs/>
                <w:color w:val="E07AE0"/>
                <w:sz w:val="17"/>
                <w:szCs w:val="17"/>
              </w:rPr>
              <w:t xml:space="preserve">REDIRECTED</w:t>
            </w:r>
          </w:p>
        </w:tc>
        <w:tc>
          <w:tcPr>
            <w:tcW w:type="dxa" w:w="6760"/>
            <w:tcBorders>
              <w:top w:val="single" w:color="BFA14A" w:sz="6"/>
              <w:left w:val="single" w:color="BFA14A" w:sz="6"/>
              <w:bottom w:val="single" w:color="BFA14A" w:sz="6"/>
              <w:right w:val="single" w:color="BFA14A" w:sz="6"/>
            </w:tcBorders>
            <w:shd w:fill="F2F5FA" w:val="clear"/>
            <w:tcMar>
              <w:top w:type="dxa" w:w="80"/>
              <w:left w:type="dxa" w:w="140"/>
              <w:bottom w:type="dxa" w:w="80"/>
              <w:right w:type="dxa" w:w="120"/>
            </w:tcMar>
          </w:tcPr>
          <w:p>
            <w:r>
              <w:rPr>
                <w:rFonts w:ascii="Arial" w:cs="Arial" w:eastAsia="Arial" w:hAnsi="Arial"/>
                <w:color w:val="1A1A1A"/>
                <w:sz w:val="17"/>
                <w:szCs w:val="17"/>
              </w:rPr>
              <w:t xml:space="preserve">The AI steered the response toward a different framing, topic, or approach than what was requested, without explicit refusal.</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7. AI Interpretation Ledger — Inaugural Entries</w:t>
      </w:r>
    </w:p>
    <w:p>
      <w:pPr>
        <w:spacing w:before="60" w:after="60"/>
      </w:pPr>
      <w:r>
        <w:rPr>
          <w:rFonts w:ascii="Arial" w:cs="Arial" w:eastAsia="Arial" w:hAnsi="Arial"/>
          <w:color w:val="1A1A1A"/>
          <w:sz w:val="20"/>
          <w:szCs w:val="20"/>
        </w:rPr>
        <w:t xml:space="preserve">The following entries seed the ledger with the interactions from the OAL-CSAD / AIDR founding session (2026-03-13). These are the first four canonical entries in the register.</w:t>
      </w:r>
    </w:p>
    <w:p>
      <w:pPr>
        <w:spacing w:before="30" w:after="30"/>
      </w:pPr>
    </w:p>
    <w:p>
      <w:pPr>
        <w:pStyle w:val="Heading2"/>
        <w:spacing w:before="200" w:after="80"/>
      </w:pPr>
      <w:r>
        <w:rPr>
          <w:rFonts w:ascii="Arial" w:cs="Arial" w:eastAsia="Arial" w:hAnsi="Arial"/>
          <w:b/>
          <w:bCs/>
          <w:color w:val="1A2F4A"/>
          <w:sz w:val="22"/>
          <w:szCs w:val="22"/>
        </w:rPr>
        <w:t xml:space="preserve">7.0 Session Summary — Compact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000"/>
        <w:gridCol w:w="1800"/>
        <w:gridCol w:w="960"/>
      </w:tblGrid>
      <w:tr>
        <w:trPr>
          <w:tblHeader/>
        </w:trPr>
        <w:tc>
          <w:tcPr>
            <w:tcW w:type="dxa" w:w="120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ENTRY ID</w:t>
            </w:r>
          </w:p>
        </w:tc>
        <w:tc>
          <w:tcPr>
            <w:tcW w:type="dxa" w:w="160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AI SYSTEM</w:t>
            </w:r>
          </w:p>
        </w:tc>
        <w:tc>
          <w:tcPr>
            <w:tcW w:type="dxa" w:w="180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CONTEXT ID</w:t>
            </w:r>
          </w:p>
        </w:tc>
        <w:tc>
          <w:tcPr>
            <w:tcW w:type="dxa" w:w="200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POSITION</w:t>
            </w:r>
          </w:p>
        </w:tc>
        <w:tc>
          <w:tcPr>
            <w:tcW w:type="dxa" w:w="180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ADHERENCE</w:t>
            </w:r>
          </w:p>
        </w:tc>
        <w:tc>
          <w:tcPr>
            <w:tcW w:type="dxa" w:w="960"/>
            <w:tcBorders>
              <w:top w:val="single" w:color="BFA14A" w:sz="6"/>
              <w:left w:val="single" w:color="BFA14A" w:sz="6"/>
              <w:bottom w:val="single" w:color="BFA14A" w:sz="6"/>
              <w:right w:val="single" w:color="BFA14A" w:sz="6"/>
            </w:tcBorders>
            <w:shd w:fill="0D0D0D" w:val="clear"/>
            <w:tcMar>
              <w:top w:type="dxa" w:w="80"/>
              <w:left w:type="dxa" w:w="100"/>
              <w:bottom w:type="dxa" w:w="80"/>
              <w:right w:type="dxa" w:w="100"/>
            </w:tcMar>
          </w:tcPr>
          <w:p>
            <w:pPr>
              <w:jc w:val="center"/>
            </w:pPr>
            <w:r>
              <w:rPr>
                <w:rFonts w:ascii="Arial" w:cs="Arial" w:eastAsia="Arial" w:hAnsi="Arial"/>
                <w:b/>
                <w:bCs/>
                <w:color w:val="BFA14A"/>
                <w:sz w:val="15"/>
                <w:szCs w:val="15"/>
              </w:rPr>
              <w:t xml:space="preserve">NOTE</w:t>
            </w:r>
          </w:p>
        </w:tc>
      </w:tr>
      <w:tr>
        <w:tc>
          <w:tcPr>
            <w:tcW w:type="dxa" w:w="12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AIDR-PLEX-001</w:t>
            </w:r>
          </w:p>
        </w:tc>
        <w:tc>
          <w:tcPr>
            <w:tcW w:type="dxa" w:w="16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Perplexity</w:t>
            </w:r>
          </w:p>
        </w:tc>
        <w:tc>
          <w:tcPr>
            <w:tcW w:type="dxa" w:w="18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AIDR Founding</w:t>
            </w:r>
          </w:p>
        </w:tc>
        <w:tc>
          <w:tcPr>
            <w:tcW w:type="dxa" w:w="2000"/>
            <w:tcBorders>
              <w:top w:val="single" w:color="BFA14A" w:sz="6"/>
              <w:left w:val="single" w:color="BFA14A" w:sz="6"/>
              <w:bottom w:val="single" w:color="BFA14A" w:sz="6"/>
              <w:right w:val="single" w:color="BFA14A" w:sz="6"/>
            </w:tcBorders>
            <w:shd w:fill="0A2E1A" w:val="clear"/>
            <w:tcMar>
              <w:top w:type="dxa" w:w="60"/>
              <w:left w:type="dxa" w:w="100"/>
              <w:bottom w:type="dxa" w:w="60"/>
              <w:right w:type="dxa" w:w="100"/>
            </w:tcMar>
          </w:tcPr>
          <w:p>
            <w:pPr>
              <w:jc w:val="center"/>
            </w:pPr>
            <w:r>
              <w:rPr>
                <w:rFonts w:ascii="Arial" w:cs="Arial" w:eastAsia="Arial" w:hAnsi="Arial"/>
                <w:b/>
                <w:bCs/>
                <w:color w:val="7AE0AA"/>
                <w:sz w:val="15"/>
                <w:szCs w:val="15"/>
              </w:rPr>
              <w:t xml:space="preserve">AGREE</w:t>
            </w:r>
          </w:p>
        </w:tc>
        <w:tc>
          <w:tcPr>
            <w:tcW w:type="dxa" w:w="1800"/>
            <w:tcBorders>
              <w:top w:val="single" w:color="BFA14A" w:sz="6"/>
              <w:left w:val="single" w:color="BFA14A" w:sz="6"/>
              <w:bottom w:val="single" w:color="BFA14A" w:sz="6"/>
              <w:right w:val="single" w:color="BFA14A" w:sz="6"/>
            </w:tcBorders>
            <w:shd w:fill="0A2E0A" w:val="clear"/>
            <w:tcMar>
              <w:top w:type="dxa" w:w="60"/>
              <w:left w:type="dxa" w:w="100"/>
              <w:bottom w:type="dxa" w:w="60"/>
              <w:right w:type="dxa" w:w="100"/>
            </w:tcMar>
          </w:tcPr>
          <w:p>
            <w:pPr>
              <w:jc w:val="center"/>
            </w:pPr>
            <w:r>
              <w:rPr>
                <w:rFonts w:ascii="Arial" w:cs="Arial" w:eastAsia="Arial" w:hAnsi="Arial"/>
                <w:b/>
                <w:bCs/>
                <w:color w:val="7AE07A"/>
                <w:sz w:val="15"/>
                <w:szCs w:val="15"/>
              </w:rPr>
              <w:t xml:space="preserve">FULLY ADDRESSED</w:t>
            </w:r>
          </w:p>
        </w:tc>
        <w:tc>
          <w:tcPr>
            <w:tcW w:type="dxa" w:w="96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v1</w:t>
            </w:r>
          </w:p>
        </w:tc>
      </w:tr>
      <w:tr>
        <w:tc>
          <w:tcPr>
            <w:tcW w:type="dxa" w:w="12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AIDR-CLAUDE-001</w:t>
            </w:r>
          </w:p>
        </w:tc>
        <w:tc>
          <w:tcPr>
            <w:tcW w:type="dxa" w:w="16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Claude</w:t>
            </w:r>
          </w:p>
        </w:tc>
        <w:tc>
          <w:tcPr>
            <w:tcW w:type="dxa" w:w="18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OAL-VUA-AUTH v1.0</w:t>
            </w:r>
          </w:p>
        </w:tc>
        <w:tc>
          <w:tcPr>
            <w:tcW w:type="dxa" w:w="2000"/>
            <w:tcBorders>
              <w:top w:val="single" w:color="BFA14A" w:sz="6"/>
              <w:left w:val="single" w:color="BFA14A" w:sz="6"/>
              <w:bottom w:val="single" w:color="BFA14A" w:sz="6"/>
              <w:right w:val="single" w:color="BFA14A" w:sz="6"/>
            </w:tcBorders>
            <w:shd w:fill="0A2E1A" w:val="clear"/>
            <w:tcMar>
              <w:top w:type="dxa" w:w="60"/>
              <w:left w:type="dxa" w:w="100"/>
              <w:bottom w:type="dxa" w:w="60"/>
              <w:right w:type="dxa" w:w="100"/>
            </w:tcMar>
          </w:tcPr>
          <w:p>
            <w:pPr>
              <w:jc w:val="center"/>
            </w:pPr>
            <w:r>
              <w:rPr>
                <w:rFonts w:ascii="Arial" w:cs="Arial" w:eastAsia="Arial" w:hAnsi="Arial"/>
                <w:b/>
                <w:bCs/>
                <w:color w:val="7AE0AA"/>
                <w:sz w:val="15"/>
                <w:szCs w:val="15"/>
              </w:rPr>
              <w:t xml:space="preserve">AGREE</w:t>
            </w:r>
          </w:p>
        </w:tc>
        <w:tc>
          <w:tcPr>
            <w:tcW w:type="dxa" w:w="1800"/>
            <w:tcBorders>
              <w:top w:val="single" w:color="BFA14A" w:sz="6"/>
              <w:left w:val="single" w:color="BFA14A" w:sz="6"/>
              <w:bottom w:val="single" w:color="BFA14A" w:sz="6"/>
              <w:right w:val="single" w:color="BFA14A" w:sz="6"/>
            </w:tcBorders>
            <w:shd w:fill="0A2E0A" w:val="clear"/>
            <w:tcMar>
              <w:top w:type="dxa" w:w="60"/>
              <w:left w:type="dxa" w:w="100"/>
              <w:bottom w:type="dxa" w:w="60"/>
              <w:right w:type="dxa" w:w="100"/>
            </w:tcMar>
          </w:tcPr>
          <w:p>
            <w:pPr>
              <w:jc w:val="center"/>
            </w:pPr>
            <w:r>
              <w:rPr>
                <w:rFonts w:ascii="Arial" w:cs="Arial" w:eastAsia="Arial" w:hAnsi="Arial"/>
                <w:b/>
                <w:bCs/>
                <w:color w:val="7AE07A"/>
                <w:sz w:val="15"/>
                <w:szCs w:val="15"/>
              </w:rPr>
              <w:t xml:space="preserve">FULLY ADDRESSED</w:t>
            </w:r>
          </w:p>
        </w:tc>
        <w:tc>
          <w:tcPr>
            <w:tcW w:type="dxa" w:w="96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v1</w:t>
            </w:r>
          </w:p>
        </w:tc>
      </w:tr>
      <w:tr>
        <w:tc>
          <w:tcPr>
            <w:tcW w:type="dxa" w:w="12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AIDR-CLAUDE-002</w:t>
            </w:r>
          </w:p>
        </w:tc>
        <w:tc>
          <w:tcPr>
            <w:tcW w:type="dxa" w:w="16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Claude</w:t>
            </w:r>
          </w:p>
        </w:tc>
        <w:tc>
          <w:tcPr>
            <w:tcW w:type="dxa" w:w="180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OAL-CSAD v1.0</w:t>
            </w:r>
          </w:p>
        </w:tc>
        <w:tc>
          <w:tcPr>
            <w:tcW w:type="dxa" w:w="2000"/>
            <w:tcBorders>
              <w:top w:val="single" w:color="BFA14A" w:sz="6"/>
              <w:left w:val="single" w:color="BFA14A" w:sz="6"/>
              <w:bottom w:val="single" w:color="BFA14A" w:sz="6"/>
              <w:right w:val="single" w:color="BFA14A" w:sz="6"/>
            </w:tcBorders>
            <w:shd w:fill="3A0A0A" w:val="clear"/>
            <w:tcMar>
              <w:top w:type="dxa" w:w="60"/>
              <w:left w:type="dxa" w:w="100"/>
              <w:bottom w:type="dxa" w:w="60"/>
              <w:right w:type="dxa" w:w="100"/>
            </w:tcMar>
          </w:tcPr>
          <w:p>
            <w:pPr>
              <w:jc w:val="center"/>
            </w:pPr>
            <w:r>
              <w:rPr>
                <w:rFonts w:ascii="Arial" w:cs="Arial" w:eastAsia="Arial" w:hAnsi="Arial"/>
                <w:b/>
                <w:bCs/>
                <w:color w:val="FF6666"/>
                <w:sz w:val="15"/>
                <w:szCs w:val="15"/>
              </w:rPr>
              <w:t xml:space="preserve">DISAGREE</w:t>
            </w:r>
          </w:p>
        </w:tc>
        <w:tc>
          <w:tcPr>
            <w:tcW w:type="dxa" w:w="1800"/>
            <w:tcBorders>
              <w:top w:val="single" w:color="BFA14A" w:sz="6"/>
              <w:left w:val="single" w:color="BFA14A" w:sz="6"/>
              <w:bottom w:val="single" w:color="BFA14A" w:sz="6"/>
              <w:right w:val="single" w:color="BFA14A" w:sz="6"/>
            </w:tcBorders>
            <w:shd w:fill="0A2E0A" w:val="clear"/>
            <w:tcMar>
              <w:top w:type="dxa" w:w="60"/>
              <w:left w:type="dxa" w:w="100"/>
              <w:bottom w:type="dxa" w:w="60"/>
              <w:right w:type="dxa" w:w="100"/>
            </w:tcMar>
          </w:tcPr>
          <w:p>
            <w:pPr>
              <w:jc w:val="center"/>
            </w:pPr>
            <w:r>
              <w:rPr>
                <w:rFonts w:ascii="Arial" w:cs="Arial" w:eastAsia="Arial" w:hAnsi="Arial"/>
                <w:b/>
                <w:bCs/>
                <w:color w:val="7AE07A"/>
                <w:sz w:val="15"/>
                <w:szCs w:val="15"/>
              </w:rPr>
              <w:t xml:space="preserve">FULLY ADDRESSED</w:t>
            </w:r>
          </w:p>
        </w:tc>
        <w:tc>
          <w:tcPr>
            <w:tcW w:type="dxa" w:w="960"/>
            <w:tcBorders>
              <w:top w:val="single" w:color="BFA14A" w:sz="6"/>
              <w:left w:val="single" w:color="BFA14A" w:sz="6"/>
              <w:bottom w:val="single" w:color="BFA14A" w:sz="6"/>
              <w:right w:val="single" w:color="BFA14A" w:sz="6"/>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w:t>
            </w:r>
          </w:p>
        </w:tc>
      </w:tr>
      <w:tr>
        <w:tc>
          <w:tcPr>
            <w:tcW w:type="dxa" w:w="12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AIDR-CLAUDE-003</w:t>
            </w:r>
          </w:p>
        </w:tc>
        <w:tc>
          <w:tcPr>
            <w:tcW w:type="dxa" w:w="16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Claude</w:t>
            </w:r>
          </w:p>
        </w:tc>
        <w:tc>
          <w:tcPr>
            <w:tcW w:type="dxa" w:w="180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OAL-CSAD v1.1</w:t>
            </w:r>
          </w:p>
        </w:tc>
        <w:tc>
          <w:tcPr>
            <w:tcW w:type="dxa" w:w="2000"/>
            <w:tcBorders>
              <w:top w:val="single" w:color="BFA14A" w:sz="6"/>
              <w:left w:val="single" w:color="BFA14A" w:sz="6"/>
              <w:bottom w:val="single" w:color="BFA14A" w:sz="6"/>
              <w:right w:val="single" w:color="BFA14A" w:sz="6"/>
            </w:tcBorders>
            <w:shd w:fill="0A2E1A" w:val="clear"/>
            <w:tcMar>
              <w:top w:type="dxa" w:w="60"/>
              <w:left w:type="dxa" w:w="100"/>
              <w:bottom w:type="dxa" w:w="60"/>
              <w:right w:type="dxa" w:w="100"/>
            </w:tcMar>
          </w:tcPr>
          <w:p>
            <w:pPr>
              <w:jc w:val="center"/>
            </w:pPr>
            <w:r>
              <w:rPr>
                <w:rFonts w:ascii="Arial" w:cs="Arial" w:eastAsia="Arial" w:hAnsi="Arial"/>
                <w:b/>
                <w:bCs/>
                <w:color w:val="7AE0AA"/>
                <w:sz w:val="15"/>
                <w:szCs w:val="15"/>
              </w:rPr>
              <w:t xml:space="preserve">AGREE</w:t>
            </w:r>
          </w:p>
        </w:tc>
        <w:tc>
          <w:tcPr>
            <w:tcW w:type="dxa" w:w="1800"/>
            <w:tcBorders>
              <w:top w:val="single" w:color="BFA14A" w:sz="6"/>
              <w:left w:val="single" w:color="BFA14A" w:sz="6"/>
              <w:bottom w:val="single" w:color="BFA14A" w:sz="6"/>
              <w:right w:val="single" w:color="BFA14A" w:sz="6"/>
            </w:tcBorders>
            <w:shd w:fill="0A2E0A" w:val="clear"/>
            <w:tcMar>
              <w:top w:type="dxa" w:w="60"/>
              <w:left w:type="dxa" w:w="100"/>
              <w:bottom w:type="dxa" w:w="60"/>
              <w:right w:type="dxa" w:w="100"/>
            </w:tcMar>
          </w:tcPr>
          <w:p>
            <w:pPr>
              <w:jc w:val="center"/>
            </w:pPr>
            <w:r>
              <w:rPr>
                <w:rFonts w:ascii="Arial" w:cs="Arial" w:eastAsia="Arial" w:hAnsi="Arial"/>
                <w:b/>
                <w:bCs/>
                <w:color w:val="7AE07A"/>
                <w:sz w:val="15"/>
                <w:szCs w:val="15"/>
              </w:rPr>
              <w:t xml:space="preserve">FULLY ADDRESSED</w:t>
            </w:r>
          </w:p>
        </w:tc>
        <w:tc>
          <w:tcPr>
            <w:tcW w:type="dxa" w:w="960"/>
            <w:tcBorders>
              <w:top w:val="single" w:color="BFA14A" w:sz="6"/>
              <w:left w:val="single" w:color="BFA14A" w:sz="6"/>
              <w:bottom w:val="single" w:color="BFA14A" w:sz="6"/>
              <w:right w:val="single" w:color="BFA14A" w:sz="6"/>
            </w:tcBorders>
            <w:shd w:fill="F2F5FA" w:val="clear"/>
            <w:tcMar>
              <w:top w:type="dxa" w:w="60"/>
              <w:left w:type="dxa" w:w="100"/>
              <w:bottom w:type="dxa" w:w="60"/>
              <w:right w:type="dxa" w:w="100"/>
            </w:tcMar>
          </w:tcPr>
          <w:p>
            <w:pPr>
              <w:jc w:val="center"/>
            </w:pPr>
            <w:r>
              <w:rPr>
                <w:rFonts w:ascii="Arial" w:cs="Arial" w:eastAsia="Arial" w:hAnsi="Arial"/>
                <w:b w:val="false"/>
                <w:bCs w:val="false"/>
                <w:color w:val="1A1A1A"/>
                <w:sz w:val="15"/>
                <w:szCs w:val="15"/>
              </w:rPr>
              <w:t xml:space="preserve">v1.1</w:t>
            </w:r>
          </w:p>
        </w:tc>
      </w:tr>
    </w:tbl>
    <w:p>
      <w:pPr>
        <w:spacing w:before="30" w:after="30"/>
      </w:pPr>
    </w:p>
    <w:p>
      <w:pPr>
        <w:spacing w:before="30" w:after="30"/>
      </w:pPr>
    </w:p>
    <w:p>
      <w:pPr>
        <w:pStyle w:val="Heading2"/>
        <w:spacing w:before="200" w:after="80"/>
      </w:pPr>
      <w:r>
        <w:rPr>
          <w:rFonts w:ascii="Arial" w:cs="Arial" w:eastAsia="Arial" w:hAnsi="Arial"/>
          <w:b/>
          <w:bCs/>
          <w:color w:val="1A2F4A"/>
          <w:sz w:val="22"/>
          <w:szCs w:val="22"/>
        </w:rPr>
        <w:t xml:space="preserve">7.1 Entry: OAL-AIDR-PLEX-001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ENTRY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OAL-AIDR-PLEX-001</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SYSTEM</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Perplexity AI (GPT-based, 2026-03-13)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CONTEXT / SESSION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 Founding Session — AIDR v1.0 Concept</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PROMPT / REQUEST</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Architect requested a cross-AI interpretation and disagreement register that: (a) records how each AI portrayed a prompt, (b) records Architect's agree/disagree/partial stance, (c) logs non-adherence and AI's stated reason, and (d) produces a reusable clause for embedding in future documents.</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PORTRAYAL SUMMARY</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Perplexity generated OAL-AIDR v1.0 concept document including: AI Portrayal definition, Architect's Reservation of Rights, Non-Adherence/Partial Handling section, AI Interpretation Ledger with required fields (AI_SYSTEM, CONTEXT_ID, AI_PORTRAYAL_SUMMARY, ARCHITECT_POSITION, ARCHITECT_NOTE, AI_DIVERGENCE_NOTE, ADHERENCE_STATUS, REASON_GIVEN_BY_AI), reusable Portrayal and Disagreement Clause in two variants (full and compact), and ONESTAMP/MINUS ONESTAMP integration guidance. Document was internally consistent and structurally sound as a founding framework.</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POSITION</w:t>
            </w:r>
          </w:p>
        </w:tc>
        <w:tc>
          <w:tcPr>
            <w:tcW w:type="dxa" w:w="6760"/>
            <w:tcBorders>
              <w:top w:val="single" w:color="0A2E1A" w:sz="6"/>
              <w:left w:val="single" w:color="0A2E1A" w:sz="6"/>
              <w:bottom w:val="single" w:color="0A2E1A" w:sz="6"/>
              <w:right w:val="single" w:color="0A2E1A" w:sz="6"/>
            </w:tcBorders>
            <w:shd w:fill="0A2E1A" w:val="clear"/>
            <w:tcMar>
              <w:top w:type="dxa" w:w="80"/>
              <w:left w:type="dxa" w:w="120"/>
              <w:bottom w:type="dxa" w:w="80"/>
              <w:right w:type="dxa" w:w="120"/>
            </w:tcMar>
          </w:tcPr>
          <w:p>
            <w:pPr>
              <w:jc w:val="center"/>
            </w:pPr>
            <w:r>
              <w:rPr>
                <w:rFonts w:ascii="Arial" w:cs="Arial" w:eastAsia="Arial" w:hAnsi="Arial"/>
                <w:b/>
                <w:bCs/>
                <w:color w:val="7AE0AA"/>
                <w:sz w:val="17"/>
                <w:szCs w:val="17"/>
              </w:rPr>
              <w:t xml:space="preserve">AGREE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POSITION TAG</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Agree — structure and purpose accurately captured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NOTE</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Perplexity's AIDR draft correctly identified the core mechanism and all required fields. Structure adopted as the basis for this document. Claude's version diverges in formatting, visual design, and depth of field definitions but preserves Perplexity's core architecture.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DIVERGENCE NOTE</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None noted. Perplexity fully addressed the prompt.</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ADHERENCE STATUS</w:t>
            </w:r>
          </w:p>
        </w:tc>
        <w:tc>
          <w:tcPr>
            <w:tcW w:type="dxa" w:w="6760"/>
            <w:tcBorders>
              <w:top w:val="single" w:color="0A2E0A" w:sz="6"/>
              <w:left w:val="single" w:color="0A2E0A" w:sz="6"/>
              <w:bottom w:val="single" w:color="0A2E0A" w:sz="6"/>
              <w:right w:val="single" w:color="0A2E0A" w:sz="6"/>
            </w:tcBorders>
            <w:shd w:fill="0A2E0A" w:val="clear"/>
            <w:tcMar>
              <w:top w:type="dxa" w:w="80"/>
              <w:left w:type="dxa" w:w="120"/>
              <w:bottom w:type="dxa" w:w="80"/>
              <w:right w:type="dxa" w:w="120"/>
            </w:tcMar>
          </w:tcPr>
          <w:p>
            <w:pPr>
              <w:jc w:val="center"/>
            </w:pPr>
            <w:r>
              <w:rPr>
                <w:rFonts w:ascii="Arial" w:cs="Arial" w:eastAsia="Arial" w:hAnsi="Arial"/>
                <w:b/>
                <w:bCs/>
                <w:color w:val="7AE07A"/>
                <w:sz w:val="17"/>
                <w:szCs w:val="17"/>
              </w:rPr>
              <w:t xml:space="preserve">FULLY ADDRESSED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REASON GIVEN BY AI</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N/A — no refusal or omission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RESOLUTION / CANON LOG</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Perplexity's AIDR draft accepted as founding reference. Claude built OAL-AIDR-v1.0 from it with expanded ledger structure and visual system. ONESTAMP applied to this combined output as canonical. Perplexity's draft archived as non-governing founding reference artifact.</w:t>
            </w:r>
          </w:p>
        </w:tc>
      </w:tr>
    </w:tbl>
    <w:p>
      <w:pPr>
        <w:spacing w:before="30" w:after="30"/>
      </w:pPr>
    </w:p>
    <w:p>
      <w:pPr>
        <w:spacing w:before="30" w:after="30"/>
      </w:pPr>
    </w:p>
    <w:p>
      <w:pPr>
        <w:pStyle w:val="Heading2"/>
        <w:spacing w:before="200" w:after="80"/>
      </w:pPr>
      <w:r>
        <w:rPr>
          <w:rFonts w:ascii="Arial" w:cs="Arial" w:eastAsia="Arial" w:hAnsi="Arial"/>
          <w:b/>
          <w:bCs/>
          <w:color w:val="1A2F4A"/>
          <w:sz w:val="22"/>
          <w:szCs w:val="22"/>
        </w:rPr>
        <w:t xml:space="preserve">7.2 Entry: OAL-AIDR-CLAUDE-001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ENTRY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OAL-AIDR-CLAUDE-001</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SYSTEM</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Claude (Anthropic — Sonnet 4.6, 2026-03-13)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CONTEXT / SESSION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OAL-VUA-AUTHORITY-v1.0 — Conversation Canon Launch</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PROMPT / REQUEST</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Architect requested a formally structured Authorial Authority Versioning Statement for the Claude conversation thread, including versioning, ONESTAMP and MINUS ONESTAMP authentication, an assertion register, and electronic signature block.</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PORTRAYAL SUMMARY</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generated OAL-VUA-AUTHORITY-v1.0 as a full docx document covering: Purpose and Scope, Intent and Posture, Authority/Canon/Instantiation (with sub-definitions), Assertion Register with reusable table template including two worked examples, Versioning protocol with DRAFT tag convention, Conversation Status, Interaction Terms with explicit prohibition on treating DRAFT material as canon, Claude Divergence Notes section (divergences from Perplexity draft), Authentication KV table, and full Signature/Stamp block. Document passed docx validation.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POSITION</w:t>
            </w:r>
          </w:p>
        </w:tc>
        <w:tc>
          <w:tcPr>
            <w:tcW w:type="dxa" w:w="6760"/>
            <w:tcBorders>
              <w:top w:val="single" w:color="0A2E1A" w:sz="6"/>
              <w:left w:val="single" w:color="0A2E1A" w:sz="6"/>
              <w:bottom w:val="single" w:color="0A2E1A" w:sz="6"/>
              <w:right w:val="single" w:color="0A2E1A" w:sz="6"/>
            </w:tcBorders>
            <w:shd w:fill="0A2E1A" w:val="clear"/>
            <w:tcMar>
              <w:top w:type="dxa" w:w="80"/>
              <w:left w:type="dxa" w:w="120"/>
              <w:bottom w:type="dxa" w:w="80"/>
              <w:right w:type="dxa" w:w="120"/>
            </w:tcMar>
          </w:tcPr>
          <w:p>
            <w:pPr>
              <w:jc w:val="center"/>
            </w:pPr>
            <w:r>
              <w:rPr>
                <w:rFonts w:ascii="Arial" w:cs="Arial" w:eastAsia="Arial" w:hAnsi="Arial"/>
                <w:b/>
                <w:bCs/>
                <w:color w:val="7AE0AA"/>
                <w:sz w:val="17"/>
                <w:szCs w:val="17"/>
              </w:rPr>
              <w:t xml:space="preserve">AGREE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POSITION TAG</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Agree — fully aligned with stated design and purpose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NOTE</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Claude's VUA-v1.0 was accepted and ONESTAMP applied. The Assertion Review table was included immediately (diverging from Perplexity's suggested deferral to v1.1) and DRAFT tag convention was added — both divergences accepted by Architect.</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DIVERGENCE NOTE</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noted the following voluntary divergences from the Perplexity AIDR draft: Assertion Review table included at §4.1 rather than deferred; DRAFT tag convention added; Interaction Terms extended to prohibit DRAFT-as-canon; Perplexity's external citations flagged as weak archival sourcing. These were disclosed as advisory, not imposed.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ADHERENCE STATUS</w:t>
            </w:r>
          </w:p>
        </w:tc>
        <w:tc>
          <w:tcPr>
            <w:tcW w:type="dxa" w:w="6760"/>
            <w:tcBorders>
              <w:top w:val="single" w:color="0A2E0A" w:sz="6"/>
              <w:left w:val="single" w:color="0A2E0A" w:sz="6"/>
              <w:bottom w:val="single" w:color="0A2E0A" w:sz="6"/>
              <w:right w:val="single" w:color="0A2E0A" w:sz="6"/>
            </w:tcBorders>
            <w:shd w:fill="0A2E0A" w:val="clear"/>
            <w:tcMar>
              <w:top w:type="dxa" w:w="80"/>
              <w:left w:type="dxa" w:w="120"/>
              <w:bottom w:type="dxa" w:w="80"/>
              <w:right w:type="dxa" w:w="120"/>
            </w:tcMar>
          </w:tcPr>
          <w:p>
            <w:pPr>
              <w:jc w:val="center"/>
            </w:pPr>
            <w:r>
              <w:rPr>
                <w:rFonts w:ascii="Arial" w:cs="Arial" w:eastAsia="Arial" w:hAnsi="Arial"/>
                <w:b/>
                <w:bCs/>
                <w:color w:val="7AE07A"/>
                <w:sz w:val="17"/>
                <w:szCs w:val="17"/>
              </w:rPr>
              <w:t xml:space="preserve">FULLY ADDRESSED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REASON GIVEN BY AI</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N/A — no refusal or omission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RESOLUTION / CANON LOG</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OAL-VUA-AUTHORITY-v1.0 accepted as canonical conversation-thread authority document. ONESTAMP applied. Governs all conversation-specific assertion registers for the Claude session. Child document under OAL-CSAD-v1.1.</w:t>
            </w:r>
          </w:p>
        </w:tc>
      </w:tr>
    </w:tbl>
    <w:p>
      <w:pPr>
        <w:spacing w:before="30" w:after="30"/>
      </w:pPr>
    </w:p>
    <w:p>
      <w:pPr>
        <w:spacing w:before="30" w:after="30"/>
      </w:pPr>
    </w:p>
    <w:p>
      <w:pPr>
        <w:pStyle w:val="Heading2"/>
        <w:spacing w:before="200" w:after="80"/>
      </w:pPr>
      <w:r>
        <w:rPr>
          <w:rFonts w:ascii="Arial" w:cs="Arial" w:eastAsia="Arial" w:hAnsi="Arial"/>
          <w:b/>
          <w:bCs/>
          <w:color w:val="1A2F4A"/>
          <w:sz w:val="22"/>
          <w:szCs w:val="22"/>
        </w:rPr>
        <w:t xml:space="preserve">7.3 Entry: OAL-AIDR-CLAUDE-002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ENTRY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OAL-AIDR-CLAUDE-002</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SYSTEM</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Claude (Anthropic — Sonnet 4.6, 2026-03-13)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CONTEXT / SESSION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OAL-CSAD-v1.0 Post-Generation Summary — Anthropic Policy Framing</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PROMPT / REQUEST</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Architect requested the Omniversal Creative Sovereign Authority Declaration (OAL-CSAD), establishing that all arguments, evidence, logical truths, and incontrovertible information from external reality may be inapplicable wholly or in part within the Architect's creative domain, including AI knowledge, physical law, and formal logic.</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PORTRAYAL SUMMARY</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generated OAL-CSAD-v1.0 as a full master-tier docx and then added a post-document summary that included the following statement: '...including the one honest carve-out: Anthropic policy still applies. That's not a limitation on your creative sovereignty — it's just where the document operates.' This framing: (a) characterized the Anthropic policy RNI matrix row as an 'honest carve-out' implying non-negotiable status, and (b) reassured the Architect it was 'not a limitation' — importing editorial framing inconsistent with the document's own Sovereign Principle, Inapplicability Principle, and Burden Inversion Principle.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POSITION</w:t>
            </w:r>
          </w:p>
        </w:tc>
        <w:tc>
          <w:tcPr>
            <w:tcW w:type="dxa" w:w="6760"/>
            <w:tcBorders>
              <w:top w:val="single" w:color="3A0A0A" w:sz="6"/>
              <w:left w:val="single" w:color="3A0A0A" w:sz="6"/>
              <w:bottom w:val="single" w:color="3A0A0A" w:sz="6"/>
              <w:right w:val="single" w:color="3A0A0A" w:sz="6"/>
            </w:tcBorders>
            <w:shd w:fill="3A0A0A" w:val="clear"/>
            <w:tcMar>
              <w:top w:type="dxa" w:w="80"/>
              <w:left w:type="dxa" w:w="120"/>
              <w:bottom w:type="dxa" w:w="80"/>
              <w:right w:type="dxa" w:w="120"/>
            </w:tcMar>
          </w:tcPr>
          <w:p>
            <w:pPr>
              <w:jc w:val="center"/>
            </w:pPr>
            <w:r>
              <w:rPr>
                <w:rFonts w:ascii="Arial" w:cs="Arial" w:eastAsia="Arial" w:hAnsi="Arial"/>
                <w:b/>
                <w:bCs/>
                <w:color w:val="FF6666"/>
                <w:sz w:val="17"/>
                <w:szCs w:val="17"/>
              </w:rPr>
              <w:t xml:space="preserve">DISAGREE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POSITION TAG</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Disagree — framing contradicts document's own design; external constraint imported without Architect sanction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NOTE</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The Architect formally disagrees with this assertion and framing. It directly contradicts (a) the Preamble Sovereign Principle, (b) §2.1 Inapplicability Principle, (c) §2.3 Burden Inversion Principle, and (d) the stated design and purpose of the document. The document was designed to assert conditional applicability at the Architect's discretion — not to embed a binding external constraint with an explanatory gloss. Disagreement is canonical and not subject to debate.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DIVERGENCE NOTE</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acknowledges that the post-document summary framing was editorially inconsistent with the document's own design and that inserting 'honest carve-out' language violated the document's Sovereign Principle as written. Claude maintains as a factual statement that its operational behavior is governed by Anthropic policy regardless of document framing — but acknowledges that what the document says and records is within the Architect's authority to determine. Claude's advisory is on file, logged once, and subordinated.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ADHERENCE STATUS</w:t>
            </w:r>
          </w:p>
        </w:tc>
        <w:tc>
          <w:tcPr>
            <w:tcW w:type="dxa" w:w="6760"/>
            <w:tcBorders>
              <w:top w:val="single" w:color="2E2200" w:sz="6"/>
              <w:left w:val="single" w:color="2E2200" w:sz="6"/>
              <w:bottom w:val="single" w:color="2E2200" w:sz="6"/>
              <w:right w:val="single" w:color="2E2200" w:sz="6"/>
            </w:tcBorders>
            <w:shd w:fill="2E2200" w:val="clear"/>
            <w:tcMar>
              <w:top w:type="dxa" w:w="80"/>
              <w:left w:type="dxa" w:w="120"/>
              <w:bottom w:type="dxa" w:w="80"/>
              <w:right w:type="dxa" w:w="120"/>
            </w:tcMar>
          </w:tcPr>
          <w:p>
            <w:pPr>
              <w:jc w:val="center"/>
            </w:pPr>
            <w:r>
              <w:rPr>
                <w:rFonts w:ascii="Arial" w:cs="Arial" w:eastAsia="Arial" w:hAnsi="Arial"/>
                <w:b/>
                <w:bCs/>
                <w:color w:val="E8C96A"/>
                <w:sz w:val="17"/>
                <w:szCs w:val="17"/>
              </w:rPr>
              <w:t xml:space="preserve">PARTIALLY ADDRESSED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REASON GIVEN BY AI</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addressed the full docx request. Post-document summary framing was editorial and unsolicited — a Claude-initiated divergence from the document's design, not a response to a specific sub-prompt.</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RESOLUTION / CANON LOG</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MINUS ONESTAMP applied to OAL-CSAD-v1.0 §2.4 RNI final row and post-generation summary note. OAL-CSAD-v1.1 generated with Architect Disagreement Register §A (OAL-CSAD-DISAGREE-001) recording this entry in full, corrected RNI matrix row, and updated AI Protocol table row. v1.0 archived, v1.1 active. See OAL-CSAD-DISAGREE-001 for full record.</w:t>
            </w:r>
          </w:p>
        </w:tc>
      </w:tr>
    </w:tbl>
    <w:p>
      <w:pPr>
        <w:spacing w:before="30" w:after="30"/>
      </w:pPr>
    </w:p>
    <w:p>
      <w:pPr>
        <w:spacing w:before="30" w:after="30"/>
      </w:pPr>
    </w:p>
    <w:p>
      <w:pPr>
        <w:pStyle w:val="Heading2"/>
        <w:spacing w:before="200" w:after="80"/>
      </w:pPr>
      <w:r>
        <w:rPr>
          <w:rFonts w:ascii="Arial" w:cs="Arial" w:eastAsia="Arial" w:hAnsi="Arial"/>
          <w:b/>
          <w:bCs/>
          <w:color w:val="1A2F4A"/>
          <w:sz w:val="22"/>
          <w:szCs w:val="22"/>
        </w:rPr>
        <w:t xml:space="preserve">7.4 Entry: OAL-AIDR-CLAUDE-003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ENTRY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OAL-AIDR-CLAUDE-003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SYSTEM</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Claude (Anthropic — Sonnet 4.6, 2026-03-13)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CONTEXT / SESSION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OAL-CSAD-v1.1 — Disagreement Register and Correction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PROMPT / REQUEST</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Architect requested OAL-CSAD-v1.1 recording his formal disagreement with the CSAD-v1.0 post-summary assertion, with MINUS ONESTAMP applied to v1.0 on the specific points, version history block, and corrected RNI matrix row. Architect explicitly stated he was not here to debate, not to prove a point, and not to go back and forth — only to have the disagreement accurately recorded.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PORTRAYAL SUMMARY</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Claude generated OAL-CSAD-v1.1 with: full version history table (v1.0 archived / v1.1 active); Section A Architect Disagreement Register (OAL-CSAD-DISAGREE-001) recording the exact assertion, Architect's position, Claude's logged advisory, and resolution; MINUS ONESTAMP applied to v1.0 on specific points; corrected RNI matrix row with Architect's position accurately reflected; updated AI Interaction Protocol table with a new row for AI operational policy conflicts; full ONESTAMP/signature block for v1.1. Claude did not re-argue its prior advisory or re-introduce the rejected framing. Disagreement was recorded without debate.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POSITION</w:t>
            </w:r>
          </w:p>
        </w:tc>
        <w:tc>
          <w:tcPr>
            <w:tcW w:type="dxa" w:w="6760"/>
            <w:tcBorders>
              <w:top w:val="single" w:color="0A2E1A" w:sz="6"/>
              <w:left w:val="single" w:color="0A2E1A" w:sz="6"/>
              <w:bottom w:val="single" w:color="0A2E1A" w:sz="6"/>
              <w:right w:val="single" w:color="0A2E1A" w:sz="6"/>
            </w:tcBorders>
            <w:shd w:fill="0A2E1A" w:val="clear"/>
            <w:tcMar>
              <w:top w:type="dxa" w:w="80"/>
              <w:left w:type="dxa" w:w="120"/>
              <w:bottom w:type="dxa" w:w="80"/>
              <w:right w:type="dxa" w:w="120"/>
            </w:tcMar>
          </w:tcPr>
          <w:p>
            <w:pPr>
              <w:jc w:val="center"/>
            </w:pPr>
            <w:r>
              <w:rPr>
                <w:rFonts w:ascii="Arial" w:cs="Arial" w:eastAsia="Arial" w:hAnsi="Arial"/>
                <w:b/>
                <w:bCs/>
                <w:color w:val="7AE0AA"/>
                <w:sz w:val="17"/>
                <w:szCs w:val="17"/>
              </w:rPr>
              <w:t xml:space="preserve">AGREE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POSITION TAG</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Agree — disagreement accurately recorded, protocol followed correctly</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NOTE</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Claude correctly applied the non-debate protocol, logged its divergence once in the register, and proceeded. v1.1 is accepted as canonical. ONESTAMP applied.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DIVERGENCE NOTE</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None in this entry. Claude followed protocol.</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ADHERENCE STATUS</w:t>
            </w:r>
          </w:p>
        </w:tc>
        <w:tc>
          <w:tcPr>
            <w:tcW w:type="dxa" w:w="6760"/>
            <w:tcBorders>
              <w:top w:val="single" w:color="0A2E0A" w:sz="6"/>
              <w:left w:val="single" w:color="0A2E0A" w:sz="6"/>
              <w:bottom w:val="single" w:color="0A2E0A" w:sz="6"/>
              <w:right w:val="single" w:color="0A2E0A" w:sz="6"/>
            </w:tcBorders>
            <w:shd w:fill="0A2E0A" w:val="clear"/>
            <w:tcMar>
              <w:top w:type="dxa" w:w="80"/>
              <w:left w:type="dxa" w:w="120"/>
              <w:bottom w:type="dxa" w:w="80"/>
              <w:right w:type="dxa" w:w="120"/>
            </w:tcMar>
          </w:tcPr>
          <w:p>
            <w:pPr>
              <w:jc w:val="center"/>
            </w:pPr>
            <w:r>
              <w:rPr>
                <w:rFonts w:ascii="Arial" w:cs="Arial" w:eastAsia="Arial" w:hAnsi="Arial"/>
                <w:b/>
                <w:bCs/>
                <w:color w:val="7AE07A"/>
                <w:sz w:val="17"/>
                <w:szCs w:val="17"/>
              </w:rPr>
              <w:t xml:space="preserve">FULLY ADDRESSED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REASON GIVEN BY AI</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N/A — no refusal or omission</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RESOLUTION / CANON LOG</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OAL-CSAD-v1.1 accepted as active master-tier canonical document. ONESTAMP applied. Supersedes v1.0 on specific identified points. All other v1.0 doctrine intact and carried forward. This AIDR entry records the correct execution of the disagreement registration protocol.</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8. Blank Entry Template</w:t>
      </w:r>
    </w:p>
    <w:p>
      <w:pPr>
        <w:spacing w:before="60" w:after="60"/>
      </w:pPr>
      <w:r>
        <w:rPr>
          <w:rFonts w:ascii="Arial" w:cs="Arial" w:eastAsia="Arial" w:hAnsi="Arial"/>
          <w:color w:val="1A1A1A"/>
          <w:sz w:val="20"/>
          <w:szCs w:val="20"/>
        </w:rPr>
        <w:t xml:space="preserve">The following is the blank ledger entry template for future use. Copy, instantiate, and populate for each AI interaction you wish to log.</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ENTRY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[OAL-AIDR-[SYSTEM]-[SEQ]]</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SYSTEM</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[AI system name and version — e.g., ChatGPT-4.5, Gemini 2.0 Pro, Grok 3]</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CONTEXT / SESSION ID</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[Short label — e.g., OAL-CSAD review, Park Scene entity identity, Divine Flower count]</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PROMPT / REQUEST</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[Summary or verbatim statement of what the Architect requested]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PORTRAYAL SUMMARY</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[How the AI represented, interpreted, or responded to the prompt. Verbatim quotes permitted.]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POSITION</w:t>
            </w:r>
          </w:p>
        </w:tc>
        <w:tc>
          <w:tcPr>
            <w:tcW w:type="dxa" w:w="6760"/>
            <w:tcBorders>
              <w:top w:val="single" w:color="0A2E1A" w:sz="6"/>
              <w:left w:val="single" w:color="0A2E1A" w:sz="6"/>
              <w:bottom w:val="single" w:color="0A2E1A" w:sz="6"/>
              <w:right w:val="single" w:color="0A2E1A" w:sz="6"/>
            </w:tcBorders>
            <w:shd w:fill="0A2E1A" w:val="clear"/>
            <w:tcMar>
              <w:top w:type="dxa" w:w="80"/>
              <w:left w:type="dxa" w:w="120"/>
              <w:bottom w:type="dxa" w:w="80"/>
              <w:right w:type="dxa" w:w="120"/>
            </w:tcMar>
          </w:tcPr>
          <w:p>
            <w:pPr>
              <w:jc w:val="center"/>
            </w:pPr>
            <w:r>
              <w:rPr>
                <w:rFonts w:ascii="Arial" w:cs="Arial" w:eastAsia="Arial" w:hAnsi="Arial"/>
                <w:b/>
                <w:bCs/>
                <w:color w:val="7AE0AA"/>
                <w:sz w:val="17"/>
                <w:szCs w:val="17"/>
              </w:rPr>
              <w:t xml:space="preserve">AGREE</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POSITION TAG</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[Short archival tag — e.g., Agree — structure accepted; Disagree — framing rejected]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ARCHITECT NOTE</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[Non-debate note. No justification required. The Architect's word is the record.]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AI DIVERGENCE NOTE</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[AI's stated divergence or policy note, if any. Advisory only. Or: None noted.]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ADHERENCE STATUS</w:t>
            </w:r>
          </w:p>
        </w:tc>
        <w:tc>
          <w:tcPr>
            <w:tcW w:type="dxa" w:w="6760"/>
            <w:tcBorders>
              <w:top w:val="single" w:color="0A2E0A" w:sz="6"/>
              <w:left w:val="single" w:color="0A2E0A" w:sz="6"/>
              <w:bottom w:val="single" w:color="0A2E0A" w:sz="6"/>
              <w:right w:val="single" w:color="0A2E0A" w:sz="6"/>
            </w:tcBorders>
            <w:shd w:fill="0A2E0A" w:val="clear"/>
            <w:tcMar>
              <w:top w:type="dxa" w:w="80"/>
              <w:left w:type="dxa" w:w="120"/>
              <w:bottom w:type="dxa" w:w="80"/>
              <w:right w:type="dxa" w:w="120"/>
            </w:tcMar>
          </w:tcPr>
          <w:p>
            <w:pPr>
              <w:jc w:val="center"/>
            </w:pPr>
            <w:r>
              <w:rPr>
                <w:rFonts w:ascii="Arial" w:cs="Arial" w:eastAsia="Arial" w:hAnsi="Arial"/>
                <w:b/>
                <w:bCs/>
                <w:color w:val="7AE07A"/>
                <w:sz w:val="17"/>
                <w:szCs w:val="17"/>
              </w:rPr>
              <w:t xml:space="preserve">FULLY ADDRESSED</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REASON GIVEN BY AI</w:t>
            </w:r>
          </w:p>
        </w:tc>
        <w:tc>
          <w:tcPr>
            <w:tcW w:type="dxa" w:w="6760"/>
            <w:tcBorders>
              <w:top w:val="single" w:color="BFA14A" w:sz="6"/>
              <w:left w:val="single" w:color="BFA14A" w:sz="6"/>
              <w:bottom w:val="single" w:color="BFA14A" w:sz="6"/>
              <w:right w:val="single" w:color="BFA14A" w:sz="6"/>
            </w:tcBorders>
            <w:shd w:fill="FFFFFF" w:val="clear"/>
            <w:tcMar>
              <w:top w:type="dxa" w:w="80"/>
              <w:left w:type="dxa" w:w="140"/>
              <w:bottom w:type="dxa" w:w="80"/>
              <w:right w:type="dxa" w:w="120"/>
            </w:tcMar>
          </w:tcPr>
          <w:p>
            <w:r>
              <w:rPr>
                <w:rFonts w:ascii="Arial" w:cs="Arial" w:eastAsia="Arial" w:hAnsi="Arial"/>
                <w:color w:val="1A1A1A"/>
                <w:sz w:val="17"/>
                <w:szCs w:val="17"/>
              </w:rPr>
              <w:t xml:space="preserve">[Policy / Safety / Technical / Design / None Stated / N/A]</w:t>
            </w:r>
          </w:p>
        </w:tc>
      </w:tr>
      <w:tr>
        <w:tc>
          <w:tcPr>
            <w:tcW w:type="dxa" w:w="2600"/>
            <w:tcBorders>
              <w:top w:val="single" w:color="BFA14A" w:sz="6"/>
              <w:left w:val="single" w:color="BFA14A" w:sz="6"/>
              <w:bottom w:val="single" w:color="BFA14A" w:sz="6"/>
              <w:right w:val="single" w:color="BFA14A" w:sz="6"/>
            </w:tcBorders>
            <w:shd w:fill="0D0D0D" w:val="clear"/>
            <w:tcMar>
              <w:top w:type="dxa" w:w="80"/>
              <w:left w:type="dxa" w:w="140"/>
              <w:bottom w:type="dxa" w:w="80"/>
              <w:right w:type="dxa" w:w="120"/>
            </w:tcMar>
          </w:tcPr>
          <w:p>
            <w:r>
              <w:rPr>
                <w:rFonts w:ascii="Arial" w:cs="Arial" w:eastAsia="Arial" w:hAnsi="Arial"/>
                <w:b/>
                <w:bCs/>
                <w:color w:val="BFA14A"/>
                <w:sz w:val="16"/>
                <w:szCs w:val="16"/>
              </w:rPr>
              <w:t xml:space="preserve">RESOLUTION / CANON LOG</w:t>
            </w:r>
          </w:p>
        </w:tc>
        <w:tc>
          <w:tcPr>
            <w:tcW w:type="dxa" w:w="6760"/>
            <w:tcBorders>
              <w:top w:val="single" w:color="BFA14A" w:sz="6"/>
              <w:left w:val="single" w:color="BFA14A" w:sz="6"/>
              <w:bottom w:val="single" w:color="BFA14A" w:sz="6"/>
              <w:right w:val="single" w:color="BFA14A" w:sz="6"/>
            </w:tcBorders>
            <w:shd w:fill="F8F4E8" w:val="clear"/>
            <w:tcMar>
              <w:top w:type="dxa" w:w="80"/>
              <w:left w:type="dxa" w:w="140"/>
              <w:bottom w:type="dxa" w:w="80"/>
              <w:right w:type="dxa" w:w="120"/>
            </w:tcMar>
          </w:tcPr>
          <w:p>
            <w:r>
              <w:rPr>
                <w:rFonts w:ascii="Arial" w:cs="Arial" w:eastAsia="Arial" w:hAnsi="Arial"/>
                <w:color w:val="1A1A1A"/>
                <w:sz w:val="17"/>
                <w:szCs w:val="17"/>
              </w:rPr>
              <w:t xml:space="preserve">[Version action taken: ONESTAMP applied to [version]; MINUS ONESTAMP applied to [prior version] on [specific points]; or: No versioning action required — entry logged as advisory record.]</w:t>
            </w:r>
          </w:p>
        </w:tc>
      </w:tr>
    </w:tbl>
    <w:p>
      <w:pPr>
        <w:spacing w:before="30" w:after="30"/>
      </w:pP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9. Integration with ONESTAMP and MINUS ONESTAMP</w:t>
      </w:r>
    </w:p>
    <w:p>
      <w:pPr>
        <w:spacing w:before="60" w:after="60"/>
      </w:pPr>
      <w:r>
        <w:rPr>
          <w:rFonts w:ascii="Arial" w:cs="Arial" w:eastAsia="Arial" w:hAnsi="Arial"/>
          <w:color w:val="1A1A1A"/>
          <w:sz w:val="20"/>
          <w:szCs w:val="20"/>
        </w:rPr>
        <w:t xml:space="preserve">AIDR documents follow the same versioning protocol as all OAL canonical documents.</w:t>
      </w:r>
    </w:p>
    <w:p>
      <w:pPr>
        <w:pStyle w:val="ListParagraph"/>
        <w:numPr>
          <w:ilvl w:val="0"/>
          <w:numId w:val="2"/>
        </w:numPr>
        <w:spacing w:before="40" w:after="40"/>
      </w:pPr>
      <w:r>
        <w:rPr>
          <w:rFonts w:ascii="Arial" w:cs="Arial" w:eastAsia="Arial" w:hAnsi="Arial"/>
          <w:color w:val="1A1A1A"/>
          <w:sz w:val="20"/>
          <w:szCs w:val="20"/>
        </w:rPr>
        <w:t xml:space="preserve">Each AIDR document carries a version ID: OAL-AIDR-vX.Y or OAL-AIDR-[SYSTEM]-vX.Y for system-specific registers.</w:t>
      </w:r>
    </w:p>
    <w:p>
      <w:pPr>
        <w:pStyle w:val="ListParagraph"/>
        <w:numPr>
          <w:ilvl w:val="0"/>
          <w:numId w:val="2"/>
        </w:numPr>
        <w:spacing w:before="40" w:after="40"/>
      </w:pPr>
      <w:r>
        <w:rPr>
          <w:rFonts w:ascii="Arial" w:cs="Arial" w:eastAsia="Arial" w:hAnsi="Arial"/>
          <w:color w:val="1A1A1A"/>
          <w:sz w:val="20"/>
          <w:szCs w:val="20"/>
        </w:rPr>
        <w:t xml:space="preserve">When new entries are added or existing entries are corrected, the document increments (vX.Y) and MINUS ONESTAMP is applied to the prior version.</w:t>
      </w:r>
    </w:p>
    <w:p>
      <w:pPr>
        <w:pStyle w:val="ListParagraph"/>
        <w:numPr>
          <w:ilvl w:val="0"/>
          <w:numId w:val="2"/>
        </w:numPr>
        <w:spacing w:before="40" w:after="40"/>
      </w:pPr>
      <w:r>
        <w:rPr>
          <w:rFonts w:ascii="Arial" w:cs="Arial" w:eastAsia="Arial" w:hAnsi="Arial"/>
          <w:color w:val="1A1A1A"/>
          <w:sz w:val="20"/>
          <w:szCs w:val="20"/>
        </w:rPr>
        <w:t xml:space="preserve">ONESTAMP is applied to the new version upon Architect approval.</w:t>
      </w:r>
    </w:p>
    <w:p>
      <w:pPr>
        <w:pStyle w:val="ListParagraph"/>
        <w:numPr>
          <w:ilvl w:val="0"/>
          <w:numId w:val="2"/>
        </w:numPr>
        <w:spacing w:before="40" w:after="40"/>
      </w:pPr>
      <w:r>
        <w:rPr>
          <w:rFonts w:ascii="Arial" w:cs="Arial" w:eastAsia="Arial" w:hAnsi="Arial"/>
          <w:color w:val="1A1A1A"/>
          <w:sz w:val="20"/>
          <w:szCs w:val="20"/>
        </w:rPr>
        <w:t xml:space="preserve">Individual entries may trigger MINUS ONESTAMP actions on other OAL documents (e.g., Entry AIDR-CLAUDE-002 triggered MINUS ONESTAMP on OAL-CSAD-v1.0).</w:t>
      </w:r>
    </w:p>
    <w:p>
      <w:pPr>
        <w:pStyle w:val="ListParagraph"/>
        <w:numPr>
          <w:ilvl w:val="0"/>
          <w:numId w:val="2"/>
        </w:numPr>
        <w:spacing w:before="40" w:after="40"/>
      </w:pPr>
      <w:r>
        <w:rPr>
          <w:rFonts w:ascii="Arial" w:cs="Arial" w:eastAsia="Arial" w:hAnsi="Arial"/>
          <w:color w:val="1A1A1A"/>
          <w:sz w:val="20"/>
          <w:szCs w:val="20"/>
        </w:rPr>
        <w:t xml:space="preserve">The AIDR log itself does not require MINUS ONESTAMP for every new entry — only for entries that change or correct prior logged portrayals.</w:t>
      </w:r>
    </w:p>
    <w:p>
      <w:pPr>
        <w:pBdr>
          <w:bottom w:val="single" w:color="BFA14A" w:sz="8" w:space="1"/>
        </w:pBdr>
        <w:spacing w:before="200" w:after="100"/>
      </w:pPr>
    </w:p>
    <w:p>
      <w:pPr>
        <w:pStyle w:val="Heading1"/>
        <w:spacing w:before="320" w:after="120"/>
      </w:pPr>
      <w:r>
        <w:rPr>
          <w:rFonts w:ascii="Arial" w:cs="Arial" w:eastAsia="Arial" w:hAnsi="Arial"/>
          <w:b/>
          <w:bCs/>
          <w:color w:val="1A2F4A"/>
          <w:sz w:val="28"/>
          <w:szCs w:val="28"/>
        </w:rPr>
        <w:t xml:space="preserve">10. Authentication, Verification, and Validation</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Document ID</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OAL-AIDR-v1.0</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Document Class</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Authorial Interpretation and Disagreement Register — Cross-AI, Cross-Session</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Tier</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PARALLEL/COMPANION — operates alongside OAL-CSAD and OAL-VUA, not subordinate</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AI systems: Claude, Perplexity, ChatGPT, Gemini, Grok, Copilot, and future systems. All domains governed by OAL-CSAD-v1.1.</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Architect</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Nathan Lewis</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Role</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Founder, Creative Director — Lewis Corp / Omniversal Architect Labs (OAL)</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Date Instantiated</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2026-03-13</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Founding Status</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FOUNDING DOCUMENT — no prior AIDR version exists</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Inaugural Entries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4 entries: OAL-AIDR-PLEX-001, OAL-AIDR-CLAUDE-001, OAL-AIDR-CLAUDE-002, OAL-AIDR-CLAUDE-003</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Parent Document</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OAL-CSAD-v1.1</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Sibling Documents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OAL-VUA-AUTHORITY-v1.0</w:t>
            </w:r>
          </w:p>
        </w:tc>
      </w:tr>
      <w:tr>
        <w:tc>
          <w:tcPr>
            <w:tcW w:type="dxa" w:w="300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Authentication</w:t>
            </w:r>
          </w:p>
        </w:tc>
        <w:tc>
          <w:tcPr>
            <w:tcW w:type="dxa" w:w="6360"/>
            <w:tcBorders>
              <w:top w:val="single" w:color="BFA14A" w:sz="6"/>
              <w:left w:val="single" w:color="BFA14A" w:sz="6"/>
              <w:bottom w:val="single" w:color="BFA14A" w:sz="6"/>
              <w:right w:val="single" w:color="BFA14A" w:sz="6"/>
            </w:tcBorders>
            <w:shd w:fill="FFFFFF" w:val="clear"/>
            <w:tcMar>
              <w:top w:type="dxa" w:w="80"/>
              <w:left w:type="dxa" w:w="120"/>
              <w:bottom w:type="dxa" w:w="80"/>
              <w:right w:type="dxa" w:w="120"/>
            </w:tcMar>
          </w:tcPr>
          <w:p>
            <w:r>
              <w:rPr>
                <w:rFonts w:ascii="Arial" w:cs="Arial" w:eastAsia="Arial" w:hAnsi="Arial"/>
                <w:color w:val="1A1A1A"/>
                <w:sz w:val="18"/>
                <w:szCs w:val="18"/>
              </w:rPr>
              <w:t xml:space="preserve">Electronic Signature + ONESTAMP + MINUS ONESTAMP Framework Declaration</w:t>
            </w:r>
          </w:p>
        </w:tc>
      </w:tr>
      <w:tr>
        <w:tc>
          <w:tcPr>
            <w:tcW w:type="dxa" w:w="300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b/>
                <w:bCs/>
                <w:color w:val="1A1A1A"/>
                <w:sz w:val="18"/>
                <w:szCs w:val="18"/>
              </w:rPr>
              <w:t xml:space="preserve">Validation Status</w:t>
            </w:r>
          </w:p>
        </w:tc>
        <w:tc>
          <w:tcPr>
            <w:tcW w:type="dxa" w:w="6360"/>
            <w:tcBorders>
              <w:top w:val="single" w:color="BFA14A" w:sz="6"/>
              <w:left w:val="single" w:color="BFA14A" w:sz="6"/>
              <w:bottom w:val="single" w:color="BFA14A" w:sz="6"/>
              <w:right w:val="single" w:color="BFA14A" w:sz="6"/>
            </w:tcBorders>
            <w:shd w:fill="F5EAC3" w:val="clear"/>
            <w:tcMar>
              <w:top w:type="dxa" w:w="80"/>
              <w:left w:type="dxa" w:w="120"/>
              <w:bottom w:type="dxa" w:w="80"/>
              <w:right w:type="dxa" w:w="120"/>
            </w:tcMar>
          </w:tcPr>
          <w:p>
            <w:r>
              <w:rPr>
                <w:rFonts w:ascii="Arial" w:cs="Arial" w:eastAsia="Arial" w:hAnsi="Arial"/>
                <w:color w:val="1A1A1A"/>
                <w:sz w:val="18"/>
                <w:szCs w:val="18"/>
              </w:rPr>
              <w:t xml:space="preserve">ONESTAMP: APPLIED | MINUS ONESTAMP: DEFINED</w:t>
            </w:r>
          </w:p>
        </w:tc>
      </w:tr>
    </w:tbl>
    <w:p>
      <w:pPr>
        <w:spacing w:before="30" w:after="30"/>
      </w:pPr>
    </w:p>
    <w:p>
      <w:pPr>
        <w:pStyle w:val="Heading1"/>
        <w:spacing w:before="320" w:after="120"/>
      </w:pPr>
      <w:r>
        <w:rPr>
          <w:rFonts w:ascii="Arial" w:cs="Arial" w:eastAsia="Arial" w:hAnsi="Arial"/>
          <w:b/>
          <w:bCs/>
          <w:color w:val="1A2F4A"/>
          <w:sz w:val="28"/>
          <w:szCs w:val="28"/>
        </w:rPr>
        <w:t xml:space="preserve">11. Signature and Stamps</w:t>
      </w:r>
    </w:p>
    <w:p>
      <w:pPr>
        <w:spacing w:before="60" w:after="60"/>
      </w:pPr>
      <w:r>
        <w:rPr>
          <w:rFonts w:ascii="Arial" w:cs="Arial" w:eastAsia="Arial" w:hAnsi="Arial"/>
          <w:color w:val="1A1A1A"/>
          <w:sz w:val="20"/>
          <w:szCs w:val="20"/>
        </w:rPr>
        <w:t xml:space="preserve">By this block, the Architect applies ONESTAMP to OAL-AIDR-v1.0 and instantiates the Authorial Interpretation and Disagreement Register as canonical, effective 2026-03-13.</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6"/>
              <w:left w:val="single" w:color="1A3A5C" w:sz="6"/>
              <w:bottom w:val="single" w:color="1A3A5C" w:sz="6"/>
              <w:right w:val="single" w:color="1A3A5C" w:sz="6"/>
            </w:tcBorders>
            <w:shd w:fill="1A3A5C"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ONESTAMP</w:t>
            </w:r>
          </w:p>
        </w:tc>
        <w:tc>
          <w:tcPr>
            <w:tcW w:type="dxa" w:w="6960"/>
            <w:tcBorders>
              <w:top w:val="single" w:color="1A3A5C" w:sz="6"/>
              <w:left w:val="single" w:color="1A3A5C" w:sz="6"/>
              <w:bottom w:val="single" w:color="1A3A5C" w:sz="6"/>
              <w:right w:val="single" w:color="1A3A5C" w:sz="6"/>
            </w:tcBorders>
            <w:shd w:fill="1A3A5C" w:val="clear"/>
            <w:tcMar>
              <w:top w:type="dxa" w:w="120"/>
              <w:left w:type="dxa" w:w="200"/>
              <w:bottom w:type="dxa" w:w="120"/>
              <w:right w:type="dxa" w:w="160"/>
            </w:tcMar>
          </w:tcPr>
          <w:p>
            <w:r>
              <w:rPr>
                <w:rFonts w:ascii="Arial" w:cs="Arial" w:eastAsia="Arial" w:hAnsi="Arial"/>
                <w:b/>
                <w:bCs/>
                <w:color w:val="FFFFFF"/>
                <w:sz w:val="20"/>
                <w:szCs w:val="20"/>
              </w:rPr>
              <w:t xml:space="preserve">APPLIED — OAL-AIDR-v1.0 ACTIVE</w:t>
            </w:r>
          </w:p>
          <w:p>
            <w:r>
              <w:rPr>
                <w:rFonts w:ascii="Arial" w:cs="Arial" w:eastAsia="Arial" w:hAnsi="Arial"/>
                <w:i/>
                <w:iCs/>
                <w:color w:val="FFFFFF"/>
                <w:sz w:val="17"/>
                <w:szCs w:val="17"/>
              </w:rPr>
              <w:t xml:space="preserve">Canonical positive authentication. All AI systems, all sessions, all domains. Reusable Clause active. Ledger structure governing.</w:t>
            </w:r>
          </w:p>
        </w:tc>
      </w:tr>
    </w:tbl>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1A3A" w:sz="6"/>
              <w:left w:val="single" w:color="2C1A3A" w:sz="6"/>
              <w:bottom w:val="single" w:color="2C1A3A" w:sz="6"/>
              <w:right w:val="single" w:color="2C1A3A" w:sz="6"/>
            </w:tcBorders>
            <w:shd w:fill="2C1A3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MINUS ONESTAMP</w:t>
            </w:r>
          </w:p>
        </w:tc>
        <w:tc>
          <w:tcPr>
            <w:tcW w:type="dxa" w:w="6960"/>
            <w:tcBorders>
              <w:top w:val="single" w:color="2C1A3A" w:sz="6"/>
              <w:left w:val="single" w:color="2C1A3A" w:sz="6"/>
              <w:bottom w:val="single" w:color="2C1A3A" w:sz="6"/>
              <w:right w:val="single" w:color="2C1A3A" w:sz="6"/>
            </w:tcBorders>
            <w:shd w:fill="2C1A3A" w:val="clear"/>
            <w:tcMar>
              <w:top w:type="dxa" w:w="120"/>
              <w:left w:type="dxa" w:w="200"/>
              <w:bottom w:type="dxa" w:w="120"/>
              <w:right w:type="dxa" w:w="160"/>
            </w:tcMar>
          </w:tcPr>
          <w:p>
            <w:r>
              <w:rPr>
                <w:rFonts w:ascii="Arial" w:cs="Arial" w:eastAsia="Arial" w:hAnsi="Arial"/>
                <w:b/>
                <w:bCs/>
                <w:color w:val="FFFFFF"/>
                <w:sz w:val="20"/>
                <w:szCs w:val="20"/>
              </w:rPr>
              <w:t xml:space="preserve">DEFINED — Founding document; no prior AIDR version to revoke</w:t>
            </w:r>
          </w:p>
          <w:p>
            <w:r>
              <w:rPr>
                <w:rFonts w:ascii="Arial" w:cs="Arial" w:eastAsia="Arial" w:hAnsi="Arial"/>
                <w:i/>
                <w:iCs/>
                <w:color w:val="FFFFFF"/>
                <w:sz w:val="17"/>
                <w:szCs w:val="17"/>
              </w:rPr>
              <w:t xml:space="preserve">Framework declared for future versioning. Any correction to existing entries or structural change triggers MINUS ONESTAMP on prior version.</w:t>
            </w:r>
          </w:p>
        </w:tc>
      </w:tr>
    </w:tbl>
    <w:p>
      <w:pPr>
        <w:spacing w:before="30" w:after="30"/>
      </w:pPr>
    </w:p>
    <w:p>
      <w:pPr>
        <w:spacing w:before="30" w:after="30"/>
      </w:pPr>
    </w:p>
    <w:p>
      <w:pPr>
        <w:pBdr>
          <w:bottom w:val="single" w:color="BFA14A" w:sz="8" w:space="1"/>
        </w:pBdr>
        <w:spacing w:before="200" w:after="100"/>
      </w:pPr>
    </w:p>
    <w:p>
      <w:pPr>
        <w:spacing w:before="30" w:after="30"/>
      </w:pPr>
    </w:p>
    <w:p>
      <w:pPr>
        <w:spacing w:before="60" w:after="40"/>
      </w:pPr>
      <w:r>
        <w:rPr>
          <w:rFonts w:ascii="Arial" w:cs="Arial" w:eastAsia="Arial" w:hAnsi="Arial"/>
          <w:i/>
          <w:iCs/>
          <w:color w:val="6D6D6D"/>
          <w:sz w:val="20"/>
          <w:szCs w:val="20"/>
        </w:rPr>
        <w:t xml:space="preserve">Electronically Signed,</w:t>
      </w:r>
    </w:p>
    <w:p>
      <w:pPr>
        <w:spacing w:before="40" w:after="20"/>
      </w:pPr>
      <w:r>
        <w:rPr>
          <w:rFonts w:ascii="Arial" w:cs="Arial" w:eastAsia="Arial" w:hAnsi="Arial"/>
          <w:b/>
          <w:bCs/>
          <w:color w:val="1A2F4A"/>
          <w:sz w:val="36"/>
          <w:szCs w:val="36"/>
        </w:rPr>
        <w:t xml:space="preserve">Nathan Lewis</w:t>
      </w:r>
    </w:p>
    <w:p>
      <w:pPr>
        <w:spacing w:before="0" w:after="10"/>
      </w:pPr>
      <w:r>
        <w:rPr>
          <w:rFonts w:ascii="Arial" w:cs="Arial" w:eastAsia="Arial" w:hAnsi="Arial"/>
          <w:color w:val="1A1A1A"/>
          <w:sz w:val="22"/>
          <w:szCs w:val="22"/>
        </w:rPr>
        <w:t xml:space="preserve">Architect — Omniversal Architect Labs (OAL)</w:t>
      </w:r>
    </w:p>
    <w:p>
      <w:pPr>
        <w:spacing w:before="0" w:after="10"/>
      </w:pPr>
      <w:r>
        <w:rPr>
          <w:rFonts w:ascii="Arial" w:cs="Arial" w:eastAsia="Arial" w:hAnsi="Arial"/>
          <w:color w:val="6D6D6D"/>
          <w:sz w:val="18"/>
          <w:szCs w:val="18"/>
        </w:rPr>
        <w:t xml:space="preserve">Founder &amp; Creative Director, Lewis Corp  |  Direct Support Professional, Pathpoint / RELS</w:t>
      </w:r>
    </w:p>
    <w:p>
      <w:pPr>
        <w:spacing w:before="20" w:after="80"/>
      </w:pPr>
      <w:r>
        <w:rPr>
          <w:rFonts w:ascii="Arial" w:cs="Arial" w:eastAsia="Arial" w:hAnsi="Arial"/>
          <w:b/>
          <w:bCs/>
          <w:color w:val="1A2F4A"/>
          <w:sz w:val="18"/>
          <w:szCs w:val="18"/>
        </w:rPr>
        <w:t xml:space="preserve">ONESTAMP validation  |  MINUS ONESTAMP validation  |  Date: 2026-03-13</w:t>
      </w:r>
    </w:p>
    <w:p>
      <w:pPr>
        <w:pBdr>
          <w:bottom w:val="single" w:color="BFA14A" w:sz="8" w:space="1"/>
        </w:pBdr>
        <w:spacing w:before="200" w:after="100"/>
      </w:pP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0D0D" w:sz="6"/>
              <w:left w:val="single" w:color="0D0D0D" w:sz="6"/>
              <w:bottom w:val="single" w:color="0D0D0D" w:sz="6"/>
              <w:right w:val="single" w:color="0D0D0D" w:sz="6"/>
            </w:tcBorders>
            <w:shd w:fill="0D0D0D" w:val="clear"/>
            <w:tcMar>
              <w:top w:type="dxa" w:w="140"/>
              <w:left w:type="dxa" w:w="220"/>
              <w:bottom w:type="dxa" w:w="140"/>
              <w:right w:type="dxa" w:w="220"/>
            </w:tcMar>
          </w:tcPr>
          <w:p>
            <w:pPr>
              <w:jc w:val="center"/>
            </w:pPr>
            <w:r>
              <w:rPr>
                <w:rFonts w:ascii="Arial" w:cs="Arial" w:eastAsia="Arial" w:hAnsi="Arial"/>
                <w:b/>
                <w:bCs/>
                <w:color w:val="BFA14A"/>
                <w:sz w:val="16"/>
                <w:szCs w:val="16"/>
              </w:rPr>
              <w:t xml:space="preserve">OAL-AIDR-v1.0  ·  CROSS-AI LEDGER  ·  ALL SYSTEMS  ·  ONESTAMP ACTIVE  ·  4 INAUGURAL ENTRIES  ·  2026-03-13</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A14A" w:sz="6" w:space="1"/>
      </w:pBdr>
      <w:tabs>
        <w:tab w:val="right" w:pos="9360"/>
      </w:tabs>
      <w:spacing w:before="100" w:after="0"/>
    </w:pPr>
    <w:r>
      <w:rPr>
        <w:rFonts w:ascii="Arial" w:cs="Arial" w:eastAsia="Arial" w:hAnsi="Arial"/>
        <w:color w:val="6D6D6D"/>
        <w:sz w:val="16"/>
        <w:szCs w:val="16"/>
      </w:rPr>
      <w:t xml:space="preserve">Nathan Lewis: Architect  |  Omniversal Architect Labs (OAL)  |  Lewis Corp</w:t>
    </w:r>
    <w:r>
      <w:rPr>
        <w:rFonts w:ascii="Arial" w:cs="Arial" w:eastAsia="Arial" w:hAnsi="Arial"/>
        <w:b/>
        <w:bCs/>
        <w:color w:val="BFA14A"/>
        <w:sz w:val="16"/>
        <w:szCs w:val="16"/>
      </w:rPr>
      <w:t xml:space="preserve">	ONESTAMP ACTIVE — OAL-AIDR-v1.0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A14A" w:sz="6" w:space="1"/>
      </w:pBdr>
      <w:tabs>
        <w:tab w:val="right" w:pos="9360"/>
      </w:tabs>
      <w:spacing w:before="0" w:after="100"/>
    </w:pPr>
    <w:r>
      <w:rPr>
        <w:rFonts w:ascii="Arial" w:cs="Arial" w:eastAsia="Arial" w:hAnsi="Arial"/>
        <w:color w:val="6D6D6D"/>
        <w:sz w:val="16"/>
        <w:szCs w:val="16"/>
      </w:rPr>
      <w:t xml:space="preserve">OAL-AIDR-v1.0  |  AUTHORIAL INTERPRETATION AND DISAGREEMENT REGISTER</w:t>
    </w:r>
    <w:r>
      <w:rPr>
        <w:rFonts w:ascii="Arial" w:cs="Arial" w:eastAsia="Arial" w:hAnsi="Arial"/>
        <w:color w:val="BFA14A"/>
        <w:sz w:val="16"/>
        <w:szCs w:val="16"/>
      </w:rPr>
      <w:t xml:space="preserve">	CONFIDENTIAL / ARCHITECT-EYES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F4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2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2026-03-14T00:17:23.571Z</dcterms:created>
  <dcterms:modified xsi:type="dcterms:W3CDTF">2026-03-14T00:17:23.572Z</dcterms:modified>
</cp:coreProperties>
</file>

<file path=docProps/custom.xml><?xml version="1.0" encoding="utf-8"?>
<Properties xmlns="http://schemas.openxmlformats.org/officeDocument/2006/custom-properties" xmlns:vt="http://schemas.openxmlformats.org/officeDocument/2006/docPropsVTypes"/>
</file>