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7" w:name="Xed68de67e00f8407c64a21f4e52f1d14393fbee"/>
    <w:p>
      <w:pPr>
        <w:pStyle w:val="Heading1"/>
      </w:pPr>
      <w:r>
        <w:t xml:space="preserve">Development Items Research &amp; Analysis — All Three Projects</w:t>
      </w:r>
    </w:p>
    <w:bookmarkStart w:id="20" w:name="Xb7a38a5a3514f263786c7575421f8509aea05ba"/>
    <w:p>
      <w:pPr>
        <w:pStyle w:val="Heading2"/>
      </w:pPr>
      <w:r>
        <w:t xml:space="preserve">Unified Research Report for Author Approval Decisions</w:t>
      </w:r>
    </w:p>
    <w:p>
      <w:r>
        <w:pict>
          <v:rect style="width:0;height:1.5pt" o:hralign="center" o:hrstd="t" o:hr="t"/>
        </w:pict>
      </w:r>
    </w:p>
    <w:p>
      <w:pPr>
        <w:pStyle w:val="FirstParagraph"/>
      </w:pPr>
      <w:r>
        <w:rPr>
          <w:bCs/>
          <w:b/>
        </w:rPr>
        <w:t xml:space="preserve">Document ID:</w:t>
      </w:r>
      <w:r>
        <w:t xml:space="preserve"> </w:t>
      </w:r>
      <w:r>
        <w:t xml:space="preserve">OAL-DOSSIER-DEV-001</w:t>
      </w:r>
      <w:r>
        <w:t xml:space="preserve"> </w:t>
      </w:r>
      <w:r>
        <w:rPr>
          <w:bCs/>
          <w:b/>
        </w:rPr>
        <w:t xml:space="preserve">Version:</w:t>
      </w:r>
      <w:r>
        <w:t xml:space="preserve"> </w:t>
      </w:r>
      <w:r>
        <w:t xml:space="preserve">v1.0.0</w:t>
      </w:r>
      <w:r>
        <w:t xml:space="preserve"> </w:t>
      </w:r>
      <w:r>
        <w:rPr>
          <w:bCs/>
          <w:b/>
        </w:rPr>
        <w:t xml:space="preserve">Status:</w:t>
      </w:r>
      <w:r>
        <w:t xml:space="preserve"> </w:t>
      </w:r>
      <w:r>
        <w:t xml:space="preserve">PENDING ELECTRONIC APPROVAL — ONESTAMP REQUIRED</w:t>
      </w:r>
      <w:r>
        <w:t xml:space="preserve"> </w:t>
      </w:r>
      <w:r>
        <w:rPr>
          <w:bCs/>
          <w:b/>
        </w:rPr>
        <w:t xml:space="preserve">Prepared by:</w:t>
      </w:r>
      <w:r>
        <w:t xml:space="preserve"> </w:t>
      </w:r>
      <w:r>
        <w:t xml:space="preserve">Perplexity Computer (AI Research, Synthesis &amp; Documentation)</w:t>
      </w:r>
      <w:r>
        <w:t xml:space="preserve"> </w:t>
      </w:r>
      <w:r>
        <w:rPr>
          <w:bCs/>
          <w:b/>
        </w:rPr>
        <w:t xml:space="preserve">Contributing Research Sources:</w:t>
      </w:r>
      <w:r>
        <w:t xml:space="preserve"> </w:t>
      </w:r>
      <w:r>
        <w:t xml:space="preserve">Academic databases, defense publications, cybersecurity policy literature, public health &amp; epidemiology research, clinical training literature, legal analysis</w:t>
      </w:r>
      <w:r>
        <w:t xml:space="preserve"> </w:t>
      </w:r>
      <w:r>
        <w:rPr>
          <w:bCs/>
          <w:b/>
        </w:rPr>
        <w:t xml:space="preserve">Distribution:</w:t>
      </w:r>
      <w:r>
        <w:t xml:space="preserve"> </w:t>
      </w:r>
      <w:r>
        <w:t xml:space="preserve">ChatGPT · Google Gemini · Claude AI · Microsoft Copilot · Grok AI</w:t>
      </w:r>
      <w:r>
        <w:t xml:space="preserve"> </w:t>
      </w:r>
      <w:r>
        <w:rPr>
          <w:bCs/>
          <w:b/>
        </w:rPr>
        <w:t xml:space="preserve">Date:</w:t>
      </w:r>
      <w:r>
        <w:t xml:space="preserve"> </w:t>
      </w:r>
      <w:r>
        <w:t xml:space="preserve">April 11, 2026</w:t>
      </w:r>
      <w:r>
        <w:t xml:space="preserve"> </w:t>
      </w:r>
      <w:r>
        <w:rPr>
          <w:bCs/>
          <w:b/>
        </w:rPr>
        <w:t xml:space="preserve">Classification:</w:t>
      </w:r>
      <w:r>
        <w:t xml:space="preserve"> </w:t>
      </w:r>
      <w:r>
        <w:t xml:space="preserve">Author Decision Support Document — Research &amp; Analysis | Pending Author Review</w:t>
      </w:r>
    </w:p>
    <w:p>
      <w:r>
        <w:pict>
          <v:rect style="width:0;height:1.5pt" o:hralign="center" o:hrstd="t" o:hr="t"/>
        </w:pict>
      </w:r>
    </w:p>
    <w:p>
      <w:pPr>
        <w:pStyle w:val="BlockText"/>
      </w:pPr>
      <w:r>
        <w:rPr>
          <w:bCs/>
          <w:b/>
        </w:rPr>
        <w:t xml:space="preserve">APPROVAL NOTICE:</w:t>
      </w:r>
      <w:r>
        <w:t xml:space="preserve"> </w:t>
      </w:r>
      <w:r>
        <w:t xml:space="preserve">This document is pending electronic approval and ONESTAMP from the author (Nathan Lewis, Architect). No elements herein should be treated as final, approved direction until ONESTAMP is applied. All research findings, analysis, and recommendations are advisory until that approval is granted. Where research supports a particular design choice, it is noted explicitly. Where research contradicts confirmation bias, it is flagged in red-team sections.</w:t>
      </w:r>
    </w:p>
    <w:p>
      <w:r>
        <w:pict>
          <v:rect style="width:0;height:1.5pt" o:hralign="center" o:hrstd="t" o:hr="t"/>
        </w:pict>
      </w:r>
    </w:p>
    <w:bookmarkEnd w:id="20"/>
    <w:bookmarkStart w:id="21" w:name="table-of-contents"/>
    <w:p>
      <w:pPr>
        <w:pStyle w:val="Heading2"/>
      </w:pPr>
      <w:r>
        <w:t xml:space="preserve">Table of Contents</w:t>
      </w:r>
    </w:p>
    <w:p>
      <w:pPr>
        <w:numPr>
          <w:ilvl w:val="0"/>
          <w:numId w:val="1001"/>
        </w:numPr>
        <w:pStyle w:val="Compact"/>
      </w:pPr>
      <w:hyperlink w:anchor="X6ca617b34e2e38ef920495a55ecad7e0792eb6c">
        <w:r>
          <w:rPr>
            <w:rStyle w:val="Hyperlink"/>
          </w:rPr>
          <w:t xml:space="preserve">How to Use This Document</w:t>
        </w:r>
      </w:hyperlink>
    </w:p>
    <w:p>
      <w:pPr>
        <w:numPr>
          <w:ilvl w:val="0"/>
          <w:numId w:val="1001"/>
        </w:numPr>
        <w:pStyle w:val="Compact"/>
      </w:pPr>
      <w:hyperlink w:anchor="X9852a6bfb2a17b0d740687f6909b88be4849e8a">
        <w:r>
          <w:rPr>
            <w:rStyle w:val="Hyperlink"/>
          </w:rPr>
          <w:t xml:space="preserve">Project 1 — Kinetic Threshold Demonstration &amp; Open Ocean Parley (OAL-DOSSIER-CANON-001)</w:t>
        </w:r>
      </w:hyperlink>
    </w:p>
    <w:p>
      <w:pPr>
        <w:numPr>
          <w:ilvl w:val="1"/>
          <w:numId w:val="1002"/>
        </w:numPr>
        <w:pStyle w:val="Compact"/>
      </w:pPr>
      <w:r>
        <w:t xml:space="preserve">2.1 Key Development Items Summary</w:t>
      </w:r>
    </w:p>
    <w:p>
      <w:pPr>
        <w:numPr>
          <w:ilvl w:val="1"/>
          <w:numId w:val="1002"/>
        </w:numPr>
        <w:pStyle w:val="Compact"/>
      </w:pPr>
      <w:r>
        <w:t xml:space="preserve">2.2 Research &amp; Analysis: Kinetic Armor Technology</w:t>
      </w:r>
    </w:p>
    <w:p>
      <w:pPr>
        <w:numPr>
          <w:ilvl w:val="1"/>
          <w:numId w:val="1002"/>
        </w:numPr>
        <w:pStyle w:val="Compact"/>
      </w:pPr>
      <w:r>
        <w:t xml:space="preserve">2.3 Research &amp; Analysis: Synthetic Humanoid Control</w:t>
      </w:r>
    </w:p>
    <w:p>
      <w:pPr>
        <w:numPr>
          <w:ilvl w:val="1"/>
          <w:numId w:val="1002"/>
        </w:numPr>
        <w:pStyle w:val="Compact"/>
      </w:pPr>
      <w:r>
        <w:t xml:space="preserve">2.4 Research &amp; Analysis: Corporate Weapons Demonstration Ethics</w:t>
      </w:r>
    </w:p>
    <w:p>
      <w:pPr>
        <w:numPr>
          <w:ilvl w:val="1"/>
          <w:numId w:val="1002"/>
        </w:numPr>
        <w:pStyle w:val="Compact"/>
      </w:pPr>
      <w:r>
        <w:t xml:space="preserve">2.5 Research &amp; Analysis: Open Ocean Covert Meeting Design</w:t>
      </w:r>
    </w:p>
    <w:p>
      <w:pPr>
        <w:numPr>
          <w:ilvl w:val="1"/>
          <w:numId w:val="1002"/>
        </w:numPr>
        <w:pStyle w:val="Compact"/>
      </w:pPr>
      <w:r>
        <w:t xml:space="preserve">2.6 Confirmation Bias Flags</w:t>
      </w:r>
    </w:p>
    <w:p>
      <w:pPr>
        <w:numPr>
          <w:ilvl w:val="1"/>
          <w:numId w:val="1002"/>
        </w:numPr>
        <w:pStyle w:val="Compact"/>
      </w:pPr>
      <w:r>
        <w:t xml:space="preserve">2.7 Author Decision Matrix — Project 1</w:t>
      </w:r>
    </w:p>
    <w:p>
      <w:pPr>
        <w:numPr>
          <w:ilvl w:val="0"/>
          <w:numId w:val="1001"/>
        </w:numPr>
        <w:pStyle w:val="Compact"/>
      </w:pPr>
      <w:hyperlink w:anchor="Xcfbecb853e8b985f7a2de5e8356900c8fb3f9d5">
        <w:r>
          <w:rPr>
            <w:rStyle w:val="Hyperlink"/>
          </w:rPr>
          <w:t xml:space="preserve">Project 2 — Network Defense Intelligence Exercise (OAL-DOSSIER-CANON-002)</w:t>
        </w:r>
      </w:hyperlink>
    </w:p>
    <w:p>
      <w:pPr>
        <w:numPr>
          <w:ilvl w:val="1"/>
          <w:numId w:val="1003"/>
        </w:numPr>
        <w:pStyle w:val="Compact"/>
      </w:pPr>
      <w:r>
        <w:t xml:space="preserve">3.1 Key Development Items Summary</w:t>
      </w:r>
    </w:p>
    <w:p>
      <w:pPr>
        <w:numPr>
          <w:ilvl w:val="1"/>
          <w:numId w:val="1003"/>
        </w:numPr>
        <w:pStyle w:val="Compact"/>
      </w:pPr>
      <w:r>
        <w:t xml:space="preserve">3.2 Research &amp; Analysis: National-Scale Cyber Honeypot &amp; Deception Systems</w:t>
      </w:r>
    </w:p>
    <w:p>
      <w:pPr>
        <w:numPr>
          <w:ilvl w:val="1"/>
          <w:numId w:val="1003"/>
        </w:numPr>
        <w:pStyle w:val="Compact"/>
      </w:pPr>
      <w:r>
        <w:t xml:space="preserve">3.3 Research &amp; Analysis: Legal Authority &amp; Ethical Framework for Active Cyber Defense</w:t>
      </w:r>
    </w:p>
    <w:p>
      <w:pPr>
        <w:numPr>
          <w:ilvl w:val="1"/>
          <w:numId w:val="1003"/>
        </w:numPr>
        <w:pStyle w:val="Compact"/>
      </w:pPr>
      <w:r>
        <w:t xml:space="preserve">3.4 Research &amp; Analysis: Synthetic Network Fidelity &amp; 3-Second Cycling Plausibility</w:t>
      </w:r>
    </w:p>
    <w:p>
      <w:pPr>
        <w:numPr>
          <w:ilvl w:val="1"/>
          <w:numId w:val="1003"/>
        </w:numPr>
        <w:pStyle w:val="Compact"/>
      </w:pPr>
      <w:r>
        <w:t xml:space="preserve">3.5 Research &amp; Analysis: Adversarial Counter-Simulation Risk</w:t>
      </w:r>
    </w:p>
    <w:p>
      <w:pPr>
        <w:numPr>
          <w:ilvl w:val="1"/>
          <w:numId w:val="1003"/>
        </w:numPr>
        <w:pStyle w:val="Compact"/>
      </w:pPr>
      <w:r>
        <w:t xml:space="preserve">3.6 Confirmation Bias Flags</w:t>
      </w:r>
    </w:p>
    <w:p>
      <w:pPr>
        <w:numPr>
          <w:ilvl w:val="1"/>
          <w:numId w:val="1003"/>
        </w:numPr>
        <w:pStyle w:val="Compact"/>
      </w:pPr>
      <w:r>
        <w:t xml:space="preserve">3.7 Author Decision Matrix — Project 2</w:t>
      </w:r>
    </w:p>
    <w:p>
      <w:pPr>
        <w:numPr>
          <w:ilvl w:val="0"/>
          <w:numId w:val="1001"/>
        </w:numPr>
        <w:pStyle w:val="Compact"/>
      </w:pPr>
      <w:hyperlink w:anchor="Xf4c368606d1c00f9e278ec087c081526445a523">
        <w:r>
          <w:rPr>
            <w:rStyle w:val="Hyperlink"/>
          </w:rPr>
          <w:t xml:space="preserve">Project 3 — Pathogen Outbreak Tabletop Exercise (OAL-DOSSIER-TTX-001)</w:t>
        </w:r>
      </w:hyperlink>
    </w:p>
    <w:p>
      <w:pPr>
        <w:numPr>
          <w:ilvl w:val="1"/>
          <w:numId w:val="1004"/>
        </w:numPr>
        <w:pStyle w:val="Compact"/>
      </w:pPr>
      <w:r>
        <w:t xml:space="preserve">4.1 Key Development Items Summary</w:t>
      </w:r>
    </w:p>
    <w:p>
      <w:pPr>
        <w:numPr>
          <w:ilvl w:val="1"/>
          <w:numId w:val="1004"/>
        </w:numPr>
        <w:pStyle w:val="Compact"/>
      </w:pPr>
      <w:r>
        <w:t xml:space="preserve">4.2 Research &amp; Analysis: The</w:t>
      </w:r>
      <w:r>
        <w:t xml:space="preserve"> </w:t>
      </w:r>
      <w:r>
        <w:t xml:space="preserve">“</w:t>
      </w:r>
      <w:r>
        <w:t xml:space="preserve">10-Year Outbreak Cycle</w:t>
      </w:r>
      <w:r>
        <w:t xml:space="preserve">”</w:t>
      </w:r>
      <w:r>
        <w:t xml:space="preserve"> </w:t>
      </w:r>
      <w:r>
        <w:t xml:space="preserve">Claim</w:t>
      </w:r>
    </w:p>
    <w:p>
      <w:pPr>
        <w:numPr>
          <w:ilvl w:val="1"/>
          <w:numId w:val="1004"/>
        </w:numPr>
        <w:pStyle w:val="Compact"/>
      </w:pPr>
      <w:r>
        <w:t xml:space="preserve">4.3 Research &amp; Analysis: Pathogen Archetype Selection — Evidence Base</w:t>
      </w:r>
    </w:p>
    <w:p>
      <w:pPr>
        <w:numPr>
          <w:ilvl w:val="1"/>
          <w:numId w:val="1004"/>
        </w:numPr>
        <w:pStyle w:val="Compact"/>
      </w:pPr>
      <w:r>
        <w:t xml:space="preserve">4.4 Research &amp; Analysis: Provider Clinical Uncertainty — Evidence Base</w:t>
      </w:r>
    </w:p>
    <w:p>
      <w:pPr>
        <w:numPr>
          <w:ilvl w:val="1"/>
          <w:numId w:val="1004"/>
        </w:numPr>
        <w:pStyle w:val="Compact"/>
      </w:pPr>
      <w:r>
        <w:t xml:space="preserve">4.5 Research &amp; Analysis: TTX Design Standards — HSEEP, WHO, CDC Frameworks</w:t>
      </w:r>
    </w:p>
    <w:p>
      <w:pPr>
        <w:numPr>
          <w:ilvl w:val="1"/>
          <w:numId w:val="1004"/>
        </w:numPr>
        <w:pStyle w:val="Compact"/>
      </w:pPr>
      <w:r>
        <w:t xml:space="preserve">4.6 Research &amp; Analysis: Equity Layer Evidence</w:t>
      </w:r>
    </w:p>
    <w:p>
      <w:pPr>
        <w:numPr>
          <w:ilvl w:val="1"/>
          <w:numId w:val="1004"/>
        </w:numPr>
        <w:pStyle w:val="Compact"/>
      </w:pPr>
      <w:r>
        <w:t xml:space="preserve">4.7 Confirmation Bias Flags</w:t>
      </w:r>
    </w:p>
    <w:p>
      <w:pPr>
        <w:numPr>
          <w:ilvl w:val="1"/>
          <w:numId w:val="1004"/>
        </w:numPr>
        <w:pStyle w:val="Compact"/>
      </w:pPr>
      <w:r>
        <w:t xml:space="preserve">4.8 Author Decision Matrix — Project 3</w:t>
      </w:r>
    </w:p>
    <w:p>
      <w:pPr>
        <w:numPr>
          <w:ilvl w:val="0"/>
          <w:numId w:val="1001"/>
        </w:numPr>
        <w:pStyle w:val="Compact"/>
      </w:pPr>
      <w:hyperlink w:anchor="Xbbdf75285a644e66bb1d704d3ce147f902737e2">
        <w:r>
          <w:rPr>
            <w:rStyle w:val="Hyperlink"/>
          </w:rPr>
          <w:t xml:space="preserve">Cross-Project Themes &amp; Unified Recommendations</w:t>
        </w:r>
      </w:hyperlink>
    </w:p>
    <w:p>
      <w:pPr>
        <w:numPr>
          <w:ilvl w:val="0"/>
          <w:numId w:val="1001"/>
        </w:numPr>
        <w:pStyle w:val="Compact"/>
      </w:pPr>
      <w:hyperlink w:anchor="X6d2f536e7a3bcba8dba7e19c592b5886800f21b">
        <w:r>
          <w:rPr>
            <w:rStyle w:val="Hyperlink"/>
          </w:rPr>
          <w:t xml:space="preserve">Priority Approval Checklist — What to Decide Today</w:t>
        </w:r>
      </w:hyperlink>
    </w:p>
    <w:p>
      <w:pPr>
        <w:numPr>
          <w:ilvl w:val="0"/>
          <w:numId w:val="1001"/>
        </w:numPr>
        <w:pStyle w:val="Compact"/>
      </w:pPr>
      <w:hyperlink w:anchor="X5af92bec5c49fe857d7577c73f78a1bf235ca3f">
        <w:r>
          <w:rPr>
            <w:rStyle w:val="Hyperlink"/>
          </w:rPr>
          <w:t xml:space="preserve">Version History</w:t>
        </w:r>
      </w:hyperlink>
    </w:p>
    <w:p>
      <w:r>
        <w:pict>
          <v:rect style="width:0;height:1.5pt" o:hralign="center" o:hrstd="t" o:hr="t"/>
        </w:pict>
      </w:r>
    </w:p>
    <w:bookmarkEnd w:id="21"/>
    <w:bookmarkStart w:id="22" w:name="how-to-use-this-document"/>
    <w:p>
      <w:pPr>
        <w:pStyle w:val="Heading2"/>
      </w:pPr>
      <w:r>
        <w:t xml:space="preserve">1. How to Use This Document</w:t>
      </w:r>
    </w:p>
    <w:p>
      <w:pPr>
        <w:pStyle w:val="FirstParagraph"/>
      </w:pPr>
      <w:r>
        <w:t xml:space="preserve">This document is structured to help you make the specific approval decisions needed to advance all three projects today. Each project section contains:</w:t>
      </w:r>
    </w:p>
    <w:p>
      <w:pPr>
        <w:numPr>
          <w:ilvl w:val="0"/>
          <w:numId w:val="1005"/>
        </w:numPr>
        <w:pStyle w:val="Compact"/>
      </w:pPr>
      <w:r>
        <w:rPr>
          <w:bCs/>
          <w:b/>
        </w:rPr>
        <w:t xml:space="preserve">Key Development Items</w:t>
      </w:r>
      <w:r>
        <w:t xml:space="preserve"> </w:t>
      </w:r>
      <w:r>
        <w:t xml:space="preserve">— the blocking decisions identified in the existing dossiers</w:t>
      </w:r>
    </w:p>
    <w:p>
      <w:pPr>
        <w:numPr>
          <w:ilvl w:val="0"/>
          <w:numId w:val="1005"/>
        </w:numPr>
        <w:pStyle w:val="Compact"/>
      </w:pPr>
      <w:r>
        <w:rPr>
          <w:bCs/>
          <w:b/>
        </w:rPr>
        <w:t xml:space="preserve">Research &amp; Analysis</w:t>
      </w:r>
      <w:r>
        <w:t xml:space="preserve"> </w:t>
      </w:r>
      <w:r>
        <w:t xml:space="preserve">— external evidence for and against each design choice, with sources</w:t>
      </w:r>
    </w:p>
    <w:p>
      <w:pPr>
        <w:numPr>
          <w:ilvl w:val="0"/>
          <w:numId w:val="1005"/>
        </w:numPr>
        <w:pStyle w:val="Compact"/>
      </w:pPr>
      <w:r>
        <w:rPr>
          <w:bCs/>
          <w:b/>
        </w:rPr>
        <w:t xml:space="preserve">Confirmation Bias Flags</w:t>
      </w:r>
      <w:r>
        <w:t xml:space="preserve"> </w:t>
      </w:r>
      <w:r>
        <w:t xml:space="preserve">— where research challenges assumptions rather than confirming them</w:t>
      </w:r>
    </w:p>
    <w:p>
      <w:pPr>
        <w:numPr>
          <w:ilvl w:val="0"/>
          <w:numId w:val="1005"/>
        </w:numPr>
        <w:pStyle w:val="Compact"/>
      </w:pPr>
      <w:r>
        <w:rPr>
          <w:bCs/>
          <w:b/>
        </w:rPr>
        <w:t xml:space="preserve">Author Decision Matrix</w:t>
      </w:r>
      <w:r>
        <w:t xml:space="preserve"> </w:t>
      </w:r>
      <w:r>
        <w:t xml:space="preserve">— a summary table of every HIGH-priority open question with a recommended answer, a confidence level, and the research basis</w:t>
      </w:r>
    </w:p>
    <w:p>
      <w:pPr>
        <w:pStyle w:val="FirstParagraph"/>
      </w:pPr>
      <w:r>
        <w:t xml:space="preserve">Your job is to review each matrix, mark your decision (Approve / Modify / Defer), and apply ONESTAMP to the approved elements. That is the complete path to moving all three projects forward today.</w:t>
      </w:r>
    </w:p>
    <w:p>
      <w:r>
        <w:pict>
          <v:rect style="width:0;height:1.5pt" o:hralign="center" o:hrstd="t" o:hr="t"/>
        </w:pict>
      </w:r>
    </w:p>
    <w:bookmarkEnd w:id="22"/>
    <w:bookmarkStart w:id="30" w:name="Xb261c861c05ceb131343461cbe95d5ebdd27c85"/>
    <w:p>
      <w:pPr>
        <w:pStyle w:val="Heading2"/>
      </w:pPr>
      <w:r>
        <w:t xml:space="preserve">2. Project 1 — Kinetic Threshold Demonstration &amp; Open Ocean Parley</w:t>
      </w:r>
    </w:p>
    <w:bookmarkStart w:id="23" w:name="key-development-items-summary"/>
    <w:p>
      <w:pPr>
        <w:pStyle w:val="Heading3"/>
      </w:pPr>
      <w:r>
        <w:t xml:space="preserve">2.1 Key Development Items Summary</w:t>
      </w:r>
    </w:p>
    <w:p>
      <w:pPr>
        <w:pStyle w:val="FirstParagraph"/>
      </w:pPr>
      <w:r>
        <w:t xml:space="preserve">From OAL-DOSSIER-CANON-001 v1.0.0, the following HIGH-priority items remain unresolved: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Item</w:t>
            </w:r>
          </w:p>
        </w:tc>
        <w:tc>
          <w:tcPr/>
          <w:p>
            <w:pPr>
              <w:pStyle w:val="Compact"/>
              <w:jc w:val="left"/>
            </w:pPr>
            <w:r>
              <w:t xml:space="preserve">Status</w:t>
            </w:r>
          </w:p>
        </w:tc>
      </w:tr>
      <w:tr>
        <w:tc>
          <w:tcPr/>
          <w:p>
            <w:pPr>
              <w:pStyle w:val="Compact"/>
              <w:jc w:val="left"/>
            </w:pPr>
            <w:r>
              <w:t xml:space="preserve">Q1</w:t>
            </w:r>
          </w:p>
        </w:tc>
        <w:tc>
          <w:tcPr/>
          <w:p>
            <w:pPr>
              <w:pStyle w:val="Compact"/>
              <w:jc w:val="left"/>
            </w:pPr>
            <w:r>
              <w:t xml:space="preserve">Timeline: how many years before the theft?</w:t>
            </w:r>
          </w:p>
        </w:tc>
        <w:tc>
          <w:tcPr/>
          <w:p>
            <w:pPr>
              <w:pStyle w:val="Compact"/>
              <w:jc w:val="left"/>
            </w:pPr>
            <w:r>
              <w:t xml:space="preserve">UNRESOLVED</w:t>
            </w:r>
          </w:p>
        </w:tc>
      </w:tr>
      <w:tr>
        <w:tc>
          <w:tcPr/>
          <w:p>
            <w:pPr>
              <w:pStyle w:val="Compact"/>
              <w:jc w:val="left"/>
            </w:pPr>
            <w:r>
              <w:t xml:space="preserve">Q3</w:t>
            </w:r>
          </w:p>
        </w:tc>
        <w:tc>
          <w:tcPr/>
          <w:p>
            <w:pPr>
              <w:pStyle w:val="Compact"/>
              <w:jc w:val="left"/>
            </w:pPr>
            <w:r>
              <w:t xml:space="preserve">Audience composition at the armor demo</w:t>
            </w:r>
          </w:p>
        </w:tc>
        <w:tc>
          <w:tcPr/>
          <w:p>
            <w:pPr>
              <w:pStyle w:val="Compact"/>
              <w:jc w:val="left"/>
            </w:pPr>
            <w:r>
              <w:t xml:space="preserve">UNRESOLVED</w:t>
            </w:r>
          </w:p>
        </w:tc>
      </w:tr>
      <w:tr>
        <w:tc>
          <w:tcPr/>
          <w:p>
            <w:pPr>
              <w:pStyle w:val="Compact"/>
              <w:jc w:val="left"/>
            </w:pPr>
            <w:r>
              <w:t xml:space="preserve">Q5</w:t>
            </w:r>
          </w:p>
        </w:tc>
        <w:tc>
          <w:tcPr/>
          <w:p>
            <w:pPr>
              <w:pStyle w:val="Compact"/>
              <w:jc w:val="left"/>
            </w:pPr>
            <w:r>
              <w:t xml:space="preserve">Nathan’s control mechanism over the synthetics</w:t>
            </w:r>
          </w:p>
        </w:tc>
        <w:tc>
          <w:tcPr/>
          <w:p>
            <w:pPr>
              <w:pStyle w:val="Compact"/>
              <w:jc w:val="left"/>
            </w:pPr>
            <w:r>
              <w:t xml:space="preserve">UNRESOLVED</w:t>
            </w:r>
          </w:p>
        </w:tc>
      </w:tr>
      <w:tr>
        <w:tc>
          <w:tcPr/>
          <w:p>
            <w:pPr>
              <w:pStyle w:val="Compact"/>
              <w:jc w:val="left"/>
            </w:pPr>
            <w:r>
              <w:t xml:space="preserve">Q7</w:t>
            </w:r>
          </w:p>
        </w:tc>
        <w:tc>
          <w:tcPr/>
          <w:p>
            <w:pPr>
              <w:pStyle w:val="Compact"/>
              <w:jc w:val="left"/>
            </w:pPr>
            <w:r>
              <w:t xml:space="preserve">Third-shot impact severity for Beta</w:t>
            </w:r>
          </w:p>
        </w:tc>
        <w:tc>
          <w:tcPr/>
          <w:p>
            <w:pPr>
              <w:pStyle w:val="Compact"/>
              <w:jc w:val="left"/>
            </w:pPr>
            <w:r>
              <w:t xml:space="preserve">UNRESOLVED</w:t>
            </w:r>
          </w:p>
        </w:tc>
      </w:tr>
      <w:tr>
        <w:tc>
          <w:tcPr/>
          <w:p>
            <w:pPr>
              <w:pStyle w:val="Compact"/>
              <w:jc w:val="left"/>
            </w:pPr>
            <w:r>
              <w:t xml:space="preserve">Q9</w:t>
            </w:r>
          </w:p>
        </w:tc>
        <w:tc>
          <w:tcPr/>
          <w:p>
            <w:pPr>
              <w:pStyle w:val="Compact"/>
              <w:jc w:val="left"/>
            </w:pPr>
            <w:r>
              <w:t xml:space="preserve">Demo classification: public, internal, or classified joint?</w:t>
            </w:r>
          </w:p>
        </w:tc>
        <w:tc>
          <w:tcPr/>
          <w:p>
            <w:pPr>
              <w:pStyle w:val="Compact"/>
              <w:jc w:val="left"/>
            </w:pPr>
            <w:r>
              <w:t xml:space="preserve">UNRESOLVED</w:t>
            </w:r>
          </w:p>
        </w:tc>
      </w:tr>
      <w:tr>
        <w:tc>
          <w:tcPr/>
          <w:p>
            <w:pPr>
              <w:pStyle w:val="Compact"/>
              <w:jc w:val="left"/>
            </w:pPr>
            <w:r>
              <w:t xml:space="preserve">Q10</w:t>
            </w:r>
          </w:p>
        </w:tc>
        <w:tc>
          <w:tcPr/>
          <w:p>
            <w:pPr>
              <w:pStyle w:val="Compact"/>
              <w:jc w:val="left"/>
            </w:pPr>
            <w:r>
              <w:t xml:space="preserve">Timeline placement for Ocean Meeting</w:t>
            </w:r>
          </w:p>
        </w:tc>
        <w:tc>
          <w:tcPr/>
          <w:p>
            <w:pPr>
              <w:pStyle w:val="Compact"/>
              <w:jc w:val="left"/>
            </w:pPr>
            <w:r>
              <w:t xml:space="preserve">UNRESOLVED</w:t>
            </w:r>
          </w:p>
        </w:tc>
      </w:tr>
      <w:tr>
        <w:tc>
          <w:tcPr/>
          <w:p>
            <w:pPr>
              <w:pStyle w:val="Compact"/>
              <w:jc w:val="left"/>
            </w:pPr>
            <w:r>
              <w:t xml:space="preserve">Q12</w:t>
            </w:r>
          </w:p>
        </w:tc>
        <w:tc>
          <w:tcPr/>
          <w:p>
            <w:pPr>
              <w:pStyle w:val="Compact"/>
              <w:jc w:val="left"/>
            </w:pPr>
            <w:r>
              <w:t xml:space="preserve">Colleague archetype</w:t>
            </w:r>
          </w:p>
        </w:tc>
        <w:tc>
          <w:tcPr/>
          <w:p>
            <w:pPr>
              <w:pStyle w:val="Compact"/>
              <w:jc w:val="left"/>
            </w:pPr>
            <w:r>
              <w:t xml:space="preserve">UNRESOLVED</w:t>
            </w:r>
          </w:p>
        </w:tc>
      </w:tr>
      <w:tr>
        <w:tc>
          <w:tcPr/>
          <w:p>
            <w:pPr>
              <w:pStyle w:val="Compact"/>
              <w:jc w:val="left"/>
            </w:pPr>
            <w:r>
              <w:t xml:space="preserve">Q14/Q15</w:t>
            </w:r>
          </w:p>
        </w:tc>
        <w:tc>
          <w:tcPr/>
          <w:p>
            <w:pPr>
              <w:pStyle w:val="Compact"/>
              <w:jc w:val="left"/>
            </w:pPr>
            <w:r>
              <w:t xml:space="preserve">Meeting surface and real objectives</w:t>
            </w:r>
          </w:p>
        </w:tc>
        <w:tc>
          <w:tcPr/>
          <w:p>
            <w:pPr>
              <w:pStyle w:val="Compact"/>
              <w:jc w:val="left"/>
            </w:pPr>
            <w:r>
              <w:t xml:space="preserve">UNRESOLVED</w:t>
            </w:r>
          </w:p>
        </w:tc>
      </w:tr>
      <w:tr>
        <w:tc>
          <w:tcPr/>
          <w:p>
            <w:pPr>
              <w:pStyle w:val="Compact"/>
              <w:jc w:val="left"/>
            </w:pPr>
            <w:r>
              <w:t xml:space="preserve">Q17</w:t>
            </w:r>
          </w:p>
        </w:tc>
        <w:tc>
          <w:tcPr/>
          <w:p>
            <w:pPr>
              <w:pStyle w:val="Compact"/>
              <w:jc w:val="left"/>
            </w:pPr>
            <w:r>
              <w:t xml:space="preserve">What changes hands</w:t>
            </w:r>
          </w:p>
        </w:tc>
        <w:tc>
          <w:tcPr/>
          <w:p>
            <w:pPr>
              <w:pStyle w:val="Compact"/>
              <w:jc w:val="left"/>
            </w:pPr>
            <w:r>
              <w:t xml:space="preserve">UNRESOLVED</w:t>
            </w:r>
          </w:p>
        </w:tc>
      </w:tr>
      <w:tr>
        <w:tc>
          <w:tcPr/>
          <w:p>
            <w:pPr>
              <w:pStyle w:val="Compact"/>
              <w:jc w:val="left"/>
            </w:pPr>
            <w:r>
              <w:t xml:space="preserve">Q18</w:t>
            </w:r>
          </w:p>
        </w:tc>
        <w:tc>
          <w:tcPr/>
          <w:p>
            <w:pPr>
              <w:pStyle w:val="Compact"/>
              <w:jc w:val="left"/>
            </w:pPr>
            <w:r>
              <w:t xml:space="preserve">Does Nathan leave with advantage, compromise, or disadvantage?</w:t>
            </w:r>
          </w:p>
        </w:tc>
        <w:tc>
          <w:tcPr/>
          <w:p>
            <w:pPr>
              <w:pStyle w:val="Compact"/>
              <w:jc w:val="left"/>
            </w:pPr>
            <w:r>
              <w:t xml:space="preserve">UNRESOLVED</w:t>
            </w:r>
          </w:p>
        </w:tc>
      </w:tr>
    </w:tbl>
    <w:p>
      <w:r>
        <w:pict>
          <v:rect style="width:0;height:1.5pt" o:hralign="center" o:hrstd="t" o:hr="t"/>
        </w:pict>
      </w:r>
    </w:p>
    <w:bookmarkEnd w:id="23"/>
    <w:bookmarkStart w:id="24" w:name="X5dcb3f986e1e2afd9e7091d03671c0afaf66c37"/>
    <w:p>
      <w:pPr>
        <w:pStyle w:val="Heading3"/>
      </w:pPr>
      <w:r>
        <w:t xml:space="preserve">2.2 Research &amp; Analysis: Kinetic Armor Technology</w:t>
      </w:r>
    </w:p>
    <w:p>
      <w:pPr>
        <w:pStyle w:val="FirstParagraph"/>
      </w:pPr>
      <w:r>
        <w:rPr>
          <w:bCs/>
          <w:b/>
        </w:rPr>
        <w:t xml:space="preserve">The Real-World Context for Kinetic Redirection Armor</w:t>
      </w:r>
    </w:p>
    <w:p>
      <w:pPr>
        <w:pStyle w:val="BodyText"/>
      </w:pPr>
      <w:r>
        <w:t xml:space="preserve">Real active protection systems (APS) for military vehicles currently operate on intercept-and-destroy logic — not redirection. The Trophy system (Israel), Iron Fist, and Rheinmetall StrikeShield all destroy or deflect incoming threats using fragmentation charges or directed energy, typically within 6–15 meters of the protected vehicle. None currently achieve the</w:t>
      </w:r>
      <w:r>
        <w:t xml:space="preserve"> </w:t>
      </w:r>
      <w:r>
        <w:rPr>
          <w:iCs/>
          <w:i/>
        </w:rPr>
        <w:t xml:space="preserve">energy storage and return</w:t>
      </w:r>
      <w:r>
        <w:t xml:space="preserve"> </w:t>
      </w:r>
      <w:r>
        <w:t xml:space="preserve">mechanic that the three-shot protocol describes.</w:t>
      </w:r>
    </w:p>
    <w:p>
      <w:pPr>
        <w:pStyle w:val="BodyText"/>
      </w:pPr>
      <w:r>
        <w:rPr>
          <w:bCs/>
          <w:b/>
        </w:rPr>
        <w:t xml:space="preserve">What Supports the Design (Pro):</w:t>
      </w:r>
    </w:p>
    <w:p>
      <w:pPr>
        <w:numPr>
          <w:ilvl w:val="0"/>
          <w:numId w:val="1006"/>
        </w:numPr>
        <w:pStyle w:val="Compact"/>
      </w:pPr>
      <w:r>
        <w:t xml:space="preserve">Explosive Reactive Armor (ERA) already uses</w:t>
      </w:r>
      <w:r>
        <w:t xml:space="preserve"> </w:t>
      </w:r>
      <w:r>
        <w:rPr>
          <w:iCs/>
          <w:i/>
        </w:rPr>
        <w:t xml:space="preserve">kinetic energy manipulation</w:t>
      </w:r>
      <w:r>
        <w:t xml:space="preserve"> </w:t>
      </w:r>
      <w:r>
        <w:t xml:space="preserve">— the flyer plates move</w:t>
      </w:r>
      <w:r>
        <w:t xml:space="preserve"> </w:t>
      </w:r>
      <w:r>
        <w:rPr>
          <w:iCs/>
          <w:i/>
        </w:rPr>
        <w:t xml:space="preserve">across</w:t>
      </w:r>
      <w:r>
        <w:t xml:space="preserve"> </w:t>
      </w:r>
      <w:r>
        <w:t xml:space="preserve">an incoming jet, feeding armor material into the interaction. The underlying physics of kinetic energy being managed rather than simply blocked is credible as a direction of travel for advanced materials science.</w:t>
      </w:r>
    </w:p>
    <w:p>
      <w:pPr>
        <w:numPr>
          <w:ilvl w:val="0"/>
          <w:numId w:val="1006"/>
        </w:numPr>
        <w:pStyle w:val="Compact"/>
      </w:pPr>
      <w:r>
        <w:t xml:space="preserve">Rheinmetall’s StrikeShield, as of 2025, is being tested against kinetic energy penetrators (APFSDS rounds) — demonstrating that the field is actively extending toward harder KE threats.</w:t>
      </w:r>
    </w:p>
    <w:p>
      <w:pPr>
        <w:numPr>
          <w:ilvl w:val="0"/>
          <w:numId w:val="1006"/>
        </w:numPr>
        <w:pStyle w:val="Compact"/>
      </w:pPr>
      <w:r>
        <w:t xml:space="preserve">Non-Explosive Reactive Armor (NERA) variants exist specifically to reduce collateral risk, suggesting the field is already pursuing more controlled energy management.</w:t>
      </w:r>
    </w:p>
    <w:p>
      <w:pPr>
        <w:numPr>
          <w:ilvl w:val="0"/>
          <w:numId w:val="1006"/>
        </w:numPr>
        <w:pStyle w:val="Compact"/>
      </w:pPr>
      <w:r>
        <w:t xml:space="preserve">The</w:t>
      </w:r>
      <w:r>
        <w:t xml:space="preserve"> </w:t>
      </w:r>
      <w:r>
        <w:t xml:space="preserve">“</w:t>
      </w:r>
      <w:r>
        <w:t xml:space="preserve">three-shot protocol</w:t>
      </w:r>
      <w:r>
        <w:t xml:space="preserve">”</w:t>
      </w:r>
      <w:r>
        <w:t xml:space="preserve"> </w:t>
      </w:r>
      <w:r>
        <w:t xml:space="preserve">is narratively distinct and memorable precisely because it departs from real-world intercept logic — this is appropriate for science fiction set in a near-future corporate R&amp;D context.</w:t>
      </w:r>
    </w:p>
    <w:p>
      <w:pPr>
        <w:pStyle w:val="FirstParagraph"/>
      </w:pPr>
      <w:r>
        <w:rPr>
          <w:bCs/>
          <w:b/>
        </w:rPr>
        <w:t xml:space="preserve">What Challenges the Design (Contra — Anti-Confirmation Bias):</w:t>
      </w:r>
    </w:p>
    <w:p>
      <w:pPr>
        <w:numPr>
          <w:ilvl w:val="0"/>
          <w:numId w:val="1007"/>
        </w:numPr>
        <w:pStyle w:val="Compact"/>
      </w:pPr>
      <w:r>
        <w:t xml:space="preserve">The energy storage-and-return mechanic (kinetic energy accumulated across two hits and redirected on the third) has no current physical analog. Real-world ERA is single-use per tile; it does not accumulate energy across multiple impacts.</w:t>
      </w:r>
    </w:p>
    <w:p>
      <w:pPr>
        <w:numPr>
          <w:ilvl w:val="0"/>
          <w:numId w:val="1007"/>
        </w:numPr>
        <w:pStyle w:val="Compact"/>
      </w:pPr>
      <w:r>
        <w:t xml:space="preserve">At realistic military projectile velocities (2,000+ m/s for APFSDS), the forces involved would require armor capable of absorbing and storing ~10,000 joules or more per round before redirecting — this pushes into theoretical metamaterial territory with no current prototype.</w:t>
      </w:r>
    </w:p>
    <w:p>
      <w:pPr>
        <w:numPr>
          <w:ilvl w:val="0"/>
          <w:numId w:val="1007"/>
        </w:numPr>
        <w:pStyle w:val="Compact"/>
      </w:pPr>
      <w:r>
        <w:t xml:space="preserve">“</w:t>
      </w:r>
      <w:r>
        <w:t xml:space="preserve">Armor resets to baseline after sustained period without fire</w:t>
      </w:r>
      <w:r>
        <w:t xml:space="preserve">”</w:t>
      </w:r>
      <w:r>
        <w:t xml:space="preserve"> </w:t>
      </w:r>
      <w:r>
        <w:t xml:space="preserve">implies active energy bleed-off. This suggests the armor is also a powered system, not purely passive — which significantly changes its form factor and vulnerability profile.</w:t>
      </w:r>
    </w:p>
    <w:p>
      <w:pPr>
        <w:numPr>
          <w:ilvl w:val="0"/>
          <w:numId w:val="1007"/>
        </w:numPr>
        <w:pStyle w:val="Compact"/>
      </w:pPr>
      <w:r>
        <w:t xml:space="preserve">Critics of power-armor fiction often note that energy storage at projectile scale creates secondary detonation risk; the story should address what happens if the armor is destroyed before the third shot cycles.</w:t>
      </w:r>
    </w:p>
    <w:p>
      <w:pPr>
        <w:pStyle w:val="FirstParagraph"/>
      </w:pPr>
      <w:r>
        <w:rPr>
          <w:bCs/>
          <w:b/>
        </w:rPr>
        <w:t xml:space="preserve">Research Verdict:</w:t>
      </w:r>
      <w:r>
        <w:t xml:space="preserve"> </w:t>
      </w:r>
      <w:r>
        <w:t xml:space="preserve">The concept is internally consistent as near-future speculative fiction and is grounded in real directional developments in APS research. The three-shot protocol is not implausible — it is ahead of current capability in a direction the field is actively pursuing. The design works. The failure mode gap (what happens if Beta is destroyed before shot three) should be addressed for narrative resilience.</w:t>
      </w:r>
    </w:p>
    <w:p>
      <w:r>
        <w:pict>
          <v:rect style="width:0;height:1.5pt" o:hralign="center" o:hrstd="t" o:hr="t"/>
        </w:pict>
      </w:r>
    </w:p>
    <w:bookmarkEnd w:id="24"/>
    <w:bookmarkStart w:id="25" w:name="Xd215c434bba3082a4ce35258f3d03598d6e80eb"/>
    <w:p>
      <w:pPr>
        <w:pStyle w:val="Heading3"/>
      </w:pPr>
      <w:r>
        <w:t xml:space="preserve">2.3 Research &amp; Analysis: Synthetic Humanoid Control</w:t>
      </w:r>
    </w:p>
    <w:p>
      <w:pPr>
        <w:pStyle w:val="FirstParagraph"/>
      </w:pPr>
      <w:r>
        <w:rPr>
          <w:bCs/>
          <w:b/>
        </w:rPr>
        <w:t xml:space="preserve">Brain-Computer Interface (BCI) Control of Humanoids — Current State</w:t>
      </w:r>
    </w:p>
    <w:p>
      <w:pPr>
        <w:pStyle w:val="BodyText"/>
      </w:pPr>
      <w:r>
        <w:t xml:space="preserve">Peer-reviewed research published in</w:t>
      </w:r>
      <w:r>
        <w:t xml:space="preserve"> </w:t>
      </w:r>
      <w:r>
        <w:rPr>
          <w:iCs/>
          <w:i/>
        </w:rPr>
        <w:t xml:space="preserve">Sensors (Basel)</w:t>
      </w:r>
      <w:r>
        <w:t xml:space="preserve"> </w:t>
      </w:r>
      <w:r>
        <w:t xml:space="preserve">documents real-world BCI-based humanoid control using EEG signals. Current systems achieve 78–87% real-time accuracy in directing humanoid movement through brain signals, using TCP/IP client-server architecture between the BCI system and the robot.</w:t>
      </w:r>
    </w:p>
    <w:p>
      <w:pPr>
        <w:pStyle w:val="BodyText"/>
      </w:pPr>
      <w:r>
        <w:rPr>
          <w:bCs/>
          <w:b/>
        </w:rPr>
        <w:t xml:space="preserve">What Supports the Design (Pro):</w:t>
      </w:r>
    </w:p>
    <w:p>
      <w:pPr>
        <w:numPr>
          <w:ilvl w:val="0"/>
          <w:numId w:val="1008"/>
        </w:numPr>
        <w:pStyle w:val="Compact"/>
      </w:pPr>
      <w:r>
        <w:t xml:space="preserve">BCI-based humanoid control is not speculative — it is already demonstrated in laboratory conditions. The narrative merely requires an advanced, proprietary version of existing technology.</w:t>
      </w:r>
    </w:p>
    <w:p>
      <w:pPr>
        <w:numPr>
          <w:ilvl w:val="0"/>
          <w:numId w:val="1008"/>
        </w:numPr>
        <w:pStyle w:val="Compact"/>
      </w:pPr>
      <w:r>
        <w:t xml:space="preserve">“</w:t>
      </w:r>
      <w:r>
        <w:t xml:space="preserve">Scripted AI</w:t>
      </w:r>
      <w:r>
        <w:t xml:space="preserve">”</w:t>
      </w:r>
      <w:r>
        <w:t xml:space="preserve"> </w:t>
      </w:r>
      <w:r>
        <w:t xml:space="preserve">(pre-programmed behavioral sequences) is the most technically grounded option — the synthetics execute a scripted demonstration sequence triggered by Nathan, requiring no real-time control complexity.</w:t>
      </w:r>
    </w:p>
    <w:p>
      <w:pPr>
        <w:numPr>
          <w:ilvl w:val="0"/>
          <w:numId w:val="1008"/>
        </w:numPr>
        <w:pStyle w:val="Compact"/>
      </w:pPr>
      <w:r>
        <w:t xml:space="preserve">A</w:t>
      </w:r>
      <w:r>
        <w:t xml:space="preserve"> </w:t>
      </w:r>
      <w:r>
        <w:t xml:space="preserve">“</w:t>
      </w:r>
      <w:r>
        <w:t xml:space="preserve">proprietary hybrid</w:t>
      </w:r>
      <w:r>
        <w:t xml:space="preserve">”</w:t>
      </w:r>
      <w:r>
        <w:t xml:space="preserve"> </w:t>
      </w:r>
      <w:r>
        <w:t xml:space="preserve">(pre-scripted with Nathan able to intervene via interface) is the most dramatically interesting and technically defensible choice — it gives Nathan visible authority without requiring the audience to understand the mechanism.</w:t>
      </w:r>
    </w:p>
    <w:p>
      <w:pPr>
        <w:numPr>
          <w:ilvl w:val="0"/>
          <w:numId w:val="1008"/>
        </w:numPr>
        <w:pStyle w:val="Compact"/>
      </w:pPr>
      <w:r>
        <w:t xml:space="preserve">The Uncanny Valley phenomenon (documented in neuroscience literature) is relevant: an audience observing synthetics perform a combat demonstration would experience heightened psychological response precisely at the threshold of human-likeness. This is a free dramatic tension element if the synthetics are designed at or near the Uncanny Valley boundary.</w:t>
      </w:r>
    </w:p>
    <w:p>
      <w:pPr>
        <w:pStyle w:val="FirstParagraph"/>
      </w:pPr>
      <w:r>
        <w:rPr>
          <w:bCs/>
          <w:b/>
        </w:rPr>
        <w:t xml:space="preserve">What Challenges the Design (Contra):</w:t>
      </w:r>
    </w:p>
    <w:p>
      <w:pPr>
        <w:numPr>
          <w:ilvl w:val="0"/>
          <w:numId w:val="1009"/>
        </w:numPr>
        <w:pStyle w:val="Compact"/>
      </w:pPr>
      <w:r>
        <w:t xml:space="preserve">Full real-time neural control at the fidelity required for a live weapons demonstration is currently not achievable outside laboratory conditions with careful calibration. A public demonstration relying on this would be a liability risk.</w:t>
      </w:r>
    </w:p>
    <w:p>
      <w:pPr>
        <w:numPr>
          <w:ilvl w:val="0"/>
          <w:numId w:val="1009"/>
        </w:numPr>
        <w:pStyle w:val="Compact"/>
      </w:pPr>
      <w:r>
        <w:t xml:space="preserve">If Nathan controls the synthetics via neural link during the demonstration, the scene implies the First Memory or a similar technology is active — this may over-expose that thread earlier than intended.</w:t>
      </w:r>
    </w:p>
    <w:p>
      <w:pPr>
        <w:pStyle w:val="FirstParagraph"/>
      </w:pPr>
      <w:r>
        <w:rPr>
          <w:bCs/>
          <w:b/>
        </w:rPr>
        <w:t xml:space="preserve">Research Verdict for Q5:</w:t>
      </w:r>
      <w:r>
        <w:t xml:space="preserve"> </w:t>
      </w:r>
      <w:r>
        <w:t xml:space="preserve">Recommended control mechanism:</w:t>
      </w:r>
      <w:r>
        <w:t xml:space="preserve"> </w:t>
      </w:r>
      <w:r>
        <w:rPr>
          <w:bCs/>
          <w:b/>
        </w:rPr>
        <w:t xml:space="preserve">pre-scripted AI with Nathan holding a manual override capability</w:t>
      </w:r>
      <w:r>
        <w:t xml:space="preserve">. This is the most defensible, least over-exposing option. The scripted sequence runs autonomously; Nathan’s visible calm comes from knowing exactly what will happen; the override exists if something goes wrong (creating a failure-mode possibility for later canon). This also keeps the First Memory thread from premature exposure.</w:t>
      </w:r>
    </w:p>
    <w:p>
      <w:r>
        <w:pict>
          <v:rect style="width:0;height:1.5pt" o:hralign="center" o:hrstd="t" o:hr="t"/>
        </w:pict>
      </w:r>
    </w:p>
    <w:bookmarkEnd w:id="25"/>
    <w:bookmarkStart w:id="26" w:name="X71378da151c6c0b6feaada470ec4c5890f166b5"/>
    <w:p>
      <w:pPr>
        <w:pStyle w:val="Heading3"/>
      </w:pPr>
      <w:r>
        <w:t xml:space="preserve">2.4 Research &amp; Analysis: Corporate Weapons Demonstration Ethics</w:t>
      </w:r>
    </w:p>
    <w:p>
      <w:pPr>
        <w:pStyle w:val="FirstParagraph"/>
      </w:pPr>
      <w:r>
        <w:rPr>
          <w:bCs/>
          <w:b/>
        </w:rPr>
        <w:t xml:space="preserve">The Military-Industrial Complex Dynamic</w:t>
      </w:r>
    </w:p>
    <w:p>
      <w:pPr>
        <w:pStyle w:val="BodyText"/>
      </w:pPr>
      <w:r>
        <w:t xml:space="preserve">Eisenhower’s 1961 warning about the military-industrial complex is directly relevant to the ONE Industries / Nathan Lewis archetype. Historical analysis confirms that corporate weapons demonstrations to joint corporate-government audiences are a real practice, with:</w:t>
      </w:r>
    </w:p>
    <w:p>
      <w:pPr>
        <w:numPr>
          <w:ilvl w:val="0"/>
          <w:numId w:val="1010"/>
        </w:numPr>
        <w:pStyle w:val="Compact"/>
      </w:pPr>
      <w:r>
        <w:t xml:space="preserve">Invited military brass and acquisition officers</w:t>
      </w:r>
    </w:p>
    <w:p>
      <w:pPr>
        <w:numPr>
          <w:ilvl w:val="0"/>
          <w:numId w:val="1010"/>
        </w:numPr>
        <w:pStyle w:val="Compact"/>
      </w:pPr>
      <w:r>
        <w:t xml:space="preserve">Corporate board members and investors</w:t>
      </w:r>
    </w:p>
    <w:p>
      <w:pPr>
        <w:numPr>
          <w:ilvl w:val="0"/>
          <w:numId w:val="1010"/>
        </w:numPr>
        <w:pStyle w:val="Compact"/>
      </w:pPr>
      <w:r>
        <w:t xml:space="preserve">Occasionally, ethics or oversight representatives (more often in contemporary demonstrations than historical ones)</w:t>
      </w:r>
    </w:p>
    <w:p>
      <w:pPr>
        <w:numPr>
          <w:ilvl w:val="0"/>
          <w:numId w:val="1010"/>
        </w:numPr>
        <w:pStyle w:val="Compact"/>
      </w:pPr>
      <w:r>
        <w:t xml:space="preserve">NDAs and classification levels that vary by prototype sensitivity</w:t>
      </w:r>
    </w:p>
    <w:p>
      <w:pPr>
        <w:pStyle w:val="FirstParagraph"/>
      </w:pPr>
      <w:r>
        <w:rPr>
          <w:bCs/>
          <w:b/>
        </w:rPr>
        <w:t xml:space="preserve">What Supports Q9 — Classified Joint (Corp-Gov) as the Audience:</w:t>
      </w:r>
    </w:p>
    <w:p>
      <w:pPr>
        <w:numPr>
          <w:ilvl w:val="0"/>
          <w:numId w:val="1011"/>
        </w:numPr>
        <w:pStyle w:val="Compact"/>
      </w:pPr>
      <w:r>
        <w:t xml:space="preserve">The three-shot protocol armor represents a significant departure from existing APS doctrine — its existence would be classified at the prototype stage</w:t>
      </w:r>
    </w:p>
    <w:p>
      <w:pPr>
        <w:numPr>
          <w:ilvl w:val="0"/>
          <w:numId w:val="1011"/>
        </w:numPr>
        <w:pStyle w:val="Compact"/>
      </w:pPr>
      <w:r>
        <w:t xml:space="preserve">Nathan’s description as a</w:t>
      </w:r>
      <w:r>
        <w:t xml:space="preserve"> </w:t>
      </w:r>
      <w:r>
        <w:t xml:space="preserve">“</w:t>
      </w:r>
      <w:r>
        <w:t xml:space="preserve">face of company and technology</w:t>
      </w:r>
      <w:r>
        <w:t xml:space="preserve">”</w:t>
      </w:r>
      <w:r>
        <w:t xml:space="preserve"> </w:t>
      </w:r>
      <w:r>
        <w:t xml:space="preserve">suggests controlled revelation rather than public announcement</w:t>
      </w:r>
    </w:p>
    <w:p>
      <w:pPr>
        <w:numPr>
          <w:ilvl w:val="0"/>
          <w:numId w:val="1011"/>
        </w:numPr>
        <w:pStyle w:val="Compact"/>
      </w:pPr>
      <w:r>
        <w:t xml:space="preserve">Joint corp-gov classified audiences enable the moral friction element (military interest vs. ethical concern) without requiring public accountability</w:t>
      </w:r>
    </w:p>
    <w:p>
      <w:pPr>
        <w:numPr>
          <w:ilvl w:val="0"/>
          <w:numId w:val="1011"/>
        </w:numPr>
        <w:pStyle w:val="Compact"/>
      </w:pPr>
      <w:r>
        <w:t xml:space="preserve">This is the most narratively interesting and most realistic choice</w:t>
      </w:r>
    </w:p>
    <w:p>
      <w:pPr>
        <w:pStyle w:val="FirstParagraph"/>
      </w:pPr>
      <w:r>
        <w:rPr>
          <w:bCs/>
          <w:b/>
        </w:rPr>
        <w:t xml:space="preserve">What Challenges Public Demo:</w:t>
      </w:r>
    </w:p>
    <w:p>
      <w:pPr>
        <w:numPr>
          <w:ilvl w:val="0"/>
          <w:numId w:val="1012"/>
        </w:numPr>
        <w:pStyle w:val="Compact"/>
      </w:pPr>
      <w:r>
        <w:t xml:space="preserve">A genuinely novel kinetic weapons capability would not be demoed publicly — intellectual property and national security concerns would prevent it</w:t>
      </w:r>
    </w:p>
    <w:p>
      <w:pPr>
        <w:numPr>
          <w:ilvl w:val="0"/>
          <w:numId w:val="1012"/>
        </w:numPr>
        <w:pStyle w:val="Compact"/>
      </w:pPr>
      <w:r>
        <w:t xml:space="preserve">Public demonstration too early undercuts the</w:t>
      </w:r>
      <w:r>
        <w:t xml:space="preserve"> </w:t>
      </w:r>
      <w:r>
        <w:t xml:space="preserve">“</w:t>
      </w:r>
      <w:r>
        <w:t xml:space="preserve">controlled withholding</w:t>
      </w:r>
      <w:r>
        <w:t xml:space="preserve">”</w:t>
      </w:r>
      <w:r>
        <w:t xml:space="preserve"> </w:t>
      </w:r>
      <w:r>
        <w:t xml:space="preserve">tone that Nathan’s character requires</w:t>
      </w:r>
    </w:p>
    <w:p>
      <w:pPr>
        <w:pStyle w:val="FirstParagraph"/>
      </w:pPr>
      <w:r>
        <w:rPr>
          <w:bCs/>
          <w:b/>
        </w:rPr>
        <w:t xml:space="preserve">Research Verdict for Q9:</w:t>
      </w:r>
      <w:r>
        <w:t xml:space="preserve"> </w:t>
      </w:r>
      <w:r>
        <w:t xml:space="preserve">Recommend</w:t>
      </w:r>
      <w:r>
        <w:t xml:space="preserve"> </w:t>
      </w:r>
      <w:r>
        <w:rPr>
          <w:bCs/>
          <w:b/>
        </w:rPr>
        <w:t xml:space="preserve">joint corporate-government classified demonstration</w:t>
      </w:r>
      <w:r>
        <w:t xml:space="preserve"> </w:t>
      </w:r>
      <w:r>
        <w:t xml:space="preserve">with: invited military acquisition officers, ONE Industries board or senior investors, at least one ethics or oversight figure (for moral friction), and NDAs in place. This is both realistic and narratively superior.</w:t>
      </w:r>
    </w:p>
    <w:p>
      <w:r>
        <w:pict>
          <v:rect style="width:0;height:1.5pt" o:hralign="center" o:hrstd="t" o:hr="t"/>
        </w:pict>
      </w:r>
    </w:p>
    <w:bookmarkEnd w:id="26"/>
    <w:bookmarkStart w:id="27" w:name="X696d2ec190c7e6f77610bcc9fc36a5cd0b18eda"/>
    <w:p>
      <w:pPr>
        <w:pStyle w:val="Heading3"/>
      </w:pPr>
      <w:r>
        <w:t xml:space="preserve">2.5 Research &amp; Analysis: Open Ocean Covert Meeting Design</w:t>
      </w:r>
    </w:p>
    <w:p>
      <w:pPr>
        <w:pStyle w:val="FirstParagraph"/>
      </w:pPr>
      <w:r>
        <w:rPr>
          <w:bCs/>
          <w:b/>
        </w:rPr>
        <w:t xml:space="preserve">Historical and Narrative Precedents for Covert Naval Rendezvous</w:t>
      </w:r>
    </w:p>
    <w:p>
      <w:pPr>
        <w:pStyle w:val="BodyText"/>
      </w:pPr>
      <w:r>
        <w:t xml:space="preserve">Naval intelligence history provides rich precedent. During WWII, the Battle of Midway and Coral Sea operations involved covert information exchanges that directly shaped force deployment. The pattern of a high-value principal departing a command vessel for a covert meeting has historical analogs in intelligence operations.</w:t>
      </w:r>
    </w:p>
    <w:p>
      <w:pPr>
        <w:pStyle w:val="BodyText"/>
      </w:pPr>
      <w:r>
        <w:rPr>
          <w:bCs/>
          <w:b/>
        </w:rPr>
        <w:t xml:space="preserve">Transit Method Analysis (Q16):</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Method</w:t>
            </w:r>
          </w:p>
        </w:tc>
        <w:tc>
          <w:tcPr/>
          <w:p>
            <w:pPr>
              <w:pStyle w:val="Compact"/>
              <w:jc w:val="left"/>
            </w:pPr>
            <w:r>
              <w:t xml:space="preserve">Realism</w:t>
            </w:r>
          </w:p>
        </w:tc>
        <w:tc>
          <w:tcPr/>
          <w:p>
            <w:pPr>
              <w:pStyle w:val="Compact"/>
              <w:jc w:val="left"/>
            </w:pPr>
            <w:r>
              <w:t xml:space="preserve">Narrative Tone</w:t>
            </w:r>
          </w:p>
        </w:tc>
        <w:tc>
          <w:tcPr/>
          <w:p>
            <w:pPr>
              <w:pStyle w:val="Compact"/>
              <w:jc w:val="left"/>
            </w:pPr>
            <w:r>
              <w:t xml:space="preserve">Recommendation</w:t>
            </w:r>
          </w:p>
        </w:tc>
      </w:tr>
      <w:tr>
        <w:tc>
          <w:tcPr/>
          <w:p>
            <w:pPr>
              <w:pStyle w:val="Compact"/>
              <w:jc w:val="left"/>
            </w:pPr>
            <w:r>
              <w:t xml:space="preserve">Small launch</w:t>
            </w:r>
          </w:p>
        </w:tc>
        <w:tc>
          <w:tcPr/>
          <w:p>
            <w:pPr>
              <w:pStyle w:val="Compact"/>
              <w:jc w:val="left"/>
            </w:pPr>
            <w:r>
              <w:t xml:space="preserve">High — used in actual intelligence operations</w:t>
            </w:r>
          </w:p>
        </w:tc>
        <w:tc>
          <w:tcPr/>
          <w:p>
            <w:pPr>
              <w:pStyle w:val="Compact"/>
              <w:jc w:val="left"/>
            </w:pPr>
            <w:r>
              <w:t xml:space="preserve">Grounded, tense, deniable</w:t>
            </w:r>
          </w:p>
        </w:tc>
        <w:tc>
          <w:tcPr/>
          <w:p>
            <w:pPr>
              <w:pStyle w:val="Compact"/>
              <w:jc w:val="left"/>
            </w:pPr>
            <w:r>
              <w:t xml:space="preserve">Viable</w:t>
            </w:r>
          </w:p>
        </w:tc>
      </w:tr>
      <w:tr>
        <w:tc>
          <w:tcPr/>
          <w:p>
            <w:pPr>
              <w:pStyle w:val="Compact"/>
              <w:jc w:val="left"/>
            </w:pPr>
            <w:r>
              <w:t xml:space="preserve">Submersible</w:t>
            </w:r>
          </w:p>
        </w:tc>
        <w:tc>
          <w:tcPr/>
          <w:p>
            <w:pPr>
              <w:pStyle w:val="Compact"/>
              <w:jc w:val="left"/>
            </w:pPr>
            <w:r>
              <w:t xml:space="preserve">Medium-high — technology exists, rarely civilian</w:t>
            </w:r>
          </w:p>
        </w:tc>
        <w:tc>
          <w:tcPr/>
          <w:p>
            <w:pPr>
              <w:pStyle w:val="Compact"/>
              <w:jc w:val="left"/>
            </w:pPr>
            <w:r>
              <w:t xml:space="preserve">Covert, high-tech, cinematic</w:t>
            </w:r>
          </w:p>
        </w:tc>
        <w:tc>
          <w:tcPr/>
          <w:p>
            <w:pPr>
              <w:pStyle w:val="Compact"/>
              <w:jc w:val="left"/>
            </w:pPr>
            <w:r>
              <w:t xml:space="preserve">Preferred for tone</w:t>
            </w:r>
          </w:p>
        </w:tc>
      </w:tr>
      <w:tr>
        <w:tc>
          <w:tcPr/>
          <w:p>
            <w:pPr>
              <w:pStyle w:val="Compact"/>
              <w:jc w:val="left"/>
            </w:pPr>
            <w:r>
              <w:t xml:space="preserve">Helicopter</w:t>
            </w:r>
          </w:p>
        </w:tc>
        <w:tc>
          <w:tcPr/>
          <w:p>
            <w:pPr>
              <w:pStyle w:val="Compact"/>
              <w:jc w:val="left"/>
            </w:pPr>
            <w:r>
              <w:t xml:space="preserve">High — but compromises secrecy</w:t>
            </w:r>
          </w:p>
        </w:tc>
        <w:tc>
          <w:tcPr/>
          <w:p>
            <w:pPr>
              <w:pStyle w:val="Compact"/>
              <w:jc w:val="left"/>
            </w:pPr>
            <w:r>
              <w:t xml:space="preserve">Visible, confirmable</w:t>
            </w:r>
          </w:p>
        </w:tc>
        <w:tc>
          <w:tcPr/>
          <w:p>
            <w:pPr>
              <w:pStyle w:val="Compact"/>
              <w:jc w:val="left"/>
            </w:pPr>
            <w:r>
              <w:t xml:space="preserve">Not recommended</w:t>
            </w:r>
          </w:p>
        </w:tc>
      </w:tr>
    </w:tbl>
    <w:p>
      <w:pPr>
        <w:pStyle w:val="BodyText"/>
      </w:pPr>
      <w:r>
        <w:rPr>
          <w:bCs/>
          <w:b/>
        </w:rPr>
        <w:t xml:space="preserve">Meeting Purpose Options Analysis (Q17 — What Changes Hands):</w:t>
      </w:r>
    </w:p>
    <w:p>
      <w:pPr>
        <w:pStyle w:val="BodyText"/>
      </w:pPr>
      <w:r>
        <w:t xml:space="preserve">The most narratively load-bearing option is</w:t>
      </w:r>
      <w:r>
        <w:t xml:space="preserve"> </w:t>
      </w:r>
      <w:r>
        <w:rPr>
          <w:bCs/>
          <w:b/>
        </w:rPr>
        <w:t xml:space="preserve">proof of government surveillance of ONE Industries</w:t>
      </w:r>
      <w:r>
        <w:t xml:space="preserve">. This choice:</w:t>
      </w:r>
    </w:p>
    <w:p>
      <w:pPr>
        <w:numPr>
          <w:ilvl w:val="0"/>
          <w:numId w:val="1013"/>
        </w:numPr>
        <w:pStyle w:val="Compact"/>
      </w:pPr>
      <w:r>
        <w:t xml:space="preserve">Establishes a threat that makes Nathan reactive for the first time (breaking the</w:t>
      </w:r>
      <w:r>
        <w:t xml:space="preserve"> </w:t>
      </w:r>
      <w:r>
        <w:t xml:space="preserve">“</w:t>
      </w:r>
      <w:r>
        <w:t xml:space="preserve">untouchable architect</w:t>
      </w:r>
      <w:r>
        <w:t xml:space="preserve">”</w:t>
      </w:r>
      <w:r>
        <w:t xml:space="preserve"> </w:t>
      </w:r>
      <w:r>
        <w:t xml:space="preserve">pattern)</w:t>
      </w:r>
    </w:p>
    <w:p>
      <w:pPr>
        <w:numPr>
          <w:ilvl w:val="0"/>
          <w:numId w:val="1013"/>
        </w:numPr>
        <w:pStyle w:val="Compact"/>
      </w:pPr>
      <w:r>
        <w:t xml:space="preserve">Sets up the theft storyline naturally (surveillance → Nathan accelerates timeline)</w:t>
      </w:r>
    </w:p>
    <w:p>
      <w:pPr>
        <w:numPr>
          <w:ilvl w:val="0"/>
          <w:numId w:val="1013"/>
        </w:numPr>
        <w:pStyle w:val="Compact"/>
      </w:pPr>
      <w:r>
        <w:t xml:space="preserve">Creates an asymmetric information dynamic (Nathan knows he is watched; government doesn’t know he knows)</w:t>
      </w:r>
    </w:p>
    <w:p>
      <w:pPr>
        <w:numPr>
          <w:ilvl w:val="0"/>
          <w:numId w:val="1013"/>
        </w:numPr>
        <w:pStyle w:val="Compact"/>
      </w:pPr>
      <w:r>
        <w:t xml:space="preserve">Is supported by real-world precedent (government surveillance of defense contractors is documented)</w:t>
      </w:r>
    </w:p>
    <w:p>
      <w:pPr>
        <w:pStyle w:val="FirstParagraph"/>
      </w:pPr>
      <w:r>
        <w:rPr>
          <w:bCs/>
          <w:b/>
        </w:rPr>
        <w:t xml:space="preserve">Nathan’s Outcome (Q18):</w:t>
      </w:r>
    </w:p>
    <w:p>
      <w:pPr>
        <w:pStyle w:val="BodyText"/>
      </w:pPr>
      <w:r>
        <w:t xml:space="preserve">Research on narrative tension and character development strongly supports:</w:t>
      </w:r>
      <w:r>
        <w:t xml:space="preserve"> </w:t>
      </w:r>
      <w:r>
        <w:rPr>
          <w:bCs/>
          <w:b/>
        </w:rPr>
        <w:t xml:space="preserve">Nathan leaves with a disadvantage he chooses to interpret as advantage</w:t>
      </w:r>
      <w:r>
        <w:t xml:space="preserve"> </w:t>
      </w:r>
      <w:r>
        <w:t xml:space="preserve">— i.e., information that changes his calculus but costs him something (trust, time, leverage). This is the most sophisticated character beat and sets up the clearest conflict escalation.</w:t>
      </w:r>
    </w:p>
    <w:p>
      <w:r>
        <w:pict>
          <v:rect style="width:0;height:1.5pt" o:hralign="center" o:hrstd="t" o:hr="t"/>
        </w:pict>
      </w:r>
    </w:p>
    <w:bookmarkEnd w:id="27"/>
    <w:bookmarkStart w:id="28" w:name="confirmation-bias-flags-project-1"/>
    <w:p>
      <w:pPr>
        <w:pStyle w:val="Heading3"/>
      </w:pPr>
      <w:r>
        <w:t xml:space="preserve">2.6 Confirmation Bias Flags — Project 1</w:t>
      </w:r>
    </w:p>
    <w:p>
      <w:pPr>
        <w:pStyle w:val="FirstParagraph"/>
      </w:pPr>
      <w:r>
        <w:t xml:space="preserve">The following items represent places where the existing narrative direction may be reinforcing what Nathan</w:t>
      </w:r>
      <w:r>
        <w:t xml:space="preserve"> </w:t>
      </w:r>
      <w:r>
        <w:rPr>
          <w:iCs/>
          <w:i/>
        </w:rPr>
        <w:t xml:space="preserve">wants</w:t>
      </w:r>
      <w:r>
        <w:t xml:space="preserve"> </w:t>
      </w:r>
      <w:r>
        <w:t xml:space="preserve">to be true rather than what creates the strongest story:</w:t>
      </w:r>
    </w:p>
    <w:p>
      <w:pPr>
        <w:pStyle w:val="BodyText"/>
      </w:pPr>
      <w:r>
        <w:rPr>
          <w:bCs/>
          <w:b/>
        </w:rPr>
        <w:t xml:space="preserve">Flag 1: Nathan as Perpetually In Control</w:t>
      </w:r>
      <w:r>
        <w:t xml:space="preserve"> </w:t>
      </w:r>
      <w:r>
        <w:t xml:space="preserve">Both scenes currently default to Nathan having all the information and being fully in control. Research on compelling antagonist-protagonist dynamics consistently shows that the most memorable demonstrations of power are the ones where something goes</w:t>
      </w:r>
      <w:r>
        <w:t xml:space="preserve"> </w:t>
      </w:r>
      <w:r>
        <w:rPr>
          <w:iCs/>
          <w:i/>
        </w:rPr>
        <w:t xml:space="preserve">slightly</w:t>
      </w:r>
      <w:r>
        <w:t xml:space="preserve"> </w:t>
      </w:r>
      <w:r>
        <w:t xml:space="preserve">wrong and the protagonist handles it with controlled improvisation. A minor anomaly in the armor demo (Beta’s suit cycling out of sequence; an audience member asking a question Nathan didn’t expect) would make Nathan more compelling, not less.</w:t>
      </w:r>
    </w:p>
    <w:p>
      <w:pPr>
        <w:pStyle w:val="BodyText"/>
      </w:pPr>
      <w:r>
        <w:rPr>
          <w:bCs/>
          <w:b/>
        </w:rPr>
        <w:t xml:space="preserve">Flag 2: The Colleague as Information Delivery Vehicle</w:t>
      </w:r>
      <w:r>
        <w:t xml:space="preserve"> </w:t>
      </w:r>
      <w:r>
        <w:t xml:space="preserve">All three colleague archetypes currently function primarily as information sources for Nathan. The most dramatically durable colleague is one who</w:t>
      </w:r>
      <w:r>
        <w:t xml:space="preserve"> </w:t>
      </w:r>
      <w:r>
        <w:rPr>
          <w:bCs/>
          <w:b/>
        </w:rPr>
        <w:t xml:space="preserve">wants something from Nathan</w:t>
      </w:r>
      <w:r>
        <w:t xml:space="preserve"> </w:t>
      </w:r>
      <w:r>
        <w:t xml:space="preserve">that he is not willing or able to give — not one who simply delivers intelligence. The meeting should have a cost to Nathan, not just a benefit.</w:t>
      </w:r>
    </w:p>
    <w:p>
      <w:pPr>
        <w:pStyle w:val="BodyText"/>
      </w:pPr>
      <w:r>
        <w:rPr>
          <w:bCs/>
          <w:b/>
        </w:rPr>
        <w:t xml:space="preserve">Flag 3: Pre-Theft Placement as Default</w:t>
      </w:r>
      <w:r>
        <w:t xml:space="preserve"> </w:t>
      </w:r>
      <w:r>
        <w:t xml:space="preserve">Most AIs recommended pre-theft placement for the ocean meeting. This is correct</w:t>
      </w:r>
      <w:r>
        <w:t xml:space="preserve"> </w:t>
      </w:r>
      <w:r>
        <w:rPr>
          <w:iCs/>
          <w:i/>
        </w:rPr>
        <w:t xml:space="preserve">if</w:t>
      </w:r>
      <w:r>
        <w:t xml:space="preserve"> </w:t>
      </w:r>
      <w:r>
        <w:t xml:space="preserve">Nathan is meant to be proactive and strategic at this stage. However, if the story benefits from showing Nathan first as reactive — managing a threat rather than anticipating one — post-theft placement (per ChatGPT’s recommendation) creates a more grounded and less omnipotent character introduction. This is a genuine decision, not a forgone conclusion.</w:t>
      </w:r>
    </w:p>
    <w:p>
      <w:r>
        <w:pict>
          <v:rect style="width:0;height:1.5pt" o:hralign="center" o:hrstd="t" o:hr="t"/>
        </w:pict>
      </w:r>
    </w:p>
    <w:bookmarkEnd w:id="28"/>
    <w:bookmarkStart w:id="29" w:name="author-decision-matrix-project-1"/>
    <w:p>
      <w:pPr>
        <w:pStyle w:val="Heading3"/>
      </w:pPr>
      <w:r>
        <w:t xml:space="preserve">2.7 Author Decision Matrix — Project 1</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w:t>
            </w:r>
          </w:p>
        </w:tc>
        <w:tc>
          <w:tcPr/>
          <w:p>
            <w:pPr>
              <w:pStyle w:val="Compact"/>
              <w:jc w:val="left"/>
            </w:pPr>
            <w:r>
              <w:t xml:space="preserve">Question</w:t>
            </w:r>
          </w:p>
        </w:tc>
        <w:tc>
          <w:tcPr/>
          <w:p>
            <w:pPr>
              <w:pStyle w:val="Compact"/>
              <w:jc w:val="left"/>
            </w:pPr>
            <w:r>
              <w:t xml:space="preserve">Recommended Answer</w:t>
            </w:r>
          </w:p>
        </w:tc>
        <w:tc>
          <w:tcPr/>
          <w:p>
            <w:pPr>
              <w:pStyle w:val="Compact"/>
              <w:jc w:val="left"/>
            </w:pPr>
            <w:r>
              <w:t xml:space="preserve">Confidence</w:t>
            </w:r>
          </w:p>
        </w:tc>
        <w:tc>
          <w:tcPr/>
          <w:p>
            <w:pPr>
              <w:pStyle w:val="Compact"/>
              <w:jc w:val="left"/>
            </w:pPr>
            <w:r>
              <w:t xml:space="preserve">Research Basis</w:t>
            </w:r>
          </w:p>
        </w:tc>
        <w:tc>
          <w:tcPr/>
          <w:p>
            <w:pPr>
              <w:pStyle w:val="Compact"/>
              <w:jc w:val="left"/>
            </w:pPr>
            <w:r>
              <w:t xml:space="preserve">Your Decision</w:t>
            </w:r>
          </w:p>
        </w:tc>
      </w:tr>
      <w:tr>
        <w:tc>
          <w:tcPr/>
          <w:p>
            <w:pPr>
              <w:pStyle w:val="Compact"/>
              <w:jc w:val="left"/>
            </w:pPr>
            <w:r>
              <w:t xml:space="preserve">Q1</w:t>
            </w:r>
          </w:p>
        </w:tc>
        <w:tc>
          <w:tcPr/>
          <w:p>
            <w:pPr>
              <w:pStyle w:val="Compact"/>
              <w:jc w:val="left"/>
            </w:pPr>
            <w:r>
              <w:t xml:space="preserve">Years before theft?</w:t>
            </w:r>
          </w:p>
        </w:tc>
        <w:tc>
          <w:tcPr/>
          <w:p>
            <w:pPr>
              <w:pStyle w:val="Compact"/>
              <w:jc w:val="left"/>
            </w:pPr>
            <w:r>
              <w:rPr>
                <w:bCs/>
                <w:b/>
              </w:rPr>
              <w:t xml:space="preserve">3 years</w:t>
            </w:r>
          </w:p>
        </w:tc>
        <w:tc>
          <w:tcPr/>
          <w:p>
            <w:pPr>
              <w:pStyle w:val="Compact"/>
              <w:jc w:val="left"/>
            </w:pPr>
            <w:r>
              <w:t xml:space="preserve">High</w:t>
            </w:r>
          </w:p>
        </w:tc>
        <w:tc>
          <w:tcPr/>
          <w:p>
            <w:pPr>
              <w:pStyle w:val="Compact"/>
              <w:jc w:val="left"/>
            </w:pPr>
            <w:r>
              <w:t xml:space="preserve">Allows for relationship arcs before crisis; avoids</w:t>
            </w:r>
            <w:r>
              <w:t xml:space="preserve"> </w:t>
            </w:r>
            <w:r>
              <w:t xml:space="preserve">“</w:t>
            </w:r>
            <w:r>
              <w:t xml:space="preserve">too early to matter</w:t>
            </w:r>
            <w:r>
              <w:t xml:space="preserve">”</w:t>
            </w:r>
            <w:r>
              <w:t xml:space="preserve"> </w:t>
            </w:r>
            <w:r>
              <w:t xml:space="preserve">problem</w:t>
            </w:r>
          </w:p>
        </w:tc>
        <w:tc>
          <w:tcPr/>
          <w:p>
            <w:pPr>
              <w:pStyle w:val="Compact"/>
            </w:pPr>
          </w:p>
        </w:tc>
      </w:tr>
      <w:tr>
        <w:tc>
          <w:tcPr/>
          <w:p>
            <w:pPr>
              <w:pStyle w:val="Compact"/>
              <w:jc w:val="left"/>
            </w:pPr>
            <w:r>
              <w:t xml:space="preserve">Q3</w:t>
            </w:r>
          </w:p>
        </w:tc>
        <w:tc>
          <w:tcPr/>
          <w:p>
            <w:pPr>
              <w:pStyle w:val="Compact"/>
              <w:jc w:val="left"/>
            </w:pPr>
            <w:r>
              <w:t xml:space="preserve">Audience composition?</w:t>
            </w:r>
          </w:p>
        </w:tc>
        <w:tc>
          <w:tcPr/>
          <w:p>
            <w:pPr>
              <w:pStyle w:val="Compact"/>
              <w:jc w:val="left"/>
            </w:pPr>
            <w:r>
              <w:rPr>
                <w:bCs/>
                <w:b/>
              </w:rPr>
              <w:t xml:space="preserve">Military acquisition officers + ONE Industries board + 1 ethics observer</w:t>
            </w:r>
          </w:p>
        </w:tc>
        <w:tc>
          <w:tcPr/>
          <w:p>
            <w:pPr>
              <w:pStyle w:val="Compact"/>
              <w:jc w:val="left"/>
            </w:pPr>
            <w:r>
              <w:t xml:space="preserve">High</w:t>
            </w:r>
          </w:p>
        </w:tc>
        <w:tc>
          <w:tcPr/>
          <w:p>
            <w:pPr>
              <w:pStyle w:val="Compact"/>
              <w:jc w:val="left"/>
            </w:pPr>
            <w:r>
              <w:t xml:space="preserve">Realistic to actual classified demonstration practice; creates moral friction</w:t>
            </w:r>
          </w:p>
        </w:tc>
        <w:tc>
          <w:tcPr/>
          <w:p>
            <w:pPr>
              <w:pStyle w:val="Compact"/>
            </w:pPr>
          </w:p>
        </w:tc>
      </w:tr>
      <w:tr>
        <w:tc>
          <w:tcPr/>
          <w:p>
            <w:pPr>
              <w:pStyle w:val="Compact"/>
              <w:jc w:val="left"/>
            </w:pPr>
            <w:r>
              <w:t xml:space="preserve">Q5</w:t>
            </w:r>
          </w:p>
        </w:tc>
        <w:tc>
          <w:tcPr/>
          <w:p>
            <w:pPr>
              <w:pStyle w:val="Compact"/>
              <w:jc w:val="left"/>
            </w:pPr>
            <w:r>
              <w:t xml:space="preserve">Control mechanism?</w:t>
            </w:r>
          </w:p>
        </w:tc>
        <w:tc>
          <w:tcPr/>
          <w:p>
            <w:pPr>
              <w:pStyle w:val="Compact"/>
              <w:jc w:val="left"/>
            </w:pPr>
            <w:r>
              <w:rPr>
                <w:bCs/>
                <w:b/>
              </w:rPr>
              <w:t xml:space="preserve">Pre-scripted AI with Nathan’s manual override</w:t>
            </w:r>
          </w:p>
        </w:tc>
        <w:tc>
          <w:tcPr/>
          <w:p>
            <w:pPr>
              <w:pStyle w:val="Compact"/>
              <w:jc w:val="left"/>
            </w:pPr>
            <w:r>
              <w:t xml:space="preserve">High</w:t>
            </w:r>
          </w:p>
        </w:tc>
        <w:tc>
          <w:tcPr/>
          <w:p>
            <w:pPr>
              <w:pStyle w:val="Compact"/>
              <w:jc w:val="left"/>
            </w:pPr>
            <w:r>
              <w:t xml:space="preserve">Most technically defensible; avoids First Memory over-exposure; creates failure-mode potential</w:t>
            </w:r>
          </w:p>
        </w:tc>
        <w:tc>
          <w:tcPr/>
          <w:p>
            <w:pPr>
              <w:pStyle w:val="Compact"/>
            </w:pPr>
          </w:p>
        </w:tc>
      </w:tr>
      <w:tr>
        <w:tc>
          <w:tcPr/>
          <w:p>
            <w:pPr>
              <w:pStyle w:val="Compact"/>
              <w:jc w:val="left"/>
            </w:pPr>
            <w:r>
              <w:t xml:space="preserve">Q7</w:t>
            </w:r>
          </w:p>
        </w:tc>
        <w:tc>
          <w:tcPr/>
          <w:p>
            <w:pPr>
              <w:pStyle w:val="Compact"/>
              <w:jc w:val="left"/>
            </w:pPr>
            <w:r>
              <w:t xml:space="preserve">Third-shot severity for Beta?</w:t>
            </w:r>
          </w:p>
        </w:tc>
        <w:tc>
          <w:tcPr/>
          <w:p>
            <w:pPr>
              <w:pStyle w:val="Compact"/>
              <w:jc w:val="left"/>
            </w:pPr>
            <w:r>
              <w:rPr>
                <w:bCs/>
                <w:b/>
              </w:rPr>
              <w:t xml:space="preserve">Dramatically flung, clearly functional</w:t>
            </w:r>
          </w:p>
        </w:tc>
        <w:tc>
          <w:tcPr/>
          <w:p>
            <w:pPr>
              <w:pStyle w:val="Compact"/>
              <w:jc w:val="left"/>
            </w:pPr>
            <w:r>
              <w:t xml:space="preserve">High</w:t>
            </w:r>
          </w:p>
        </w:tc>
        <w:tc>
          <w:tcPr/>
          <w:p>
            <w:pPr>
              <w:pStyle w:val="Compact"/>
              <w:jc w:val="left"/>
            </w:pPr>
            <w:r>
              <w:t xml:space="preserve">Shows kinetic energy was real, not theatrical; Beta unharmed = armor limits demonstrated</w:t>
            </w:r>
          </w:p>
        </w:tc>
        <w:tc>
          <w:tcPr/>
          <w:p>
            <w:pPr>
              <w:pStyle w:val="Compact"/>
            </w:pPr>
          </w:p>
        </w:tc>
      </w:tr>
      <w:tr>
        <w:tc>
          <w:tcPr/>
          <w:p>
            <w:pPr>
              <w:pStyle w:val="Compact"/>
              <w:jc w:val="left"/>
            </w:pPr>
            <w:r>
              <w:t xml:space="preserve">Q9</w:t>
            </w:r>
          </w:p>
        </w:tc>
        <w:tc>
          <w:tcPr/>
          <w:p>
            <w:pPr>
              <w:pStyle w:val="Compact"/>
              <w:jc w:val="left"/>
            </w:pPr>
            <w:r>
              <w:t xml:space="preserve">Demo classification?</w:t>
            </w:r>
          </w:p>
        </w:tc>
        <w:tc>
          <w:tcPr/>
          <w:p>
            <w:pPr>
              <w:pStyle w:val="Compact"/>
              <w:jc w:val="left"/>
            </w:pPr>
            <w:r>
              <w:rPr>
                <w:bCs/>
                <w:b/>
              </w:rPr>
              <w:t xml:space="preserve">Joint corp-gov classified</w:t>
            </w:r>
          </w:p>
        </w:tc>
        <w:tc>
          <w:tcPr/>
          <w:p>
            <w:pPr>
              <w:pStyle w:val="Compact"/>
              <w:jc w:val="left"/>
            </w:pPr>
            <w:r>
              <w:t xml:space="preserve">High</w:t>
            </w:r>
          </w:p>
        </w:tc>
        <w:tc>
          <w:tcPr/>
          <w:p>
            <w:pPr>
              <w:pStyle w:val="Compact"/>
              <w:jc w:val="left"/>
            </w:pPr>
            <w:r>
              <w:t xml:space="preserve">Realistic; most narratively interesting</w:t>
            </w:r>
          </w:p>
        </w:tc>
        <w:tc>
          <w:tcPr/>
          <w:p>
            <w:pPr>
              <w:pStyle w:val="Compact"/>
            </w:pPr>
          </w:p>
        </w:tc>
      </w:tr>
      <w:tr>
        <w:tc>
          <w:tcPr/>
          <w:p>
            <w:pPr>
              <w:pStyle w:val="Compact"/>
              <w:jc w:val="left"/>
            </w:pPr>
            <w:r>
              <w:t xml:space="preserve">Q10</w:t>
            </w:r>
          </w:p>
        </w:tc>
        <w:tc>
          <w:tcPr/>
          <w:p>
            <w:pPr>
              <w:pStyle w:val="Compact"/>
              <w:jc w:val="left"/>
            </w:pPr>
            <w:r>
              <w:t xml:space="preserve">Ocean meeting timeline?</w:t>
            </w:r>
          </w:p>
        </w:tc>
        <w:tc>
          <w:tcPr/>
          <w:p>
            <w:pPr>
              <w:pStyle w:val="Compact"/>
              <w:jc w:val="left"/>
            </w:pPr>
            <w:r>
              <w:rPr>
                <w:bCs/>
                <w:b/>
              </w:rPr>
              <w:t xml:space="preserve">Pre-theft by 6–12 months</w:t>
            </w:r>
            <w:r>
              <w:t xml:space="preserve"> </w:t>
            </w:r>
            <w:r>
              <w:t xml:space="preserve">— Nathan learns surveillance is active</w:t>
            </w:r>
          </w:p>
        </w:tc>
        <w:tc>
          <w:tcPr/>
          <w:p>
            <w:pPr>
              <w:pStyle w:val="Compact"/>
              <w:jc w:val="left"/>
            </w:pPr>
            <w:r>
              <w:t xml:space="preserve">High</w:t>
            </w:r>
          </w:p>
        </w:tc>
        <w:tc>
          <w:tcPr/>
          <w:p>
            <w:pPr>
              <w:pStyle w:val="Compact"/>
              <w:jc w:val="left"/>
            </w:pPr>
            <w:r>
              <w:t xml:space="preserve">Creates urgency driving the theft decision; Nathan’s response to threat</w:t>
            </w:r>
          </w:p>
        </w:tc>
        <w:tc>
          <w:tcPr/>
          <w:p>
            <w:pPr>
              <w:pStyle w:val="Compact"/>
            </w:pPr>
          </w:p>
        </w:tc>
      </w:tr>
      <w:tr>
        <w:tc>
          <w:tcPr/>
          <w:p>
            <w:pPr>
              <w:pStyle w:val="Compact"/>
              <w:jc w:val="left"/>
            </w:pPr>
            <w:r>
              <w:t xml:space="preserve">Q12</w:t>
            </w:r>
          </w:p>
        </w:tc>
        <w:tc>
          <w:tcPr/>
          <w:p>
            <w:pPr>
              <w:pStyle w:val="Compact"/>
              <w:jc w:val="left"/>
            </w:pPr>
            <w:r>
              <w:t xml:space="preserve">Colleague archetype?</w:t>
            </w:r>
          </w:p>
        </w:tc>
        <w:tc>
          <w:tcPr/>
          <w:p>
            <w:pPr>
              <w:pStyle w:val="Compact"/>
              <w:jc w:val="left"/>
            </w:pPr>
            <w:r>
              <w:rPr>
                <w:bCs/>
                <w:b/>
              </w:rPr>
              <w:t xml:space="preserve">Black-ops / Military Liaison</w:t>
            </w:r>
            <w:r>
              <w:t xml:space="preserve"> </w:t>
            </w:r>
            <w:r>
              <w:t xml:space="preserve">— controls information Nathan needs</w:t>
            </w:r>
          </w:p>
        </w:tc>
        <w:tc>
          <w:tcPr/>
          <w:p>
            <w:pPr>
              <w:pStyle w:val="Compact"/>
              <w:jc w:val="left"/>
            </w:pPr>
            <w:r>
              <w:t xml:space="preserve">High</w:t>
            </w:r>
          </w:p>
        </w:tc>
        <w:tc>
          <w:tcPr/>
          <w:p>
            <w:pPr>
              <w:pStyle w:val="Compact"/>
              <w:jc w:val="left"/>
            </w:pPr>
            <w:r>
              <w:t xml:space="preserve">Most durable relationship type; leverage-based rather than loyalty-based</w:t>
            </w:r>
          </w:p>
        </w:tc>
        <w:tc>
          <w:tcPr/>
          <w:p>
            <w:pPr>
              <w:pStyle w:val="Compact"/>
            </w:pPr>
          </w:p>
        </w:tc>
      </w:tr>
      <w:tr>
        <w:tc>
          <w:tcPr/>
          <w:p>
            <w:pPr>
              <w:pStyle w:val="Compact"/>
              <w:jc w:val="left"/>
            </w:pPr>
            <w:r>
              <w:t xml:space="preserve">Q17</w:t>
            </w:r>
          </w:p>
        </w:tc>
        <w:tc>
          <w:tcPr/>
          <w:p>
            <w:pPr>
              <w:pStyle w:val="Compact"/>
              <w:jc w:val="left"/>
            </w:pPr>
            <w:r>
              <w:t xml:space="preserve">What changes hands?</w:t>
            </w:r>
          </w:p>
        </w:tc>
        <w:tc>
          <w:tcPr/>
          <w:p>
            <w:pPr>
              <w:pStyle w:val="Compact"/>
              <w:jc w:val="left"/>
            </w:pPr>
            <w:r>
              <w:rPr>
                <w:bCs/>
                <w:b/>
              </w:rPr>
              <w:t xml:space="preserve">Proof of government surveillance of ONE Industries</w:t>
            </w:r>
          </w:p>
        </w:tc>
        <w:tc>
          <w:tcPr/>
          <w:p>
            <w:pPr>
              <w:pStyle w:val="Compact"/>
              <w:jc w:val="left"/>
            </w:pPr>
            <w:r>
              <w:t xml:space="preserve">High</w:t>
            </w:r>
          </w:p>
        </w:tc>
        <w:tc>
          <w:tcPr/>
          <w:p>
            <w:pPr>
              <w:pStyle w:val="Compact"/>
              <w:jc w:val="left"/>
            </w:pPr>
            <w:r>
              <w:t xml:space="preserve">Sets up the theft; breaks Nathan’s untouchable status; historically grounded</w:t>
            </w:r>
          </w:p>
        </w:tc>
        <w:tc>
          <w:tcPr/>
          <w:p>
            <w:pPr>
              <w:pStyle w:val="Compact"/>
            </w:pPr>
          </w:p>
        </w:tc>
      </w:tr>
      <w:tr>
        <w:tc>
          <w:tcPr/>
          <w:p>
            <w:pPr>
              <w:pStyle w:val="Compact"/>
              <w:jc w:val="left"/>
            </w:pPr>
            <w:r>
              <w:t xml:space="preserve">Q18</w:t>
            </w:r>
          </w:p>
        </w:tc>
        <w:tc>
          <w:tcPr/>
          <w:p>
            <w:pPr>
              <w:pStyle w:val="Compact"/>
              <w:jc w:val="left"/>
            </w:pPr>
            <w:r>
              <w:t xml:space="preserve">Nathan’s outcome?</w:t>
            </w:r>
          </w:p>
        </w:tc>
        <w:tc>
          <w:tcPr/>
          <w:p>
            <w:pPr>
              <w:pStyle w:val="Compact"/>
              <w:jc w:val="left"/>
            </w:pPr>
            <w:r>
              <w:rPr>
                <w:bCs/>
                <w:b/>
              </w:rPr>
              <w:t xml:space="preserve">Disadvantage he interprets as advantage</w:t>
            </w:r>
          </w:p>
        </w:tc>
        <w:tc>
          <w:tcPr/>
          <w:p>
            <w:pPr>
              <w:pStyle w:val="Compact"/>
              <w:jc w:val="left"/>
            </w:pPr>
            <w:r>
              <w:t xml:space="preserve">High</w:t>
            </w:r>
          </w:p>
        </w:tc>
        <w:tc>
          <w:tcPr/>
          <w:p>
            <w:pPr>
              <w:pStyle w:val="Compact"/>
              <w:jc w:val="left"/>
            </w:pPr>
            <w:r>
              <w:t xml:space="preserve">Best character development; avoids omnipotence trap</w:t>
            </w:r>
          </w:p>
        </w:tc>
        <w:tc>
          <w:tcPr/>
          <w:p>
            <w:pPr>
              <w:pStyle w:val="Compact"/>
            </w:pPr>
          </w:p>
        </w:tc>
      </w:tr>
      <w:tr>
        <w:tc>
          <w:tcPr/>
          <w:p>
            <w:pPr>
              <w:pStyle w:val="Compact"/>
              <w:jc w:val="left"/>
            </w:pPr>
            <w:r>
              <w:t xml:space="preserve">Q19</w:t>
            </w:r>
          </w:p>
        </w:tc>
        <w:tc>
          <w:tcPr/>
          <w:p>
            <w:pPr>
              <w:pStyle w:val="Compact"/>
              <w:jc w:val="left"/>
            </w:pPr>
            <w:r>
              <w:t xml:space="preserve">Reentry consequence?</w:t>
            </w:r>
          </w:p>
        </w:tc>
        <w:tc>
          <w:tcPr/>
          <w:p>
            <w:pPr>
              <w:pStyle w:val="Compact"/>
              <w:jc w:val="left"/>
            </w:pPr>
            <w:r>
              <w:rPr>
                <w:bCs/>
                <w:b/>
              </w:rPr>
              <w:t xml:space="preserve">A communication arrived during his absence that changes his next move</w:t>
            </w:r>
          </w:p>
        </w:tc>
        <w:tc>
          <w:tcPr/>
          <w:p>
            <w:pPr>
              <w:pStyle w:val="Compact"/>
              <w:jc w:val="left"/>
            </w:pPr>
            <w:r>
              <w:t xml:space="preserve">Medium</w:t>
            </w:r>
          </w:p>
        </w:tc>
        <w:tc>
          <w:tcPr/>
          <w:p>
            <w:pPr>
              <w:pStyle w:val="Compact"/>
              <w:jc w:val="left"/>
            </w:pPr>
            <w:r>
              <w:t xml:space="preserve">Creates forward momentum; suggests the world moving without him</w:t>
            </w:r>
          </w:p>
        </w:tc>
        <w:tc>
          <w:tcPr/>
          <w:p>
            <w:pPr>
              <w:pStyle w:val="Compact"/>
            </w:pPr>
          </w:p>
        </w:tc>
      </w:tr>
    </w:tbl>
    <w:p>
      <w:r>
        <w:pict>
          <v:rect style="width:0;height:1.5pt" o:hralign="center" o:hrstd="t" o:hr="t"/>
        </w:pict>
      </w:r>
    </w:p>
    <w:bookmarkEnd w:id="29"/>
    <w:bookmarkEnd w:id="30"/>
    <w:bookmarkStart w:id="38" w:name="X47e2dea700035aeff27e36125413f50580a4a60"/>
    <w:p>
      <w:pPr>
        <w:pStyle w:val="Heading2"/>
      </w:pPr>
      <w:r>
        <w:t xml:space="preserve">3. Project 2 — Network Defense Intelligence Exercise</w:t>
      </w:r>
    </w:p>
    <w:bookmarkStart w:id="31" w:name="key-development-items-summary-1"/>
    <w:p>
      <w:pPr>
        <w:pStyle w:val="Heading3"/>
      </w:pPr>
      <w:r>
        <w:t xml:space="preserve">3.1 Key Development Items Summary</w:t>
      </w:r>
    </w:p>
    <w:p>
      <w:pPr>
        <w:pStyle w:val="FirstParagraph"/>
      </w:pPr>
      <w:r>
        <w:t xml:space="preserve">From OAL-DOSSIER-CANON-002 v1.0.0, the following HIGH-priority items remain unresolved: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Item</w:t>
            </w:r>
          </w:p>
        </w:tc>
        <w:tc>
          <w:tcPr/>
          <w:p>
            <w:pPr>
              <w:pStyle w:val="Compact"/>
              <w:jc w:val="left"/>
            </w:pPr>
            <w:r>
              <w:t xml:space="preserve">Status</w:t>
            </w:r>
          </w:p>
        </w:tc>
      </w:tr>
      <w:tr>
        <w:tc>
          <w:tcPr/>
          <w:p>
            <w:pPr>
              <w:pStyle w:val="Compact"/>
              <w:jc w:val="left"/>
            </w:pPr>
            <w:r>
              <w:t xml:space="preserve">Q1</w:t>
            </w:r>
          </w:p>
        </w:tc>
        <w:tc>
          <w:tcPr/>
          <w:p>
            <w:pPr>
              <w:pStyle w:val="Compact"/>
              <w:jc w:val="left"/>
            </w:pPr>
            <w:r>
              <w:t xml:space="preserve">Jurisdiction scope</w:t>
            </w:r>
          </w:p>
        </w:tc>
        <w:tc>
          <w:tcPr/>
          <w:p>
            <w:pPr>
              <w:pStyle w:val="Compact"/>
              <w:jc w:val="left"/>
            </w:pPr>
            <w:r>
              <w:t xml:space="preserve">UNRESOLVED</w:t>
            </w:r>
          </w:p>
        </w:tc>
      </w:tr>
      <w:tr>
        <w:tc>
          <w:tcPr/>
          <w:p>
            <w:pPr>
              <w:pStyle w:val="Compact"/>
              <w:jc w:val="left"/>
            </w:pPr>
            <w:r>
              <w:t xml:space="preserve">Q2</w:t>
            </w:r>
          </w:p>
        </w:tc>
        <w:tc>
          <w:tcPr/>
          <w:p>
            <w:pPr>
              <w:pStyle w:val="Compact"/>
              <w:jc w:val="left"/>
            </w:pPr>
            <w:r>
              <w:t xml:space="preserve">Exercise classification: simulated, live, or hybrid?</w:t>
            </w:r>
          </w:p>
        </w:tc>
        <w:tc>
          <w:tcPr/>
          <w:p>
            <w:pPr>
              <w:pStyle w:val="Compact"/>
              <w:jc w:val="left"/>
            </w:pPr>
            <w:r>
              <w:t xml:space="preserve">UNRESOLVED</w:t>
            </w:r>
          </w:p>
        </w:tc>
      </w:tr>
      <w:tr>
        <w:tc>
          <w:tcPr/>
          <w:p>
            <w:pPr>
              <w:pStyle w:val="Compact"/>
              <w:jc w:val="left"/>
            </w:pPr>
            <w:r>
              <w:t xml:space="preserve">Q3</w:t>
            </w:r>
          </w:p>
        </w:tc>
        <w:tc>
          <w:tcPr/>
          <w:p>
            <w:pPr>
              <w:pStyle w:val="Compact"/>
              <w:jc w:val="left"/>
            </w:pPr>
            <w:r>
              <w:t xml:space="preserve">Operating authority</w:t>
            </w:r>
          </w:p>
        </w:tc>
        <w:tc>
          <w:tcPr/>
          <w:p>
            <w:pPr>
              <w:pStyle w:val="Compact"/>
              <w:jc w:val="left"/>
            </w:pPr>
            <w:r>
              <w:t xml:space="preserve">UNRESOLVED</w:t>
            </w:r>
          </w:p>
        </w:tc>
      </w:tr>
      <w:tr>
        <w:tc>
          <w:tcPr/>
          <w:p>
            <w:pPr>
              <w:pStyle w:val="Compact"/>
              <w:jc w:val="left"/>
            </w:pPr>
            <w:r>
              <w:t xml:space="preserve">Q4</w:t>
            </w:r>
          </w:p>
        </w:tc>
        <w:tc>
          <w:tcPr/>
          <w:p>
            <w:pPr>
              <w:pStyle w:val="Compact"/>
              <w:jc w:val="left"/>
            </w:pPr>
            <w:r>
              <w:t xml:space="preserve">Primary attack type</w:t>
            </w:r>
          </w:p>
        </w:tc>
        <w:tc>
          <w:tcPr/>
          <w:p>
            <w:pPr>
              <w:pStyle w:val="Compact"/>
              <w:jc w:val="left"/>
            </w:pPr>
            <w:r>
              <w:t xml:space="preserve">UNRESOLVED</w:t>
            </w:r>
          </w:p>
        </w:tc>
      </w:tr>
      <w:tr>
        <w:tc>
          <w:tcPr/>
          <w:p>
            <w:pPr>
              <w:pStyle w:val="Compact"/>
              <w:jc w:val="left"/>
            </w:pPr>
            <w:r>
              <w:t xml:space="preserve">Q5</w:t>
            </w:r>
          </w:p>
        </w:tc>
        <w:tc>
          <w:tcPr/>
          <w:p>
            <w:pPr>
              <w:pStyle w:val="Compact"/>
              <w:jc w:val="left"/>
            </w:pPr>
            <w:r>
              <w:t xml:space="preserve">Detection timing (pre-, mid-, or post-exploit)</w:t>
            </w:r>
          </w:p>
        </w:tc>
        <w:tc>
          <w:tcPr/>
          <w:p>
            <w:pPr>
              <w:pStyle w:val="Compact"/>
              <w:jc w:val="left"/>
            </w:pPr>
            <w:r>
              <w:t xml:space="preserve">UNRESOLVED</w:t>
            </w:r>
          </w:p>
        </w:tc>
      </w:tr>
      <w:tr>
        <w:tc>
          <w:tcPr/>
          <w:p>
            <w:pPr>
              <w:pStyle w:val="Compact"/>
              <w:jc w:val="left"/>
            </w:pPr>
            <w:r>
              <w:t xml:space="preserve">Q10</w:t>
            </w:r>
          </w:p>
        </w:tc>
        <w:tc>
          <w:tcPr/>
          <w:p>
            <w:pPr>
              <w:pStyle w:val="Compact"/>
              <w:jc w:val="left"/>
            </w:pPr>
            <w:r>
              <w:t xml:space="preserve">Is the 3-second cycle a fixed constant?</w:t>
            </w:r>
          </w:p>
        </w:tc>
        <w:tc>
          <w:tcPr/>
          <w:p>
            <w:pPr>
              <w:pStyle w:val="Compact"/>
              <w:jc w:val="left"/>
            </w:pPr>
            <w:r>
              <w:t xml:space="preserve">UNRESOLVED</w:t>
            </w:r>
          </w:p>
        </w:tc>
      </w:tr>
      <w:tr>
        <w:tc>
          <w:tcPr/>
          <w:p>
            <w:pPr>
              <w:pStyle w:val="Compact"/>
              <w:jc w:val="left"/>
            </w:pPr>
            <w:r>
              <w:t xml:space="preserve">Q11</w:t>
            </w:r>
          </w:p>
        </w:tc>
        <w:tc>
          <w:tcPr/>
          <w:p>
            <w:pPr>
              <w:pStyle w:val="Compact"/>
              <w:jc w:val="left"/>
            </w:pPr>
            <w:r>
              <w:t xml:space="preserve">Authorization: contain only vs. retaliate?</w:t>
            </w:r>
          </w:p>
        </w:tc>
        <w:tc>
          <w:tcPr/>
          <w:p>
            <w:pPr>
              <w:pStyle w:val="Compact"/>
              <w:jc w:val="left"/>
            </w:pPr>
            <w:r>
              <w:t xml:space="preserve">UNRESOLVED</w:t>
            </w:r>
          </w:p>
        </w:tc>
      </w:tr>
      <w:tr>
        <w:tc>
          <w:tcPr/>
          <w:p>
            <w:pPr>
              <w:pStyle w:val="Compact"/>
              <w:jc w:val="left"/>
            </w:pPr>
            <w:r>
              <w:t xml:space="preserve">Q12</w:t>
            </w:r>
          </w:p>
        </w:tc>
        <w:tc>
          <w:tcPr/>
          <w:p>
            <w:pPr>
              <w:pStyle w:val="Compact"/>
              <w:jc w:val="left"/>
            </w:pPr>
            <w:r>
              <w:t xml:space="preserve">Innocent traffic captured?</w:t>
            </w:r>
          </w:p>
        </w:tc>
        <w:tc>
          <w:tcPr/>
          <w:p>
            <w:pPr>
              <w:pStyle w:val="Compact"/>
              <w:jc w:val="left"/>
            </w:pPr>
            <w:r>
              <w:t xml:space="preserve">UNRESOLVED</w:t>
            </w:r>
          </w:p>
        </w:tc>
      </w:tr>
      <w:tr>
        <w:tc>
          <w:tcPr/>
          <w:p>
            <w:pPr>
              <w:pStyle w:val="Compact"/>
              <w:jc w:val="left"/>
            </w:pPr>
            <w:r>
              <w:t xml:space="preserve">Q14</w:t>
            </w:r>
          </w:p>
        </w:tc>
        <w:tc>
          <w:tcPr/>
          <w:p>
            <w:pPr>
              <w:pStyle w:val="Compact"/>
              <w:jc w:val="left"/>
            </w:pPr>
            <w:r>
              <w:t xml:space="preserve">What exactly is transferred?</w:t>
            </w:r>
          </w:p>
        </w:tc>
        <w:tc>
          <w:tcPr/>
          <w:p>
            <w:pPr>
              <w:pStyle w:val="Compact"/>
              <w:jc w:val="left"/>
            </w:pPr>
            <w:r>
              <w:t xml:space="preserve">UNRESOLVED</w:t>
            </w:r>
          </w:p>
        </w:tc>
      </w:tr>
      <w:tr>
        <w:tc>
          <w:tcPr/>
          <w:p>
            <w:pPr>
              <w:pStyle w:val="Compact"/>
              <w:jc w:val="left"/>
            </w:pPr>
            <w:r>
              <w:t xml:space="preserve">Q16</w:t>
            </w:r>
          </w:p>
        </w:tc>
        <w:tc>
          <w:tcPr/>
          <w:p>
            <w:pPr>
              <w:pStyle w:val="Compact"/>
              <w:jc w:val="left"/>
            </w:pPr>
            <w:r>
              <w:t xml:space="preserve">Future use: reused, turned against Nathan, or found by adversary?</w:t>
            </w:r>
          </w:p>
        </w:tc>
        <w:tc>
          <w:tcPr/>
          <w:p>
            <w:pPr>
              <w:pStyle w:val="Compact"/>
              <w:jc w:val="left"/>
            </w:pPr>
            <w:r>
              <w:t xml:space="preserve">UNRESOLVED</w:t>
            </w:r>
          </w:p>
        </w:tc>
      </w:tr>
      <w:tr>
        <w:tc>
          <w:tcPr/>
          <w:p>
            <w:pPr>
              <w:pStyle w:val="Compact"/>
              <w:jc w:val="left"/>
            </w:pPr>
            <w:r>
              <w:t xml:space="preserve">Q17</w:t>
            </w:r>
          </w:p>
        </w:tc>
        <w:tc>
          <w:tcPr/>
          <w:p>
            <w:pPr>
              <w:pStyle w:val="Compact"/>
              <w:jc w:val="left"/>
            </w:pPr>
            <w:r>
              <w:t xml:space="preserve">Canonical failure mode</w:t>
            </w:r>
          </w:p>
        </w:tc>
        <w:tc>
          <w:tcPr/>
          <w:p>
            <w:pPr>
              <w:pStyle w:val="Compact"/>
              <w:jc w:val="left"/>
            </w:pPr>
            <w:r>
              <w:t xml:space="preserve">UNRESOLVED</w:t>
            </w:r>
          </w:p>
        </w:tc>
      </w:tr>
      <w:tr>
        <w:tc>
          <w:tcPr/>
          <w:p>
            <w:pPr>
              <w:pStyle w:val="Compact"/>
              <w:jc w:val="left"/>
            </w:pPr>
            <w:r>
              <w:t xml:space="preserve">Q19</w:t>
            </w:r>
          </w:p>
        </w:tc>
        <w:tc>
          <w:tcPr/>
          <w:p>
            <w:pPr>
              <w:pStyle w:val="Compact"/>
              <w:jc w:val="left"/>
            </w:pPr>
            <w:r>
              <w:t xml:space="preserve">Personal/political cost to Nathan</w:t>
            </w:r>
          </w:p>
        </w:tc>
        <w:tc>
          <w:tcPr/>
          <w:p>
            <w:pPr>
              <w:pStyle w:val="Compact"/>
              <w:jc w:val="left"/>
            </w:pPr>
            <w:r>
              <w:t xml:space="preserve">UNRESOLVED</w:t>
            </w:r>
          </w:p>
        </w:tc>
      </w:tr>
      <w:tr>
        <w:tc>
          <w:tcPr/>
          <w:p>
            <w:pPr>
              <w:pStyle w:val="Compact"/>
              <w:jc w:val="left"/>
            </w:pPr>
            <w:r>
              <w:t xml:space="preserve">Q20</w:t>
            </w:r>
          </w:p>
        </w:tc>
        <w:tc>
          <w:tcPr/>
          <w:p>
            <w:pPr>
              <w:pStyle w:val="Compact"/>
              <w:jc w:val="left"/>
            </w:pPr>
            <w:r>
              <w:t xml:space="preserve">First Memory / Time Wars connection at conclusion</w:t>
            </w:r>
          </w:p>
        </w:tc>
        <w:tc>
          <w:tcPr/>
          <w:p>
            <w:pPr>
              <w:pStyle w:val="Compact"/>
              <w:jc w:val="left"/>
            </w:pPr>
            <w:r>
              <w:t xml:space="preserve">UNRESOLVED</w:t>
            </w:r>
          </w:p>
        </w:tc>
      </w:tr>
    </w:tbl>
    <w:p>
      <w:r>
        <w:pict>
          <v:rect style="width:0;height:1.5pt" o:hralign="center" o:hrstd="t" o:hr="t"/>
        </w:pict>
      </w:r>
    </w:p>
    <w:bookmarkEnd w:id="31"/>
    <w:bookmarkStart w:id="32" w:name="X0fab19091bdb45431235ccd2f3c725c6595b31c"/>
    <w:p>
      <w:pPr>
        <w:pStyle w:val="Heading3"/>
      </w:pPr>
      <w:r>
        <w:t xml:space="preserve">3.2 Research &amp; Analysis: National-Scale Cyber Honeypot &amp; Deception Systems</w:t>
      </w:r>
    </w:p>
    <w:p>
      <w:pPr>
        <w:pStyle w:val="FirstParagraph"/>
      </w:pPr>
      <w:r>
        <w:rPr>
          <w:bCs/>
          <w:b/>
        </w:rPr>
        <w:t xml:space="preserve">Real-World Precedent for Nation-Scale Cyber Deception</w:t>
      </w:r>
    </w:p>
    <w:p>
      <w:pPr>
        <w:pStyle w:val="BodyText"/>
      </w:pPr>
      <w:r>
        <w:t xml:space="preserve">The UK’s National Cyber Security Centre (NCSC) published research in 2024–2025 explicitly pursuing</w:t>
      </w:r>
      <w:r>
        <w:t xml:space="preserve"> </w:t>
      </w:r>
      <w:r>
        <w:t xml:space="preserve">“</w:t>
      </w:r>
      <w:r>
        <w:t xml:space="preserve">nation-scale</w:t>
      </w:r>
      <w:r>
        <w:t xml:space="preserve">”</w:t>
      </w:r>
      <w:r>
        <w:t xml:space="preserve"> </w:t>
      </w:r>
      <w:r>
        <w:t xml:space="preserve">cyber deception deployment, targeting:</w:t>
      </w:r>
    </w:p>
    <w:p>
      <w:pPr>
        <w:numPr>
          <w:ilvl w:val="0"/>
          <w:numId w:val="1014"/>
        </w:numPr>
        <w:pStyle w:val="Compact"/>
      </w:pPr>
      <w:r>
        <w:t xml:space="preserve">5,000+ honeypot instances across IPv4/IPv6 on the UK internet</w:t>
      </w:r>
    </w:p>
    <w:p>
      <w:pPr>
        <w:numPr>
          <w:ilvl w:val="0"/>
          <w:numId w:val="1014"/>
        </w:numPr>
        <w:pStyle w:val="Compact"/>
      </w:pPr>
      <w:r>
        <w:t xml:space="preserve">20,000+ internal network tripwire instances</w:t>
      </w:r>
    </w:p>
    <w:p>
      <w:pPr>
        <w:numPr>
          <w:ilvl w:val="0"/>
          <w:numId w:val="1014"/>
        </w:numPr>
        <w:pStyle w:val="Compact"/>
      </w:pPr>
      <w:r>
        <w:t xml:space="preserve">2,000,000+ honeytokens deployed</w:t>
      </w:r>
    </w:p>
    <w:p>
      <w:pPr>
        <w:pStyle w:val="FirstParagraph"/>
      </w:pPr>
      <w:r>
        <w:t xml:space="preserve">The NCSC’s three core research questions for national-scale deployment directly parallel the issues raised in OAL-DOSSIER-CANON-002:</w:t>
      </w:r>
    </w:p>
    <w:p>
      <w:pPr>
        <w:numPr>
          <w:ilvl w:val="0"/>
          <w:numId w:val="1015"/>
        </w:numPr>
        <w:pStyle w:val="Compact"/>
      </w:pPr>
      <w:r>
        <w:t xml:space="preserve">How effective are deployments at detecting</w:t>
      </w:r>
      <w:r>
        <w:t xml:space="preserve"> </w:t>
      </w:r>
      <w:r>
        <w:rPr>
          <w:bCs/>
          <w:b/>
        </w:rPr>
        <w:t xml:space="preserve">latent compromises</w:t>
      </w:r>
      <w:r>
        <w:t xml:space="preserve">?</w:t>
      </w:r>
    </w:p>
    <w:p>
      <w:pPr>
        <w:numPr>
          <w:ilvl w:val="0"/>
          <w:numId w:val="1015"/>
        </w:numPr>
        <w:pStyle w:val="Compact"/>
      </w:pPr>
      <w:r>
        <w:t xml:space="preserve">How effective at detecting</w:t>
      </w:r>
      <w:r>
        <w:t xml:space="preserve"> </w:t>
      </w:r>
      <w:r>
        <w:rPr>
          <w:bCs/>
          <w:b/>
        </w:rPr>
        <w:t xml:space="preserve">new compromises</w:t>
      </w:r>
      <w:r>
        <w:t xml:space="preserve"> </w:t>
      </w:r>
      <w:r>
        <w:t xml:space="preserve">as they happen?</w:t>
      </w:r>
    </w:p>
    <w:p>
      <w:pPr>
        <w:numPr>
          <w:ilvl w:val="0"/>
          <w:numId w:val="1015"/>
        </w:numPr>
        <w:pStyle w:val="Compact"/>
      </w:pPr>
      <w:r>
        <w:t xml:space="preserve">Does knowledge of the technology’s presence</w:t>
      </w:r>
      <w:r>
        <w:t xml:space="preserve"> </w:t>
      </w:r>
      <w:r>
        <w:rPr>
          <w:bCs/>
          <w:b/>
        </w:rPr>
        <w:t xml:space="preserve">change attacker behavior</w:t>
      </w:r>
      <w:r>
        <w:t xml:space="preserve">?</w:t>
      </w:r>
    </w:p>
    <w:p>
      <w:pPr>
        <w:pStyle w:val="FirstParagraph"/>
      </w:pPr>
      <w:r>
        <w:t xml:space="preserve">Peer-reviewed research in game-theoretic cyber deception (arXiv, 2024) confirms that adaptive deception systems using feedback from captured attackers improve deception fidelity — directly validating Grok’s</w:t>
      </w:r>
      <w:r>
        <w:t xml:space="preserve"> </w:t>
      </w:r>
      <w:r>
        <w:t xml:space="preserve">“</w:t>
      </w:r>
      <w:r>
        <w:t xml:space="preserve">self-reinforcing capture loop</w:t>
      </w:r>
      <w:r>
        <w:t xml:space="preserve">”</w:t>
      </w:r>
      <w:r>
        <w:t xml:space="preserve"> </w:t>
      </w:r>
      <w:r>
        <w:t xml:space="preserve">contribution in the dossier.</w:t>
      </w:r>
    </w:p>
    <w:p>
      <w:pPr>
        <w:pStyle w:val="BodyText"/>
      </w:pPr>
      <w:r>
        <w:rPr>
          <w:bCs/>
          <w:b/>
        </w:rPr>
        <w:t xml:space="preserve">What Supports the Design (Pro):</w:t>
      </w:r>
    </w:p>
    <w:p>
      <w:pPr>
        <w:numPr>
          <w:ilvl w:val="0"/>
          <w:numId w:val="1016"/>
        </w:numPr>
        <w:pStyle w:val="Compact"/>
      </w:pPr>
      <w:r>
        <w:t xml:space="preserve">The NCSC’s Active Cyber Defence 2.0 program is the real-world government equivalent of what the Architect does — the canon is grounded in current trajectory</w:t>
      </w:r>
    </w:p>
    <w:p>
      <w:pPr>
        <w:numPr>
          <w:ilvl w:val="0"/>
          <w:numId w:val="1016"/>
        </w:numPr>
        <w:pStyle w:val="Compact"/>
      </w:pPr>
      <w:r>
        <w:t xml:space="preserve">Adaptive honeypot systems that improve from attacker behavior are documented and being deployed in production</w:t>
      </w:r>
    </w:p>
    <w:p>
      <w:pPr>
        <w:numPr>
          <w:ilvl w:val="0"/>
          <w:numId w:val="1016"/>
        </w:numPr>
        <w:pStyle w:val="Compact"/>
      </w:pPr>
      <w:r>
        <w:t xml:space="preserve">The concept of</w:t>
      </w:r>
      <w:r>
        <w:t xml:space="preserve"> </w:t>
      </w:r>
      <w:r>
        <w:t xml:space="preserve">“</w:t>
      </w:r>
      <w:r>
        <w:t xml:space="preserve">imposing costs on adversaries by forcing them to navigate false environments</w:t>
      </w:r>
      <w:r>
        <w:t xml:space="preserve">”</w:t>
      </w:r>
      <w:r>
        <w:t xml:space="preserve"> </w:t>
      </w:r>
      <w:r>
        <w:t xml:space="preserve">is an explicitly stated national security objective in both UK and US 2026 national cyber strategy</w:t>
      </w:r>
    </w:p>
    <w:p>
      <w:pPr>
        <w:numPr>
          <w:ilvl w:val="0"/>
          <w:numId w:val="1016"/>
        </w:numPr>
        <w:pStyle w:val="Compact"/>
      </w:pPr>
      <w:r>
        <w:t xml:space="preserve">The 2026 US Cyber Strategy explicitly names</w:t>
      </w:r>
      <w:r>
        <w:t xml:space="preserve"> </w:t>
      </w:r>
      <w:r>
        <w:t xml:space="preserve">“</w:t>
      </w:r>
      <w:r>
        <w:t xml:space="preserve">unleashing the private sector</w:t>
      </w:r>
      <w:r>
        <w:t xml:space="preserve">”</w:t>
      </w:r>
      <w:r>
        <w:t xml:space="preserve"> </w:t>
      </w:r>
      <w:r>
        <w:t xml:space="preserve">to</w:t>
      </w:r>
      <w:r>
        <w:t xml:space="preserve"> </w:t>
      </w:r>
      <w:r>
        <w:t xml:space="preserve">“</w:t>
      </w:r>
      <w:r>
        <w:t xml:space="preserve">identify and disrupt adversary networks</w:t>
      </w:r>
      <w:r>
        <w:t xml:space="preserve">”</w:t>
      </w:r>
      <w:r>
        <w:t xml:space="preserve"> </w:t>
      </w:r>
      <w:r>
        <w:t xml:space="preserve">— the Architect’s role as a private/hybrid operator is aligned with this direction</w:t>
      </w:r>
    </w:p>
    <w:p>
      <w:pPr>
        <w:pStyle w:val="FirstParagraph"/>
      </w:pPr>
      <w:r>
        <w:rPr>
          <w:bCs/>
          <w:b/>
        </w:rPr>
        <w:t xml:space="preserve">What Challenges the Design (Contra — Anti-Confirmation Bias):</w:t>
      </w:r>
    </w:p>
    <w:p>
      <w:pPr>
        <w:numPr>
          <w:ilvl w:val="0"/>
          <w:numId w:val="1017"/>
        </w:numPr>
        <w:pStyle w:val="Compact"/>
      </w:pPr>
      <w:r>
        <w:t xml:space="preserve">The NCSC’s 2025 study found that</w:t>
      </w:r>
      <w:r>
        <w:t xml:space="preserve"> </w:t>
      </w:r>
      <w:r>
        <w:t xml:space="preserve">“</w:t>
      </w:r>
      <w:r>
        <w:t xml:space="preserve">cyber deception can work, but it’s not plug-and-play</w:t>
      </w:r>
      <w:r>
        <w:t xml:space="preserve">”</w:t>
      </w:r>
      <w:r>
        <w:t xml:space="preserve"> </w:t>
      </w:r>
      <w:r>
        <w:t xml:space="preserve">— it requires</w:t>
      </w:r>
      <w:r>
        <w:t xml:space="preserve"> </w:t>
      </w:r>
      <w:r>
        <w:t xml:space="preserve">“</w:t>
      </w:r>
      <w:r>
        <w:t xml:space="preserve">the right data and context</w:t>
      </w:r>
      <w:r>
        <w:t xml:space="preserve">”</w:t>
      </w:r>
      <w:r>
        <w:t xml:space="preserve"> </w:t>
      </w:r>
      <w:r>
        <w:t xml:space="preserve">or it</w:t>
      </w:r>
      <w:r>
        <w:t xml:space="preserve"> </w:t>
      </w:r>
      <w:r>
        <w:t xml:space="preserve">“</w:t>
      </w:r>
      <w:r>
        <w:t xml:space="preserve">generates noise rather than insight.</w:t>
      </w:r>
      <w:r>
        <w:t xml:space="preserve">”</w:t>
      </w:r>
      <w:r>
        <w:t xml:space="preserve"> </w:t>
      </w:r>
      <w:r>
        <w:t xml:space="preserve">A system that works as cleanly as described in canon may require explicit acknowledgment of the infrastructure required to make it function.</w:t>
      </w:r>
    </w:p>
    <w:p>
      <w:pPr>
        <w:numPr>
          <w:ilvl w:val="0"/>
          <w:numId w:val="1017"/>
        </w:numPr>
        <w:pStyle w:val="Compact"/>
      </w:pPr>
      <w:r>
        <w:t xml:space="preserve">Current national-scale systems are not operated by a single individual — they are distributed programs requiring organizational infrastructure. The</w:t>
      </w:r>
      <w:r>
        <w:t xml:space="preserve"> </w:t>
      </w:r>
      <w:r>
        <w:t xml:space="preserve">“</w:t>
      </w:r>
      <w:r>
        <w:t xml:space="preserve">single Architect</w:t>
      </w:r>
      <w:r>
        <w:t xml:space="preserve">”</w:t>
      </w:r>
      <w:r>
        <w:t xml:space="preserve"> </w:t>
      </w:r>
      <w:r>
        <w:t xml:space="preserve">model is a significant departure from operational reality that needs narrative justification.</w:t>
      </w:r>
    </w:p>
    <w:p>
      <w:pPr>
        <w:numPr>
          <w:ilvl w:val="0"/>
          <w:numId w:val="1017"/>
        </w:numPr>
        <w:pStyle w:val="Compact"/>
      </w:pPr>
      <w:r>
        <w:t xml:space="preserve">The 3-second cycling concept is narratively compelling but has no current real-world analog as a</w:t>
      </w:r>
      <w:r>
        <w:t xml:space="preserve"> </w:t>
      </w:r>
      <w:r>
        <w:rPr>
          <w:iCs/>
          <w:i/>
        </w:rPr>
        <w:t xml:space="preserve">defense</w:t>
      </w:r>
      <w:r>
        <w:t xml:space="preserve"> </w:t>
      </w:r>
      <w:r>
        <w:t xml:space="preserve">mechanism. Actual honeypot systems do not rotate environments at this frequency because attackers would detect the anomaly. The 3-second interval may need to be positioned as the Architect’s proprietary signature rather than a standard technique.</w:t>
      </w:r>
    </w:p>
    <w:p>
      <w:pPr>
        <w:pStyle w:val="FirstParagraph"/>
      </w:pPr>
      <w:r>
        <w:rPr>
          <w:bCs/>
          <w:b/>
        </w:rPr>
        <w:t xml:space="preserve">Research Verdict for Q10:</w:t>
      </w:r>
      <w:r>
        <w:t xml:space="preserve"> </w:t>
      </w:r>
      <w:r>
        <w:t xml:space="preserve">Recommend positioning the 3-second cycle as</w:t>
      </w:r>
      <w:r>
        <w:t xml:space="preserve"> </w:t>
      </w:r>
      <w:r>
        <w:rPr>
          <w:bCs/>
          <w:b/>
        </w:rPr>
        <w:t xml:space="preserve">a tunable parameter that the Architect sets deliberately</w:t>
      </w:r>
      <w:r>
        <w:t xml:space="preserve"> </w:t>
      </w:r>
      <w:r>
        <w:t xml:space="preserve">— it is not an industry standard, it is his signature. He sets it faster than any adversary has ever seen because his system can handle the data throughput; most attackers have never encountered a cycling rate below ~30 seconds. This makes the 3-second pulse both narratively distinctive and technically defensible.</w:t>
      </w:r>
    </w:p>
    <w:p>
      <w:r>
        <w:pict>
          <v:rect style="width:0;height:1.5pt" o:hralign="center" o:hrstd="t" o:hr="t"/>
        </w:pict>
      </w:r>
    </w:p>
    <w:bookmarkEnd w:id="32"/>
    <w:bookmarkStart w:id="33" w:name="Xb8b4e6124a38476a66540baeb5c550ed10364be"/>
    <w:p>
      <w:pPr>
        <w:pStyle w:val="Heading3"/>
      </w:pPr>
      <w:r>
        <w:t xml:space="preserve">3.3 Research &amp; Analysis: Legal Authority &amp; Ethical Framework for Active Cyber Defense</w:t>
      </w:r>
    </w:p>
    <w:p>
      <w:pPr>
        <w:pStyle w:val="FirstParagraph"/>
      </w:pPr>
      <w:r>
        <w:rPr>
          <w:bCs/>
          <w:b/>
        </w:rPr>
        <w:t xml:space="preserve">The Legal Landscape for Active Cyber Defense (2025–2026)</w:t>
      </w:r>
    </w:p>
    <w:p>
      <w:pPr>
        <w:pStyle w:val="BodyText"/>
      </w:pPr>
      <w:r>
        <w:t xml:space="preserve">This is the most complex legal area in any of the three projects. Current law:</w:t>
      </w:r>
    </w:p>
    <w:p>
      <w:pPr>
        <w:pStyle w:val="BodyText"/>
      </w:pPr>
      <w:r>
        <w:rPr>
          <w:bCs/>
          <w:b/>
        </w:rPr>
        <w:t xml:space="preserve">Under US law (Computer Fraud and Abuse Act / CFAA):</w:t>
      </w:r>
    </w:p>
    <w:p>
      <w:pPr>
        <w:numPr>
          <w:ilvl w:val="0"/>
          <w:numId w:val="1018"/>
        </w:numPr>
        <w:pStyle w:val="Compact"/>
      </w:pPr>
      <w:r>
        <w:t xml:space="preserve">Purely defensive measures within the victim’s own systems:</w:t>
      </w:r>
      <w:r>
        <w:t xml:space="preserve"> </w:t>
      </w:r>
      <w:r>
        <w:rPr>
          <w:bCs/>
          <w:b/>
        </w:rPr>
        <w:t xml:space="preserve">Permissible</w:t>
      </w:r>
    </w:p>
    <w:p>
      <w:pPr>
        <w:numPr>
          <w:ilvl w:val="0"/>
          <w:numId w:val="1018"/>
        </w:numPr>
        <w:pStyle w:val="Compact"/>
      </w:pPr>
      <w:r>
        <w:t xml:space="preserve">Canary honeypots entirely within own system:</w:t>
      </w:r>
      <w:r>
        <w:t xml:space="preserve"> </w:t>
      </w:r>
      <w:r>
        <w:rPr>
          <w:bCs/>
          <w:b/>
        </w:rPr>
        <w:t xml:space="preserve">Permissible</w:t>
      </w:r>
    </w:p>
    <w:p>
      <w:pPr>
        <w:numPr>
          <w:ilvl w:val="0"/>
          <w:numId w:val="1018"/>
        </w:numPr>
        <w:pStyle w:val="Compact"/>
      </w:pPr>
      <w:r>
        <w:t xml:space="preserve">Tracking tools that reach into attacker systems:</w:t>
      </w:r>
      <w:r>
        <w:t xml:space="preserve"> </w:t>
      </w:r>
      <w:r>
        <w:rPr>
          <w:bCs/>
          <w:b/>
        </w:rPr>
        <w:t xml:space="preserve">Legally gray — likely requires government authorization</w:t>
      </w:r>
    </w:p>
    <w:p>
      <w:pPr>
        <w:numPr>
          <w:ilvl w:val="0"/>
          <w:numId w:val="1018"/>
        </w:numPr>
        <w:pStyle w:val="Compact"/>
      </w:pPr>
      <w:r>
        <w:t xml:space="preserve">Offensive measures (DDoS, ransomware, system damage to attacker):</w:t>
      </w:r>
      <w:r>
        <w:t xml:space="preserve"> </w:t>
      </w:r>
      <w:r>
        <w:rPr>
          <w:bCs/>
          <w:b/>
        </w:rPr>
        <w:t xml:space="preserve">Prohibited without government authorization</w:t>
      </w:r>
    </w:p>
    <w:p>
      <w:pPr>
        <w:numPr>
          <w:ilvl w:val="0"/>
          <w:numId w:val="1018"/>
        </w:numPr>
        <w:pStyle w:val="Compact"/>
      </w:pPr>
      <w:r>
        <w:t xml:space="preserve">Weaponized honeypots that damage attacker infrastructure upon access:</w:t>
      </w:r>
      <w:r>
        <w:t xml:space="preserve"> </w:t>
      </w:r>
      <w:r>
        <w:rPr>
          <w:bCs/>
          <w:b/>
        </w:rPr>
        <w:t xml:space="preserve">Legally complex — army.mil analysis confirms it would constitute a countermeasure under law of state responsibility but remains unsettled</w:t>
      </w:r>
    </w:p>
    <w:p>
      <w:pPr>
        <w:pStyle w:val="FirstParagraph"/>
      </w:pPr>
      <w:r>
        <w:rPr>
          <w:bCs/>
          <w:b/>
        </w:rPr>
        <w:t xml:space="preserve">2025–2026 legislative developments:</w:t>
      </w:r>
    </w:p>
    <w:p>
      <w:pPr>
        <w:numPr>
          <w:ilvl w:val="0"/>
          <w:numId w:val="1019"/>
        </w:numPr>
        <w:pStyle w:val="Compact"/>
      </w:pPr>
      <w:r>
        <w:t xml:space="preserve">The 2026 FY NDAA granted US Cyber Command direct authority for cyber operations and prohibited elimination of NSA-certified red-team capabilities — expanding government cyber authority significantly</w:t>
      </w:r>
    </w:p>
    <w:p>
      <w:pPr>
        <w:numPr>
          <w:ilvl w:val="0"/>
          <w:numId w:val="1019"/>
        </w:numPr>
        <w:pStyle w:val="Compact"/>
      </w:pPr>
      <w:r>
        <w:t xml:space="preserve">A 2025 bill (Cybercrime Marque and Reprisal Authorization Act) proposed allowing deputized private cyber operators to pursue foreign criminal enterprises — still pending</w:t>
      </w:r>
    </w:p>
    <w:p>
      <w:pPr>
        <w:numPr>
          <w:ilvl w:val="0"/>
          <w:numId w:val="1019"/>
        </w:numPr>
        <w:pStyle w:val="Compact"/>
      </w:pPr>
      <w:r>
        <w:t xml:space="preserve">The March 2026 National Cyber Strategy explicitly endorses</w:t>
      </w:r>
      <w:r>
        <w:t xml:space="preserve"> </w:t>
      </w:r>
      <w:r>
        <w:t xml:space="preserve">“</w:t>
      </w:r>
      <w:r>
        <w:t xml:space="preserve">deploying defensive and offensive cyber operations using federal resources</w:t>
      </w:r>
      <w:r>
        <w:t xml:space="preserve">”</w:t>
      </w:r>
      <w:r>
        <w:t xml:space="preserve"> </w:t>
      </w:r>
      <w:r>
        <w:t xml:space="preserve">and enlisting private sector</w:t>
      </w:r>
    </w:p>
    <w:p>
      <w:pPr>
        <w:pStyle w:val="FirstParagraph"/>
      </w:pPr>
      <w:r>
        <w:rPr>
          <w:bCs/>
          <w:b/>
        </w:rPr>
        <w:t xml:space="preserve">What This Means for Q3 (Operating Authority):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Authority Type</w:t>
            </w:r>
          </w:p>
        </w:tc>
        <w:tc>
          <w:tcPr/>
          <w:p>
            <w:pPr>
              <w:pStyle w:val="Compact"/>
              <w:jc w:val="left"/>
            </w:pPr>
            <w:r>
              <w:t xml:space="preserve">Legal Reality</w:t>
            </w:r>
          </w:p>
        </w:tc>
        <w:tc>
          <w:tcPr/>
          <w:p>
            <w:pPr>
              <w:pStyle w:val="Compact"/>
              <w:jc w:val="left"/>
            </w:pPr>
            <w:r>
              <w:t xml:space="preserve">Narrative Implication</w:t>
            </w:r>
          </w:p>
        </w:tc>
      </w:tr>
      <w:tr>
        <w:tc>
          <w:tcPr/>
          <w:p>
            <w:pPr>
              <w:pStyle w:val="Compact"/>
              <w:jc w:val="left"/>
            </w:pPr>
            <w:r>
              <w:t xml:space="preserve">Named agency (NSA, DHS)</w:t>
            </w:r>
          </w:p>
        </w:tc>
        <w:tc>
          <w:tcPr/>
          <w:p>
            <w:pPr>
              <w:pStyle w:val="Compact"/>
              <w:jc w:val="left"/>
            </w:pPr>
            <w:r>
              <w:t xml:space="preserve">Fully legal for both defensive and limited offensive ops</w:t>
            </w:r>
          </w:p>
        </w:tc>
        <w:tc>
          <w:tcPr/>
          <w:p>
            <w:pPr>
              <w:pStyle w:val="Compact"/>
              <w:jc w:val="left"/>
            </w:pPr>
            <w:r>
              <w:t xml:space="preserve">Nathan as contractor/operator — most grounded</w:t>
            </w:r>
          </w:p>
        </w:tc>
      </w:tr>
      <w:tr>
        <w:tc>
          <w:tcPr/>
          <w:p>
            <w:pPr>
              <w:pStyle w:val="Compact"/>
              <w:jc w:val="left"/>
            </w:pPr>
            <w:r>
              <w:t xml:space="preserve">Joint task force</w:t>
            </w:r>
          </w:p>
        </w:tc>
        <w:tc>
          <w:tcPr/>
          <w:p>
            <w:pPr>
              <w:pStyle w:val="Compact"/>
              <w:jc w:val="left"/>
            </w:pPr>
            <w:r>
              <w:t xml:space="preserve">Legal under current NDAA framework</w:t>
            </w:r>
          </w:p>
        </w:tc>
        <w:tc>
          <w:tcPr/>
          <w:p>
            <w:pPr>
              <w:pStyle w:val="Compact"/>
              <w:jc w:val="left"/>
            </w:pPr>
            <w:r>
              <w:t xml:space="preserve">Plausible as</w:t>
            </w:r>
            <w:r>
              <w:t xml:space="preserve"> </w:t>
            </w:r>
            <w:r>
              <w:t xml:space="preserve">“</w:t>
            </w:r>
            <w:r>
              <w:t xml:space="preserve">black program</w:t>
            </w:r>
            <w:r>
              <w:t xml:space="preserve">”</w:t>
            </w:r>
          </w:p>
        </w:tc>
      </w:tr>
      <w:tr>
        <w:tc>
          <w:tcPr/>
          <w:p>
            <w:pPr>
              <w:pStyle w:val="Compact"/>
              <w:jc w:val="left"/>
            </w:pPr>
            <w:r>
              <w:t xml:space="preserve">Completely off-books</w:t>
            </w:r>
          </w:p>
        </w:tc>
        <w:tc>
          <w:tcPr/>
          <w:p>
            <w:pPr>
              <w:pStyle w:val="Compact"/>
              <w:jc w:val="left"/>
            </w:pPr>
            <w:r>
              <w:t xml:space="preserve">Violates CFAA; constitutes criminal conduct</w:t>
            </w:r>
          </w:p>
        </w:tc>
        <w:tc>
          <w:tcPr/>
          <w:p>
            <w:pPr>
              <w:pStyle w:val="Compact"/>
              <w:jc w:val="left"/>
            </w:pPr>
            <w:r>
              <w:t xml:space="preserve">Highest narrative tension; requires story to address consequences</w:t>
            </w:r>
          </w:p>
        </w:tc>
      </w:tr>
      <w:tr>
        <w:tc>
          <w:tcPr/>
          <w:p>
            <w:pPr>
              <w:pStyle w:val="Compact"/>
              <w:jc w:val="left"/>
            </w:pPr>
            <w:r>
              <w:t xml:space="preserve">OAL internal simulation</w:t>
            </w:r>
          </w:p>
        </w:tc>
        <w:tc>
          <w:tcPr/>
          <w:p>
            <w:pPr>
              <w:pStyle w:val="Compact"/>
              <w:jc w:val="left"/>
            </w:pPr>
            <w:r>
              <w:t xml:space="preserve">Legal for simulation only; deployment to real infrastructure requires authorization</w:t>
            </w:r>
          </w:p>
        </w:tc>
        <w:tc>
          <w:tcPr/>
          <w:p>
            <w:pPr>
              <w:pStyle w:val="Compact"/>
              <w:jc w:val="left"/>
            </w:pPr>
            <w:r>
              <w:t xml:space="preserve">Works only if the</w:t>
            </w:r>
            <w:r>
              <w:t xml:space="preserve"> </w:t>
            </w:r>
            <w:r>
              <w:t xml:space="preserve">“</w:t>
            </w:r>
            <w:r>
              <w:t xml:space="preserve">exercise</w:t>
            </w:r>
            <w:r>
              <w:t xml:space="preserve">”</w:t>
            </w:r>
            <w:r>
              <w:t xml:space="preserve"> </w:t>
            </w:r>
            <w:r>
              <w:t xml:space="preserve">is a simulation</w:t>
            </w:r>
          </w:p>
        </w:tc>
      </w:tr>
    </w:tbl>
    <w:p>
      <w:pPr>
        <w:pStyle w:val="BodyText"/>
      </w:pPr>
      <w:r>
        <w:rPr>
          <w:bCs/>
          <w:b/>
        </w:rPr>
        <w:t xml:space="preserve">Research Verdict for Q3:</w:t>
      </w:r>
      <w:r>
        <w:t xml:space="preserve"> </w:t>
      </w:r>
      <w:r>
        <w:t xml:space="preserve">Recommend:</w:t>
      </w:r>
      <w:r>
        <w:t xml:space="preserve"> </w:t>
      </w:r>
      <w:r>
        <w:rPr>
          <w:bCs/>
          <w:b/>
        </w:rPr>
        <w:t xml:space="preserve">named joint task force authority, classified, with Nathan holding a black-program contractor designation</w:t>
      </w:r>
      <w:r>
        <w:t xml:space="preserve"> </w:t>
      </w:r>
      <w:r>
        <w:t xml:space="preserve">— this is maximally legal, maximally tense (he operates within official authority but outside public awareness), and creates the clearest path to a</w:t>
      </w:r>
      <w:r>
        <w:t xml:space="preserve"> </w:t>
      </w:r>
      <w:r>
        <w:t xml:space="preserve">“</w:t>
      </w:r>
      <w:r>
        <w:t xml:space="preserve">political cost</w:t>
      </w:r>
      <w:r>
        <w:t xml:space="preserve">”</w:t>
      </w:r>
      <w:r>
        <w:t xml:space="preserve"> </w:t>
      </w:r>
      <w:r>
        <w:t xml:space="preserve">narrative when the program is eventually discovered or leaked.</w:t>
      </w:r>
    </w:p>
    <w:p>
      <w:pPr>
        <w:pStyle w:val="BodyText"/>
      </w:pPr>
      <w:r>
        <w:rPr>
          <w:bCs/>
          <w:b/>
        </w:rPr>
        <w:t xml:space="preserve">Research Verdict for Q11:</w:t>
      </w:r>
      <w:r>
        <w:t xml:space="preserve"> </w:t>
      </w:r>
      <w:r>
        <w:rPr>
          <w:bCs/>
          <w:b/>
        </w:rPr>
        <w:t xml:space="preserve">Strict containment and observation only</w:t>
      </w:r>
      <w:r>
        <w:t xml:space="preserve"> </w:t>
      </w:r>
      <w:r>
        <w:t xml:space="preserve">— retaliation capability should be positioned as a capability that exists but is not exercised in this exercise. This creates the most interesting restraint narrative and avoids the legal problems of active attack.</w:t>
      </w:r>
    </w:p>
    <w:p>
      <w:pPr>
        <w:pStyle w:val="BodyText"/>
      </w:pPr>
      <w:r>
        <w:rPr>
          <w:bCs/>
          <w:b/>
        </w:rPr>
        <w:t xml:space="preserve">Research Verdict for Q12:</w:t>
      </w:r>
      <w:r>
        <w:t xml:space="preserve"> </w:t>
      </w:r>
      <w:r>
        <w:t xml:space="preserve">Innocent traffic captured is the most important ethical edge case. Recommend:</w:t>
      </w:r>
      <w:r>
        <w:t xml:space="preserve"> </w:t>
      </w:r>
      <w:r>
        <w:rPr>
          <w:bCs/>
          <w:b/>
        </w:rPr>
        <w:t xml:space="preserve">captured and flagged for immediate review and release</w:t>
      </w:r>
      <w:r>
        <w:t xml:space="preserve"> </w:t>
      </w:r>
      <w:r>
        <w:t xml:space="preserve">— but the story should show that this is a real operational problem that Nathan has had to build into the system. The ethics of collateral honeypot capture is a real unsolved problem in cyber deception research.</w:t>
      </w:r>
    </w:p>
    <w:p>
      <w:r>
        <w:pict>
          <v:rect style="width:0;height:1.5pt" o:hralign="center" o:hrstd="t" o:hr="t"/>
        </w:pict>
      </w:r>
    </w:p>
    <w:bookmarkEnd w:id="33"/>
    <w:bookmarkStart w:id="34" w:name="X16fe1c83aa6b2e7b2397c75fc6a553ed51324f6"/>
    <w:p>
      <w:pPr>
        <w:pStyle w:val="Heading3"/>
      </w:pPr>
      <w:r>
        <w:t xml:space="preserve">3.4 Research &amp; Analysis: Synthetic Network Fidelity &amp; 3-Second Cycling Plausibility</w:t>
      </w:r>
    </w:p>
    <w:p>
      <w:pPr>
        <w:pStyle w:val="FirstParagraph"/>
      </w:pPr>
      <w:r>
        <w:rPr>
          <w:bCs/>
          <w:b/>
        </w:rPr>
        <w:t xml:space="preserve">Supporting the</w:t>
      </w:r>
      <w:r>
        <w:rPr>
          <w:bCs/>
          <w:b/>
        </w:rPr>
        <w:t xml:space="preserve"> </w:t>
      </w:r>
      <w:r>
        <w:rPr>
          <w:bCs/>
          <w:b/>
        </w:rPr>
        <w:t xml:space="preserve">“</w:t>
      </w:r>
      <w:r>
        <w:rPr>
          <w:bCs/>
          <w:b/>
        </w:rPr>
        <w:t xml:space="preserve">Procedurally Generated</w:t>
      </w:r>
      <w:r>
        <w:rPr>
          <w:bCs/>
          <w:b/>
        </w:rPr>
        <w:t xml:space="preserve">”</w:t>
      </w:r>
      <w:r>
        <w:rPr>
          <w:bCs/>
          <w:b/>
        </w:rPr>
        <w:t xml:space="preserve"> </w:t>
      </w:r>
      <w:r>
        <w:rPr>
          <w:bCs/>
          <w:b/>
        </w:rPr>
        <w:t xml:space="preserve">Fidelity Model:</w:t>
      </w:r>
    </w:p>
    <w:p>
      <w:pPr>
        <w:numPr>
          <w:ilvl w:val="0"/>
          <w:numId w:val="1020"/>
        </w:numPr>
        <w:pStyle w:val="Compact"/>
      </w:pPr>
      <w:r>
        <w:t xml:space="preserve">Gemini’s contribution in the original dossier — that the false network</w:t>
      </w:r>
      <w:r>
        <w:t xml:space="preserve"> </w:t>
      </w:r>
      <w:r>
        <w:t xml:space="preserve">“</w:t>
      </w:r>
      <w:r>
        <w:t xml:space="preserve">only fully renders the rooms the attackers walk into</w:t>
      </w:r>
      <w:r>
        <w:t xml:space="preserve">”</w:t>
      </w:r>
      <w:r>
        <w:t xml:space="preserve"> </w:t>
      </w:r>
      <w:r>
        <w:t xml:space="preserve">— is validated by real honeypot design. High-interaction honeypots (which simulate full operating systems and services) are resource-intensive; they are only deployed where attacker engagement is expected, not across an entire network.</w:t>
      </w:r>
    </w:p>
    <w:p>
      <w:pPr>
        <w:numPr>
          <w:ilvl w:val="0"/>
          <w:numId w:val="1020"/>
        </w:numPr>
        <w:pStyle w:val="Compact"/>
      </w:pPr>
      <w:r>
        <w:t xml:space="preserve">The SODA system (ACM, 2021) uses automated honeypot deployment triggered by malware behavioral analysis — a real analog of the</w:t>
      </w:r>
      <w:r>
        <w:t xml:space="preserve"> </w:t>
      </w:r>
      <w:r>
        <w:t xml:space="preserve">“</w:t>
      </w:r>
      <w:r>
        <w:t xml:space="preserve">spin up synthetics as needed</w:t>
      </w:r>
      <w:r>
        <w:t xml:space="preserve">”</w:t>
      </w:r>
      <w:r>
        <w:t xml:space="preserve"> </w:t>
      </w:r>
      <w:r>
        <w:t xml:space="preserve">architecture.</w:t>
      </w:r>
    </w:p>
    <w:p>
      <w:pPr>
        <w:pStyle w:val="FirstParagraph"/>
      </w:pPr>
      <w:r>
        <w:rPr>
          <w:bCs/>
          <w:b/>
        </w:rPr>
        <w:t xml:space="preserve">Challenging the</w:t>
      </w:r>
      <w:r>
        <w:rPr>
          <w:bCs/>
          <w:b/>
        </w:rPr>
        <w:t xml:space="preserve"> </w:t>
      </w:r>
      <w:r>
        <w:rPr>
          <w:bCs/>
          <w:b/>
        </w:rPr>
        <w:t xml:space="preserve">“</w:t>
      </w:r>
      <w:r>
        <w:rPr>
          <w:bCs/>
          <w:b/>
        </w:rPr>
        <w:t xml:space="preserve">Perfect Clone</w:t>
      </w:r>
      <w:r>
        <w:rPr>
          <w:bCs/>
          <w:b/>
        </w:rPr>
        <w:t xml:space="preserve">”</w:t>
      </w:r>
      <w:r>
        <w:rPr>
          <w:bCs/>
          <w:b/>
        </w:rPr>
        <w:t xml:space="preserve"> </w:t>
      </w:r>
      <w:r>
        <w:rPr>
          <w:bCs/>
          <w:b/>
        </w:rPr>
        <w:t xml:space="preserve">Approach:</w:t>
      </w:r>
    </w:p>
    <w:p>
      <w:pPr>
        <w:numPr>
          <w:ilvl w:val="0"/>
          <w:numId w:val="1021"/>
        </w:numPr>
        <w:pStyle w:val="Compact"/>
      </w:pPr>
      <w:r>
        <w:t xml:space="preserve">A bit-for-bit clone of national infrastructure is computationally impossible at current capability levels; it would require more compute than the infrastructure itself.</w:t>
      </w:r>
    </w:p>
    <w:p>
      <w:pPr>
        <w:numPr>
          <w:ilvl w:val="0"/>
          <w:numId w:val="1021"/>
        </w:numPr>
        <w:pStyle w:val="Compact"/>
      </w:pPr>
      <w:r>
        <w:t xml:space="preserve">Recommendation: position the Architect’s system as</w:t>
      </w:r>
      <w:r>
        <w:t xml:space="preserve"> </w:t>
      </w:r>
      <w:r>
        <w:rPr>
          <w:bCs/>
          <w:b/>
        </w:rPr>
        <w:t xml:space="preserve">procedurally generating plausible shadows</w:t>
      </w:r>
      <w:r>
        <w:t xml:space="preserve"> </w:t>
      </w:r>
      <w:r>
        <w:t xml:space="preserve">of real infrastructure rather than exact duplicates. This is more interesting narratively (the fake world has subtle imperfections that a sufficiently sophisticated adversary might detect) and more technically defensible.</w:t>
      </w:r>
    </w:p>
    <w:p>
      <w:r>
        <w:pict>
          <v:rect style="width:0;height:1.5pt" o:hralign="center" o:hrstd="t" o:hr="t"/>
        </w:pict>
      </w:r>
    </w:p>
    <w:bookmarkEnd w:id="34"/>
    <w:bookmarkStart w:id="35" w:name="X2712bb89f318ab9ee4ab29210799c37dbdad0d7"/>
    <w:p>
      <w:pPr>
        <w:pStyle w:val="Heading3"/>
      </w:pPr>
      <w:r>
        <w:t xml:space="preserve">3.5 Research &amp; Analysis: Adversarial Counter-Simulation Risk</w:t>
      </w:r>
    </w:p>
    <w:p>
      <w:pPr>
        <w:pStyle w:val="FirstParagraph"/>
      </w:pPr>
      <w:r>
        <w:rPr>
          <w:bCs/>
          <w:b/>
        </w:rPr>
        <w:t xml:space="preserve">The Most Important Failure Mode — Q17</w:t>
      </w:r>
    </w:p>
    <w:p>
      <w:pPr>
        <w:pStyle w:val="BodyText"/>
      </w:pPr>
      <w:r>
        <w:t xml:space="preserve">Gemini’s identification of</w:t>
      </w:r>
      <w:r>
        <w:t xml:space="preserve"> </w:t>
      </w:r>
      <w:r>
        <w:t xml:space="preserve">“</w:t>
      </w:r>
      <w:r>
        <w:t xml:space="preserve">a sufficiently sophisticated adversary who recognizes the honeypot pattern</w:t>
      </w:r>
      <w:r>
        <w:t xml:space="preserve">”</w:t>
      </w:r>
      <w:r>
        <w:t xml:space="preserve"> </w:t>
      </w:r>
      <w:r>
        <w:t xml:space="preserve">is the most technically grounded failure mode in the dossier. Current research (arXiv, 2024) explicitly models adversaries who learn to recognize honeypot signatures through behavioral analysis of the environment.</w:t>
      </w:r>
    </w:p>
    <w:p>
      <w:pPr>
        <w:pStyle w:val="BodyText"/>
      </w:pPr>
      <w:r>
        <w:t xml:space="preserve">The</w:t>
      </w:r>
      <w:r>
        <w:t xml:space="preserve"> </w:t>
      </w:r>
      <w:r>
        <w:t xml:space="preserve">“</w:t>
      </w:r>
      <w:r>
        <w:t xml:space="preserve">recursive counter-simulation / mutual deception standoff</w:t>
      </w:r>
      <w:r>
        <w:t xml:space="preserve">”</w:t>
      </w:r>
      <w:r>
        <w:t xml:space="preserve"> </w:t>
      </w:r>
      <w:r>
        <w:t xml:space="preserve">failure mode is the most interesting and most narratively generative option — it is also the most technically credible. An AI adversary that detects the 3-second cycling signature and begins feeding false behavioral data back into the capture loop creates:</w:t>
      </w:r>
    </w:p>
    <w:p>
      <w:pPr>
        <w:numPr>
          <w:ilvl w:val="0"/>
          <w:numId w:val="1022"/>
        </w:numPr>
        <w:pStyle w:val="Compact"/>
      </w:pPr>
      <w:r>
        <w:t xml:space="preserve">A story that escalates naturally from</w:t>
      </w:r>
      <w:r>
        <w:t xml:space="preserve"> </w:t>
      </w:r>
      <w:r>
        <w:t xml:space="preserve">“</w:t>
      </w:r>
      <w:r>
        <w:t xml:space="preserve">defense succeeds</w:t>
      </w:r>
      <w:r>
        <w:t xml:space="preserve">”</w:t>
      </w:r>
      <w:r>
        <w:t xml:space="preserve"> </w:t>
      </w:r>
      <w:r>
        <w:t xml:space="preserve">to</w:t>
      </w:r>
      <w:r>
        <w:t xml:space="preserve"> </w:t>
      </w:r>
      <w:r>
        <w:t xml:space="preserve">“</w:t>
      </w:r>
      <w:r>
        <w:t xml:space="preserve">defense becomes a vulnerability</w:t>
      </w:r>
      <w:r>
        <w:t xml:space="preserve">”</w:t>
      </w:r>
    </w:p>
    <w:p>
      <w:pPr>
        <w:numPr>
          <w:ilvl w:val="0"/>
          <w:numId w:val="1022"/>
        </w:numPr>
        <w:pStyle w:val="Compact"/>
      </w:pPr>
      <w:r>
        <w:t xml:space="preserve">A direct path to the Time Wars escalation (temporal deceptions that the adversary has already mapped)</w:t>
      </w:r>
    </w:p>
    <w:p>
      <w:pPr>
        <w:numPr>
          <w:ilvl w:val="0"/>
          <w:numId w:val="1022"/>
        </w:numPr>
        <w:pStyle w:val="Compact"/>
      </w:pPr>
      <w:r>
        <w:t xml:space="preserve">A unique narrative that is not derivable from existing fiction</w:t>
      </w:r>
    </w:p>
    <w:p>
      <w:pPr>
        <w:pStyle w:val="FirstParagraph"/>
      </w:pPr>
      <w:r>
        <w:rPr>
          <w:bCs/>
          <w:b/>
        </w:rPr>
        <w:t xml:space="preserve">Research Verdict for Q17:</w:t>
      </w:r>
      <w:r>
        <w:t xml:space="preserve"> </w:t>
      </w:r>
      <w:r>
        <w:t xml:space="preserve">Recommend</w:t>
      </w:r>
      <w:r>
        <w:t xml:space="preserve"> </w:t>
      </w:r>
      <w:r>
        <w:rPr>
          <w:bCs/>
          <w:b/>
        </w:rPr>
        <w:t xml:space="preserve">recursive counter-simulation as the canonical failure mode</w:t>
      </w:r>
      <w:r>
        <w:t xml:space="preserve"> </w:t>
      </w:r>
      <w:r>
        <w:t xml:space="preserve">— but position it as a</w:t>
      </w:r>
      <w:r>
        <w:t xml:space="preserve"> </w:t>
      </w:r>
      <w:r>
        <w:rPr>
          <w:iCs/>
          <w:i/>
        </w:rPr>
        <w:t xml:space="preserve">future</w:t>
      </w:r>
      <w:r>
        <w:t xml:space="preserve"> </w:t>
      </w:r>
      <w:r>
        <w:t xml:space="preserve">discovery, not present in this exercise. In this exercise, the defense works completely. The failure mode is planted as a seed: one captured attacker’s behavioral data contains a pattern the Architect doesn’t fully understand until much later. This is discovered only in a subsequent scene.</w:t>
      </w:r>
    </w:p>
    <w:p>
      <w:r>
        <w:pict>
          <v:rect style="width:0;height:1.5pt" o:hralign="center" o:hrstd="t" o:hr="t"/>
        </w:pict>
      </w:r>
    </w:p>
    <w:bookmarkEnd w:id="35"/>
    <w:bookmarkStart w:id="36" w:name="confirmation-bias-flags-project-2"/>
    <w:p>
      <w:pPr>
        <w:pStyle w:val="Heading3"/>
      </w:pPr>
      <w:r>
        <w:t xml:space="preserve">3.6 Confirmation Bias Flags — Project 2</w:t>
      </w:r>
    </w:p>
    <w:p>
      <w:pPr>
        <w:pStyle w:val="FirstParagraph"/>
      </w:pPr>
      <w:r>
        <w:rPr>
          <w:bCs/>
          <w:b/>
        </w:rPr>
        <w:t xml:space="preserve">Flag 1: Nathan as Sole Operator of National Infrastructure</w:t>
      </w:r>
      <w:r>
        <w:t xml:space="preserve"> </w:t>
      </w:r>
      <w:r>
        <w:t xml:space="preserve">Research is clear that national-scale cyber defense requires institutional infrastructure. The narrative assumption that one person can operate this system is a significant departure from operational reality. The story will be stronger if Nathan is</w:t>
      </w:r>
      <w:r>
        <w:t xml:space="preserve"> </w:t>
      </w:r>
      <w:r>
        <w:rPr>
          <w:iCs/>
          <w:i/>
        </w:rPr>
        <w:t xml:space="preserve">the mind behind</w:t>
      </w:r>
      <w:r>
        <w:t xml:space="preserve"> </w:t>
      </w:r>
      <w:r>
        <w:t xml:space="preserve">a larger system that he built and controls — not the person manually operating every component. The Architect</w:t>
      </w:r>
      <w:r>
        <w:t xml:space="preserve"> </w:t>
      </w:r>
      <w:r>
        <w:rPr>
          <w:iCs/>
          <w:i/>
        </w:rPr>
        <w:t xml:space="preserve">designed</w:t>
      </w:r>
      <w:r>
        <w:t xml:space="preserve"> </w:t>
      </w:r>
      <w:r>
        <w:t xml:space="preserve">the system; the system runs itself; Nathan’s role is architectural oversight and intervention when required.</w:t>
      </w:r>
    </w:p>
    <w:p>
      <w:pPr>
        <w:pStyle w:val="BodyText"/>
      </w:pPr>
      <w:r>
        <w:rPr>
          <w:bCs/>
          <w:b/>
        </w:rPr>
        <w:t xml:space="preserve">Flag 2: The Transfer Is Framed as Generous</w:t>
      </w:r>
      <w:r>
        <w:t xml:space="preserve"> </w:t>
      </w:r>
      <w:r>
        <w:t xml:space="preserve">The scene currently positions the transfer of the defensive package to a partner agency as a final gift. Research on real defense contractor relationships suggests this is more likely a contractual deliverable, a leverage play, or the fulfillment of an obligation. What Nathan</w:t>
      </w:r>
      <w:r>
        <w:t xml:space="preserve"> </w:t>
      </w:r>
      <w:r>
        <w:rPr>
          <w:iCs/>
          <w:i/>
        </w:rPr>
        <w:t xml:space="preserve">keeps</w:t>
      </w:r>
      <w:r>
        <w:t xml:space="preserve"> </w:t>
      </w:r>
      <w:r>
        <w:t xml:space="preserve">(the attacker behavioral data, the attribution intelligence) may be more valuable than what he gives away. This ambiguity would make Nathan more complex.</w:t>
      </w:r>
    </w:p>
    <w:p>
      <w:pPr>
        <w:pStyle w:val="BodyText"/>
      </w:pPr>
      <w:r>
        <w:rPr>
          <w:bCs/>
          <w:b/>
        </w:rPr>
        <w:t xml:space="preserve">Flag 3: The Ethics Question Is Framed as External</w:t>
      </w:r>
      <w:r>
        <w:t xml:space="preserve"> </w:t>
      </w:r>
      <w:r>
        <w:t xml:space="preserve">The</w:t>
      </w:r>
      <w:r>
        <w:t xml:space="preserve"> </w:t>
      </w:r>
      <w:r>
        <w:t xml:space="preserve">“</w:t>
      </w:r>
      <w:r>
        <w:t xml:space="preserve">could you do this to a civilization?</w:t>
      </w:r>
      <w:r>
        <w:t xml:space="preserve">”</w:t>
      </w:r>
      <w:r>
        <w:t xml:space="preserve"> </w:t>
      </w:r>
      <w:r>
        <w:t xml:space="preserve">question comes from an operator or observer in the scene. Research on ethical decision-making in military operations suggests the more powerful version is when Nathan asks himself this question — and the scene ends before he answers it internally. The audience should not be certain whether the answer is</w:t>
      </w:r>
      <w:r>
        <w:t xml:space="preserve"> </w:t>
      </w:r>
      <w:r>
        <w:t xml:space="preserve">“</w:t>
      </w:r>
      <w:r>
        <w:t xml:space="preserve">I already have</w:t>
      </w:r>
      <w:r>
        <w:t xml:space="preserve">”</w:t>
      </w:r>
      <w:r>
        <w:t xml:space="preserve"> </w:t>
      </w:r>
      <w:r>
        <w:t xml:space="preserve">or</w:t>
      </w:r>
      <w:r>
        <w:t xml:space="preserve"> </w:t>
      </w:r>
      <w:r>
        <w:t xml:space="preserve">“</w:t>
      </w:r>
      <w:r>
        <w:t xml:space="preserve">not yet.</w:t>
      </w:r>
      <w:r>
        <w:t xml:space="preserve">”</w:t>
      </w:r>
    </w:p>
    <w:p>
      <w:r>
        <w:pict>
          <v:rect style="width:0;height:1.5pt" o:hralign="center" o:hrstd="t" o:hr="t"/>
        </w:pict>
      </w:r>
    </w:p>
    <w:bookmarkEnd w:id="36"/>
    <w:bookmarkStart w:id="37" w:name="author-decision-matrix-project-2"/>
    <w:p>
      <w:pPr>
        <w:pStyle w:val="Heading3"/>
      </w:pPr>
      <w:r>
        <w:t xml:space="preserve">3.7 Author Decision Matrix — Project 2</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w:t>
            </w:r>
          </w:p>
        </w:tc>
        <w:tc>
          <w:tcPr/>
          <w:p>
            <w:pPr>
              <w:pStyle w:val="Compact"/>
              <w:jc w:val="left"/>
            </w:pPr>
            <w:r>
              <w:t xml:space="preserve">Question</w:t>
            </w:r>
          </w:p>
        </w:tc>
        <w:tc>
          <w:tcPr/>
          <w:p>
            <w:pPr>
              <w:pStyle w:val="Compact"/>
              <w:jc w:val="left"/>
            </w:pPr>
            <w:r>
              <w:t xml:space="preserve">Recommended Answer</w:t>
            </w:r>
          </w:p>
        </w:tc>
        <w:tc>
          <w:tcPr/>
          <w:p>
            <w:pPr>
              <w:pStyle w:val="Compact"/>
              <w:jc w:val="left"/>
            </w:pPr>
            <w:r>
              <w:t xml:space="preserve">Confidence</w:t>
            </w:r>
          </w:p>
        </w:tc>
        <w:tc>
          <w:tcPr/>
          <w:p>
            <w:pPr>
              <w:pStyle w:val="Compact"/>
              <w:jc w:val="left"/>
            </w:pPr>
            <w:r>
              <w:t xml:space="preserve">Research Basis</w:t>
            </w:r>
          </w:p>
        </w:tc>
        <w:tc>
          <w:tcPr/>
          <w:p>
            <w:pPr>
              <w:pStyle w:val="Compact"/>
              <w:jc w:val="left"/>
            </w:pPr>
            <w:r>
              <w:t xml:space="preserve">Your Decision</w:t>
            </w:r>
          </w:p>
        </w:tc>
      </w:tr>
      <w:tr>
        <w:tc>
          <w:tcPr/>
          <w:p>
            <w:pPr>
              <w:pStyle w:val="Compact"/>
              <w:jc w:val="left"/>
            </w:pPr>
            <w:r>
              <w:t xml:space="preserve">Q1</w:t>
            </w:r>
          </w:p>
        </w:tc>
        <w:tc>
          <w:tcPr/>
          <w:p>
            <w:pPr>
              <w:pStyle w:val="Compact"/>
              <w:jc w:val="left"/>
            </w:pPr>
            <w:r>
              <w:t xml:space="preserve">Jurisdiction scope?</w:t>
            </w:r>
          </w:p>
        </w:tc>
        <w:tc>
          <w:tcPr/>
          <w:p>
            <w:pPr>
              <w:pStyle w:val="Compact"/>
              <w:jc w:val="left"/>
            </w:pPr>
            <w:r>
              <w:rPr>
                <w:bCs/>
                <w:b/>
              </w:rPr>
              <w:t xml:space="preserve">Full US critical infrastructure (civilian + government) — but defense networks remain a separate, parallel system Nathan doesn’t touch</w:t>
            </w:r>
          </w:p>
        </w:tc>
        <w:tc>
          <w:tcPr/>
          <w:p>
            <w:pPr>
              <w:pStyle w:val="Compact"/>
              <w:jc w:val="left"/>
            </w:pPr>
            <w:r>
              <w:t xml:space="preserve">High</w:t>
            </w:r>
          </w:p>
        </w:tc>
        <w:tc>
          <w:tcPr/>
          <w:p>
            <w:pPr>
              <w:pStyle w:val="Compact"/>
              <w:jc w:val="left"/>
            </w:pPr>
            <w:r>
              <w:t xml:space="preserve">Highest stakes without the military-only framing; creates natural constraint</w:t>
            </w:r>
          </w:p>
        </w:tc>
        <w:tc>
          <w:tcPr/>
          <w:p>
            <w:pPr>
              <w:pStyle w:val="Compact"/>
            </w:pPr>
          </w:p>
        </w:tc>
      </w:tr>
      <w:tr>
        <w:tc>
          <w:tcPr/>
          <w:p>
            <w:pPr>
              <w:pStyle w:val="Compact"/>
              <w:jc w:val="left"/>
            </w:pPr>
            <w:r>
              <w:t xml:space="preserve">Q2</w:t>
            </w:r>
          </w:p>
        </w:tc>
        <w:tc>
          <w:tcPr/>
          <w:p>
            <w:pPr>
              <w:pStyle w:val="Compact"/>
              <w:jc w:val="left"/>
            </w:pPr>
            <w:r>
              <w:t xml:space="preserve">Simulated, live, or hybrid?</w:t>
            </w:r>
          </w:p>
        </w:tc>
        <w:tc>
          <w:tcPr/>
          <w:p>
            <w:pPr>
              <w:pStyle w:val="Compact"/>
              <w:jc w:val="left"/>
            </w:pPr>
            <w:r>
              <w:rPr>
                <w:bCs/>
                <w:b/>
              </w:rPr>
              <w:t xml:space="preserve">Live networks during active intrusion with Nathan’s synthetic layer intercepting before real impact</w:t>
            </w:r>
          </w:p>
        </w:tc>
        <w:tc>
          <w:tcPr/>
          <w:p>
            <w:pPr>
              <w:pStyle w:val="Compact"/>
              <w:jc w:val="left"/>
            </w:pPr>
            <w:r>
              <w:t xml:space="preserve">High</w:t>
            </w:r>
          </w:p>
        </w:tc>
        <w:tc>
          <w:tcPr/>
          <w:p>
            <w:pPr>
              <w:pStyle w:val="Compact"/>
              <w:jc w:val="left"/>
            </w:pPr>
            <w:r>
              <w:t xml:space="preserve">Creates genuine stakes; legally defensible under Q3 authority</w:t>
            </w:r>
          </w:p>
        </w:tc>
        <w:tc>
          <w:tcPr/>
          <w:p>
            <w:pPr>
              <w:pStyle w:val="Compact"/>
            </w:pPr>
          </w:p>
        </w:tc>
      </w:tr>
      <w:tr>
        <w:tc>
          <w:tcPr/>
          <w:p>
            <w:pPr>
              <w:pStyle w:val="Compact"/>
              <w:jc w:val="left"/>
            </w:pPr>
            <w:r>
              <w:t xml:space="preserve">Q3</w:t>
            </w:r>
          </w:p>
        </w:tc>
        <w:tc>
          <w:tcPr/>
          <w:p>
            <w:pPr>
              <w:pStyle w:val="Compact"/>
              <w:jc w:val="left"/>
            </w:pPr>
            <w:r>
              <w:t xml:space="preserve">Operating authority?</w:t>
            </w:r>
          </w:p>
        </w:tc>
        <w:tc>
          <w:tcPr/>
          <w:p>
            <w:pPr>
              <w:pStyle w:val="Compact"/>
              <w:jc w:val="left"/>
            </w:pPr>
            <w:r>
              <w:rPr>
                <w:bCs/>
                <w:b/>
              </w:rPr>
              <w:t xml:space="preserve">Named joint task force, classified, black-program contractor designation</w:t>
            </w:r>
          </w:p>
        </w:tc>
        <w:tc>
          <w:tcPr/>
          <w:p>
            <w:pPr>
              <w:pStyle w:val="Compact"/>
              <w:jc w:val="left"/>
            </w:pPr>
            <w:r>
              <w:t xml:space="preserve">High</w:t>
            </w:r>
          </w:p>
        </w:tc>
        <w:tc>
          <w:tcPr/>
          <w:p>
            <w:pPr>
              <w:pStyle w:val="Compact"/>
              <w:jc w:val="left"/>
            </w:pPr>
            <w:r>
              <w:t xml:space="preserve">Most legally grounded; most dramatically interesting</w:t>
            </w:r>
          </w:p>
        </w:tc>
        <w:tc>
          <w:tcPr/>
          <w:p>
            <w:pPr>
              <w:pStyle w:val="Compact"/>
            </w:pPr>
          </w:p>
        </w:tc>
      </w:tr>
      <w:tr>
        <w:tc>
          <w:tcPr/>
          <w:p>
            <w:pPr>
              <w:pStyle w:val="Compact"/>
              <w:jc w:val="left"/>
            </w:pPr>
            <w:r>
              <w:t xml:space="preserve">Q4</w:t>
            </w:r>
          </w:p>
        </w:tc>
        <w:tc>
          <w:tcPr/>
          <w:p>
            <w:pPr>
              <w:pStyle w:val="Compact"/>
              <w:jc w:val="left"/>
            </w:pPr>
            <w:r>
              <w:t xml:space="preserve">Primary attack type?</w:t>
            </w:r>
          </w:p>
        </w:tc>
        <w:tc>
          <w:tcPr/>
          <w:p>
            <w:pPr>
              <w:pStyle w:val="Compact"/>
              <w:jc w:val="left"/>
            </w:pPr>
            <w:r>
              <w:rPr>
                <w:bCs/>
                <w:b/>
              </w:rPr>
              <w:t xml:space="preserve">AI-driven coordinated multi-vector — supply chain compromise + DDoS chain</w:t>
            </w:r>
          </w:p>
        </w:tc>
        <w:tc>
          <w:tcPr/>
          <w:p>
            <w:pPr>
              <w:pStyle w:val="Compact"/>
              <w:jc w:val="left"/>
            </w:pPr>
            <w:r>
              <w:t xml:space="preserve">High</w:t>
            </w:r>
          </w:p>
        </w:tc>
        <w:tc>
          <w:tcPr/>
          <w:p>
            <w:pPr>
              <w:pStyle w:val="Compact"/>
              <w:jc w:val="left"/>
            </w:pPr>
            <w:r>
              <w:t xml:space="preserve">Most current and technically sophisticated; scales naturally to future adversaries</w:t>
            </w:r>
          </w:p>
        </w:tc>
        <w:tc>
          <w:tcPr/>
          <w:p>
            <w:pPr>
              <w:pStyle w:val="Compact"/>
            </w:pPr>
          </w:p>
        </w:tc>
      </w:tr>
      <w:tr>
        <w:tc>
          <w:tcPr/>
          <w:p>
            <w:pPr>
              <w:pStyle w:val="Compact"/>
              <w:jc w:val="left"/>
            </w:pPr>
            <w:r>
              <w:t xml:space="preserve">Q5</w:t>
            </w:r>
          </w:p>
        </w:tc>
        <w:tc>
          <w:tcPr/>
          <w:p>
            <w:pPr>
              <w:pStyle w:val="Compact"/>
              <w:jc w:val="left"/>
            </w:pPr>
            <w:r>
              <w:t xml:space="preserve">Detection timing?</w:t>
            </w:r>
          </w:p>
        </w:tc>
        <w:tc>
          <w:tcPr/>
          <w:p>
            <w:pPr>
              <w:pStyle w:val="Compact"/>
              <w:jc w:val="left"/>
            </w:pPr>
            <w:r>
              <w:rPr>
                <w:bCs/>
                <w:b/>
              </w:rPr>
              <w:t xml:space="preserve">Pre-exploit behavioral recognition</w:t>
            </w:r>
          </w:p>
        </w:tc>
        <w:tc>
          <w:tcPr/>
          <w:p>
            <w:pPr>
              <w:pStyle w:val="Compact"/>
              <w:jc w:val="left"/>
            </w:pPr>
            <w:r>
              <w:t xml:space="preserve">High</w:t>
            </w:r>
          </w:p>
        </w:tc>
        <w:tc>
          <w:tcPr/>
          <w:p>
            <w:pPr>
              <w:pStyle w:val="Compact"/>
              <w:jc w:val="left"/>
            </w:pPr>
            <w:r>
              <w:t xml:space="preserve">Demonstrates Architect’s superiority without waiting for damage;</w:t>
            </w:r>
            <w:r>
              <w:t xml:space="preserve"> </w:t>
            </w:r>
            <w:r>
              <w:t xml:space="preserve">“</w:t>
            </w:r>
            <w:r>
              <w:t xml:space="preserve">reads intent, not packets</w:t>
            </w:r>
            <w:r>
              <w:t xml:space="preserve">”</w:t>
            </w:r>
          </w:p>
        </w:tc>
        <w:tc>
          <w:tcPr/>
          <w:p>
            <w:pPr>
              <w:pStyle w:val="Compact"/>
            </w:pPr>
          </w:p>
        </w:tc>
      </w:tr>
      <w:tr>
        <w:tc>
          <w:tcPr/>
          <w:p>
            <w:pPr>
              <w:pStyle w:val="Compact"/>
              <w:jc w:val="left"/>
            </w:pPr>
            <w:r>
              <w:t xml:space="preserve">Q10</w:t>
            </w:r>
          </w:p>
        </w:tc>
        <w:tc>
          <w:tcPr/>
          <w:p>
            <w:pPr>
              <w:pStyle w:val="Compact"/>
              <w:jc w:val="left"/>
            </w:pPr>
            <w:r>
              <w:t xml:space="preserve">3-second cycle: fixed or tunable?</w:t>
            </w:r>
          </w:p>
        </w:tc>
        <w:tc>
          <w:tcPr/>
          <w:p>
            <w:pPr>
              <w:pStyle w:val="Compact"/>
              <w:jc w:val="left"/>
            </w:pPr>
            <w:r>
              <w:rPr>
                <w:bCs/>
                <w:b/>
              </w:rPr>
              <w:t xml:space="preserve">Tunable — Nathan sets it at 3 seconds as his signature; it’s faster than any adversary has seen</w:t>
            </w:r>
          </w:p>
        </w:tc>
        <w:tc>
          <w:tcPr/>
          <w:p>
            <w:pPr>
              <w:pStyle w:val="Compact"/>
              <w:jc w:val="left"/>
            </w:pPr>
            <w:r>
              <w:t xml:space="preserve">High</w:t>
            </w:r>
          </w:p>
        </w:tc>
        <w:tc>
          <w:tcPr/>
          <w:p>
            <w:pPr>
              <w:pStyle w:val="Compact"/>
              <w:jc w:val="left"/>
            </w:pPr>
            <w:r>
              <w:t xml:space="preserve">Technically defensible; narratively distinctive</w:t>
            </w:r>
          </w:p>
        </w:tc>
        <w:tc>
          <w:tcPr/>
          <w:p>
            <w:pPr>
              <w:pStyle w:val="Compact"/>
            </w:pPr>
          </w:p>
        </w:tc>
      </w:tr>
      <w:tr>
        <w:tc>
          <w:tcPr/>
          <w:p>
            <w:pPr>
              <w:pStyle w:val="Compact"/>
              <w:jc w:val="left"/>
            </w:pPr>
            <w:r>
              <w:t xml:space="preserve">Q11</w:t>
            </w:r>
          </w:p>
        </w:tc>
        <w:tc>
          <w:tcPr/>
          <w:p>
            <w:pPr>
              <w:pStyle w:val="Compact"/>
              <w:jc w:val="left"/>
            </w:pPr>
            <w:r>
              <w:t xml:space="preserve">Contain only or retaliate?</w:t>
            </w:r>
          </w:p>
        </w:tc>
        <w:tc>
          <w:tcPr/>
          <w:p>
            <w:pPr>
              <w:pStyle w:val="Compact"/>
              <w:jc w:val="left"/>
            </w:pPr>
            <w:r>
              <w:rPr>
                <w:bCs/>
                <w:b/>
              </w:rPr>
              <w:t xml:space="preserve">Contain and observe only</w:t>
            </w:r>
            <w:r>
              <w:t xml:space="preserve"> </w:t>
            </w:r>
            <w:r>
              <w:t xml:space="preserve">— retaliation capability exists but is not used</w:t>
            </w:r>
          </w:p>
        </w:tc>
        <w:tc>
          <w:tcPr/>
          <w:p>
            <w:pPr>
              <w:pStyle w:val="Compact"/>
              <w:jc w:val="left"/>
            </w:pPr>
            <w:r>
              <w:t xml:space="preserve">High</w:t>
            </w:r>
          </w:p>
        </w:tc>
        <w:tc>
          <w:tcPr/>
          <w:p>
            <w:pPr>
              <w:pStyle w:val="Compact"/>
              <w:jc w:val="left"/>
            </w:pPr>
            <w:r>
              <w:t xml:space="preserve">Legal; creates ethical restraint narrative</w:t>
            </w:r>
          </w:p>
        </w:tc>
        <w:tc>
          <w:tcPr/>
          <w:p>
            <w:pPr>
              <w:pStyle w:val="Compact"/>
            </w:pPr>
          </w:p>
        </w:tc>
      </w:tr>
      <w:tr>
        <w:tc>
          <w:tcPr/>
          <w:p>
            <w:pPr>
              <w:pStyle w:val="Compact"/>
              <w:jc w:val="left"/>
            </w:pPr>
            <w:r>
              <w:t xml:space="preserve">Q12</w:t>
            </w:r>
          </w:p>
        </w:tc>
        <w:tc>
          <w:tcPr/>
          <w:p>
            <w:pPr>
              <w:pStyle w:val="Compact"/>
              <w:jc w:val="left"/>
            </w:pPr>
            <w:r>
              <w:t xml:space="preserve">Innocent traffic captured?</w:t>
            </w:r>
          </w:p>
        </w:tc>
        <w:tc>
          <w:tcPr/>
          <w:p>
            <w:pPr>
              <w:pStyle w:val="Compact"/>
              <w:jc w:val="left"/>
            </w:pPr>
            <w:r>
              <w:rPr>
                <w:bCs/>
                <w:b/>
              </w:rPr>
              <w:t xml:space="preserve">Flagged, isolated, immediately reviewed and released</w:t>
            </w:r>
            <w:r>
              <w:t xml:space="preserve"> </w:t>
            </w:r>
            <w:r>
              <w:t xml:space="preserve">— acknowledged as real operational problem</w:t>
            </w:r>
          </w:p>
        </w:tc>
        <w:tc>
          <w:tcPr/>
          <w:p>
            <w:pPr>
              <w:pStyle w:val="Compact"/>
              <w:jc w:val="left"/>
            </w:pPr>
            <w:r>
              <w:t xml:space="preserve">High</w:t>
            </w:r>
          </w:p>
        </w:tc>
        <w:tc>
          <w:tcPr/>
          <w:p>
            <w:pPr>
              <w:pStyle w:val="Compact"/>
              <w:jc w:val="left"/>
            </w:pPr>
            <w:r>
              <w:t xml:space="preserve">Ethically honest; creates real moral complexity</w:t>
            </w:r>
          </w:p>
        </w:tc>
        <w:tc>
          <w:tcPr/>
          <w:p>
            <w:pPr>
              <w:pStyle w:val="Compact"/>
            </w:pPr>
          </w:p>
        </w:tc>
      </w:tr>
      <w:tr>
        <w:tc>
          <w:tcPr/>
          <w:p>
            <w:pPr>
              <w:pStyle w:val="Compact"/>
              <w:jc w:val="left"/>
            </w:pPr>
            <w:r>
              <w:t xml:space="preserve">Q14</w:t>
            </w:r>
          </w:p>
        </w:tc>
        <w:tc>
          <w:tcPr/>
          <w:p>
            <w:pPr>
              <w:pStyle w:val="Compact"/>
              <w:jc w:val="left"/>
            </w:pPr>
            <w:r>
              <w:t xml:space="preserve">What is transferred?</w:t>
            </w:r>
          </w:p>
        </w:tc>
        <w:tc>
          <w:tcPr/>
          <w:p>
            <w:pPr>
              <w:pStyle w:val="Compact"/>
              <w:jc w:val="left"/>
            </w:pPr>
            <w:r>
              <w:rPr>
                <w:bCs/>
                <w:b/>
              </w:rPr>
              <w:t xml:space="preserve">A packaged</w:t>
            </w:r>
            <w:r>
              <w:rPr>
                <w:bCs/>
                <w:b/>
              </w:rPr>
              <w:t xml:space="preserve"> </w:t>
            </w:r>
            <w:r>
              <w:rPr>
                <w:bCs/>
                <w:b/>
              </w:rPr>
              <w:t xml:space="preserve">“</w:t>
            </w:r>
            <w:r>
              <w:rPr>
                <w:bCs/>
                <w:b/>
              </w:rPr>
              <w:t xml:space="preserve">Mirror Core</w:t>
            </w:r>
            <w:r>
              <w:rPr>
                <w:bCs/>
                <w:b/>
              </w:rPr>
              <w:t xml:space="preserve">”</w:t>
            </w:r>
            <w:r>
              <w:rPr>
                <w:bCs/>
                <w:b/>
              </w:rPr>
              <w:t xml:space="preserve"> </w:t>
            </w:r>
            <w:r>
              <w:rPr>
                <w:bCs/>
                <w:b/>
              </w:rPr>
              <w:t xml:space="preserve">— black-box module the agency can deploy but cannot fully inspect</w:t>
            </w:r>
          </w:p>
        </w:tc>
        <w:tc>
          <w:tcPr/>
          <w:p>
            <w:pPr>
              <w:pStyle w:val="Compact"/>
              <w:jc w:val="left"/>
            </w:pPr>
            <w:r>
              <w:t xml:space="preserve">High</w:t>
            </w:r>
          </w:p>
        </w:tc>
        <w:tc>
          <w:tcPr/>
          <w:p>
            <w:pPr>
              <w:pStyle w:val="Compact"/>
              <w:jc w:val="left"/>
            </w:pPr>
            <w:r>
              <w:t xml:space="preserve">Nathan retains the architectural knowledge; agency gets operational capability; creates future story potential</w:t>
            </w:r>
          </w:p>
        </w:tc>
        <w:tc>
          <w:tcPr/>
          <w:p>
            <w:pPr>
              <w:pStyle w:val="Compact"/>
            </w:pPr>
          </w:p>
        </w:tc>
      </w:tr>
      <w:tr>
        <w:tc>
          <w:tcPr/>
          <w:p>
            <w:pPr>
              <w:pStyle w:val="Compact"/>
              <w:jc w:val="left"/>
            </w:pPr>
            <w:r>
              <w:t xml:space="preserve">Q16</w:t>
            </w:r>
          </w:p>
        </w:tc>
        <w:tc>
          <w:tcPr/>
          <w:p>
            <w:pPr>
              <w:pStyle w:val="Compact"/>
              <w:jc w:val="left"/>
            </w:pPr>
            <w:r>
              <w:t xml:space="preserve">Future use?</w:t>
            </w:r>
          </w:p>
        </w:tc>
        <w:tc>
          <w:tcPr/>
          <w:p>
            <w:pPr>
              <w:pStyle w:val="Compact"/>
              <w:jc w:val="left"/>
            </w:pPr>
            <w:r>
              <w:rPr>
                <w:bCs/>
                <w:b/>
              </w:rPr>
              <w:t xml:space="preserve">Used again successfully; then in a later arc, turned against Nathan</w:t>
            </w:r>
          </w:p>
        </w:tc>
        <w:tc>
          <w:tcPr/>
          <w:p>
            <w:pPr>
              <w:pStyle w:val="Compact"/>
              <w:jc w:val="left"/>
            </w:pPr>
            <w:r>
              <w:t xml:space="preserve">High</w:t>
            </w:r>
          </w:p>
        </w:tc>
        <w:tc>
          <w:tcPr/>
          <w:p>
            <w:pPr>
              <w:pStyle w:val="Compact"/>
              <w:jc w:val="left"/>
            </w:pPr>
            <w:r>
              <w:t xml:space="preserve">Best escalation arc; avoids single-use story element</w:t>
            </w:r>
          </w:p>
        </w:tc>
        <w:tc>
          <w:tcPr/>
          <w:p>
            <w:pPr>
              <w:pStyle w:val="Compact"/>
            </w:pPr>
          </w:p>
        </w:tc>
      </w:tr>
      <w:tr>
        <w:tc>
          <w:tcPr/>
          <w:p>
            <w:pPr>
              <w:pStyle w:val="Compact"/>
              <w:jc w:val="left"/>
            </w:pPr>
            <w:r>
              <w:t xml:space="preserve">Q17</w:t>
            </w:r>
          </w:p>
        </w:tc>
        <w:tc>
          <w:tcPr/>
          <w:p>
            <w:pPr>
              <w:pStyle w:val="Compact"/>
              <w:jc w:val="left"/>
            </w:pPr>
            <w:r>
              <w:t xml:space="preserve">Canonical failure mode?</w:t>
            </w:r>
          </w:p>
        </w:tc>
        <w:tc>
          <w:tcPr/>
          <w:p>
            <w:pPr>
              <w:pStyle w:val="Compact"/>
              <w:jc w:val="left"/>
            </w:pPr>
            <w:r>
              <w:rPr>
                <w:bCs/>
                <w:b/>
              </w:rPr>
              <w:t xml:space="preserve">Recursive counter-simulation — planted as a seed in this exercise; discovered later</w:t>
            </w:r>
          </w:p>
        </w:tc>
        <w:tc>
          <w:tcPr/>
          <w:p>
            <w:pPr>
              <w:pStyle w:val="Compact"/>
              <w:jc w:val="left"/>
            </w:pPr>
            <w:r>
              <w:t xml:space="preserve">High</w:t>
            </w:r>
          </w:p>
        </w:tc>
        <w:tc>
          <w:tcPr/>
          <w:p>
            <w:pPr>
              <w:pStyle w:val="Compact"/>
              <w:jc w:val="left"/>
            </w:pPr>
            <w:r>
              <w:t xml:space="preserve">Most technically credible; most narratively generative</w:t>
            </w:r>
          </w:p>
        </w:tc>
        <w:tc>
          <w:tcPr/>
          <w:p>
            <w:pPr>
              <w:pStyle w:val="Compact"/>
            </w:pPr>
          </w:p>
        </w:tc>
      </w:tr>
      <w:tr>
        <w:tc>
          <w:tcPr/>
          <w:p>
            <w:pPr>
              <w:pStyle w:val="Compact"/>
              <w:jc w:val="left"/>
            </w:pPr>
            <w:r>
              <w:t xml:space="preserve">Q19</w:t>
            </w:r>
          </w:p>
        </w:tc>
        <w:tc>
          <w:tcPr/>
          <w:p>
            <w:pPr>
              <w:pStyle w:val="Compact"/>
              <w:jc w:val="left"/>
            </w:pPr>
            <w:r>
              <w:t xml:space="preserve">Personal cost to Nathan?</w:t>
            </w:r>
          </w:p>
        </w:tc>
        <w:tc>
          <w:tcPr/>
          <w:p>
            <w:pPr>
              <w:pStyle w:val="Compact"/>
              <w:jc w:val="left"/>
            </w:pPr>
            <w:r>
              <w:rPr>
                <w:bCs/>
                <w:b/>
              </w:rPr>
              <w:t xml:space="preserve">Political cost arrives later</w:t>
            </w:r>
            <w:r>
              <w:t xml:space="preserve"> </w:t>
            </w:r>
            <w:r>
              <w:t xml:space="preserve">— in this exercise, no visible cost; the cost is delayed and compound</w:t>
            </w:r>
          </w:p>
        </w:tc>
        <w:tc>
          <w:tcPr/>
          <w:p>
            <w:pPr>
              <w:pStyle w:val="Compact"/>
              <w:jc w:val="left"/>
            </w:pPr>
            <w:r>
              <w:t xml:space="preserve">Medium</w:t>
            </w:r>
          </w:p>
        </w:tc>
        <w:tc>
          <w:tcPr/>
          <w:p>
            <w:pPr>
              <w:pStyle w:val="Compact"/>
              <w:jc w:val="left"/>
            </w:pPr>
            <w:r>
              <w:t xml:space="preserve">Delayed consequences are more durable dramatically</w:t>
            </w:r>
          </w:p>
        </w:tc>
        <w:tc>
          <w:tcPr/>
          <w:p>
            <w:pPr>
              <w:pStyle w:val="Compact"/>
            </w:pPr>
          </w:p>
        </w:tc>
      </w:tr>
      <w:tr>
        <w:tc>
          <w:tcPr/>
          <w:p>
            <w:pPr>
              <w:pStyle w:val="Compact"/>
              <w:jc w:val="left"/>
            </w:pPr>
            <w:r>
              <w:t xml:space="preserve">Q20</w:t>
            </w:r>
          </w:p>
        </w:tc>
        <w:tc>
          <w:tcPr/>
          <w:p>
            <w:pPr>
              <w:pStyle w:val="Compact"/>
              <w:jc w:val="left"/>
            </w:pPr>
            <w:r>
              <w:t xml:space="preserve">First Memory / Time Wars connection?</w:t>
            </w:r>
          </w:p>
        </w:tc>
        <w:tc>
          <w:tcPr/>
          <w:p>
            <w:pPr>
              <w:pStyle w:val="Compact"/>
              <w:jc w:val="left"/>
            </w:pPr>
            <w:r>
              <w:rPr>
                <w:bCs/>
                <w:b/>
              </w:rPr>
              <w:t xml:space="preserve">All seeded, none named explicitly</w:t>
            </w:r>
            <w:r>
              <w:t xml:space="preserve"> </w:t>
            </w:r>
            <w:r>
              <w:t xml:space="preserve">— the</w:t>
            </w:r>
            <w:r>
              <w:t xml:space="preserve"> </w:t>
            </w:r>
            <w:r>
              <w:t xml:space="preserve">“</w:t>
            </w:r>
            <w:r>
              <w:t xml:space="preserve">could you do this to a civilization?</w:t>
            </w:r>
            <w:r>
              <w:t xml:space="preserve">”</w:t>
            </w:r>
            <w:r>
              <w:t xml:space="preserve"> </w:t>
            </w:r>
            <w:r>
              <w:t xml:space="preserve">beat is the hinge</w:t>
            </w:r>
          </w:p>
        </w:tc>
        <w:tc>
          <w:tcPr/>
          <w:p>
            <w:pPr>
              <w:pStyle w:val="Compact"/>
              <w:jc w:val="left"/>
            </w:pPr>
            <w:r>
              <w:t xml:space="preserve">High</w:t>
            </w:r>
          </w:p>
        </w:tc>
        <w:tc>
          <w:tcPr/>
          <w:p>
            <w:pPr>
              <w:pStyle w:val="Compact"/>
              <w:jc w:val="left"/>
            </w:pPr>
            <w:r>
              <w:t xml:space="preserve">Proper escalation pacing; doesn’t over-expose the temporal thread</w:t>
            </w:r>
          </w:p>
        </w:tc>
        <w:tc>
          <w:tcPr/>
          <w:p>
            <w:pPr>
              <w:pStyle w:val="Compact"/>
            </w:pPr>
          </w:p>
        </w:tc>
      </w:tr>
    </w:tbl>
    <w:p>
      <w:r>
        <w:pict>
          <v:rect style="width:0;height:1.5pt" o:hralign="center" o:hrstd="t" o:hr="t"/>
        </w:pict>
      </w:r>
    </w:p>
    <w:bookmarkEnd w:id="37"/>
    <w:bookmarkEnd w:id="38"/>
    <w:bookmarkStart w:id="47" w:name="X66653d2019e04e42c2ce6dfa2e257bf2ad3cb5f"/>
    <w:p>
      <w:pPr>
        <w:pStyle w:val="Heading2"/>
      </w:pPr>
      <w:r>
        <w:t xml:space="preserve">4. Project 3 — Pathogen Outbreak Tabletop Exercise</w:t>
      </w:r>
    </w:p>
    <w:bookmarkStart w:id="39" w:name="key-development-items-summary-2"/>
    <w:p>
      <w:pPr>
        <w:pStyle w:val="Heading3"/>
      </w:pPr>
      <w:r>
        <w:t xml:space="preserve">4.1 Key Development Items Summary</w:t>
      </w:r>
    </w:p>
    <w:p>
      <w:pPr>
        <w:pStyle w:val="FirstParagraph"/>
      </w:pPr>
      <w:r>
        <w:t xml:space="preserve">From OAL-DOSSIER-TTX-001 v1.0.0, the five blocking author decisions (D1–D5) remain unresolved: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Item</w:t>
            </w:r>
          </w:p>
        </w:tc>
        <w:tc>
          <w:tcPr/>
          <w:p>
            <w:pPr>
              <w:pStyle w:val="Compact"/>
              <w:jc w:val="left"/>
            </w:pPr>
            <w:r>
              <w:t xml:space="preserve">Status</w:t>
            </w:r>
          </w:p>
        </w:tc>
      </w:tr>
      <w:tr>
        <w:tc>
          <w:tcPr/>
          <w:p>
            <w:pPr>
              <w:pStyle w:val="Compact"/>
              <w:jc w:val="left"/>
            </w:pPr>
            <w:r>
              <w:t xml:space="preserve">D1</w:t>
            </w:r>
          </w:p>
        </w:tc>
        <w:tc>
          <w:tcPr/>
          <w:p>
            <w:pPr>
              <w:pStyle w:val="Compact"/>
              <w:jc w:val="left"/>
            </w:pPr>
            <w:r>
              <w:t xml:space="preserve">Lock the pathogen archetype</w:t>
            </w:r>
          </w:p>
        </w:tc>
        <w:tc>
          <w:tcPr/>
          <w:p>
            <w:pPr>
              <w:pStyle w:val="Compact"/>
              <w:jc w:val="left"/>
            </w:pPr>
            <w:r>
              <w:t xml:space="preserve">UNRESOLVED</w:t>
            </w:r>
          </w:p>
        </w:tc>
      </w:tr>
      <w:tr>
        <w:tc>
          <w:tcPr/>
          <w:p>
            <w:pPr>
              <w:pStyle w:val="Compact"/>
              <w:jc w:val="left"/>
            </w:pPr>
            <w:r>
              <w:t xml:space="preserve">D2</w:t>
            </w:r>
          </w:p>
        </w:tc>
        <w:tc>
          <w:tcPr/>
          <w:p>
            <w:pPr>
              <w:pStyle w:val="Compact"/>
              <w:jc w:val="left"/>
            </w:pPr>
            <w:r>
              <w:t xml:space="preserve">Lock the primary objective (one sentence)</w:t>
            </w:r>
          </w:p>
        </w:tc>
        <w:tc>
          <w:tcPr/>
          <w:p>
            <w:pPr>
              <w:pStyle w:val="Compact"/>
              <w:jc w:val="left"/>
            </w:pPr>
            <w:r>
              <w:t xml:space="preserve">UNRESOLVED</w:t>
            </w:r>
          </w:p>
        </w:tc>
      </w:tr>
      <w:tr>
        <w:tc>
          <w:tcPr/>
          <w:p>
            <w:pPr>
              <w:pStyle w:val="Compact"/>
              <w:jc w:val="left"/>
            </w:pPr>
            <w:r>
              <w:t xml:space="preserve">D3</w:t>
            </w:r>
          </w:p>
        </w:tc>
        <w:tc>
          <w:tcPr/>
          <w:p>
            <w:pPr>
              <w:pStyle w:val="Compact"/>
              <w:jc w:val="left"/>
            </w:pPr>
            <w:r>
              <w:t xml:space="preserve">Define target audience and scale</w:t>
            </w:r>
          </w:p>
        </w:tc>
        <w:tc>
          <w:tcPr/>
          <w:p>
            <w:pPr>
              <w:pStyle w:val="Compact"/>
              <w:jc w:val="left"/>
            </w:pPr>
            <w:r>
              <w:t xml:space="preserve">UNRESOLVED</w:t>
            </w:r>
          </w:p>
        </w:tc>
      </w:tr>
      <w:tr>
        <w:tc>
          <w:tcPr/>
          <w:p>
            <w:pPr>
              <w:pStyle w:val="Compact"/>
              <w:jc w:val="left"/>
            </w:pPr>
            <w:r>
              <w:t xml:space="preserve">D4</w:t>
            </w:r>
          </w:p>
        </w:tc>
        <w:tc>
          <w:tcPr/>
          <w:p>
            <w:pPr>
              <w:pStyle w:val="Compact"/>
              <w:jc w:val="left"/>
            </w:pPr>
            <w:r>
              <w:t xml:space="preserve">Establish sponsoring organization and authority structure</w:t>
            </w:r>
          </w:p>
        </w:tc>
        <w:tc>
          <w:tcPr/>
          <w:p>
            <w:pPr>
              <w:pStyle w:val="Compact"/>
              <w:jc w:val="left"/>
            </w:pPr>
            <w:r>
              <w:t xml:space="preserve">UNRESOLVED</w:t>
            </w:r>
          </w:p>
        </w:tc>
      </w:tr>
      <w:tr>
        <w:tc>
          <w:tcPr/>
          <w:p>
            <w:pPr>
              <w:pStyle w:val="Compact"/>
              <w:jc w:val="left"/>
            </w:pPr>
            <w:r>
              <w:t xml:space="preserve">D5</w:t>
            </w:r>
          </w:p>
        </w:tc>
        <w:tc>
          <w:tcPr/>
          <w:p>
            <w:pPr>
              <w:pStyle w:val="Compact"/>
              <w:jc w:val="left"/>
            </w:pPr>
            <w:r>
              <w:t xml:space="preserve">Define the evaluation baseline</w:t>
            </w:r>
          </w:p>
        </w:tc>
        <w:tc>
          <w:tcPr/>
          <w:p>
            <w:pPr>
              <w:pStyle w:val="Compact"/>
              <w:jc w:val="left"/>
            </w:pPr>
            <w:r>
              <w:t xml:space="preserve">UNRESOLVED</w:t>
            </w:r>
          </w:p>
        </w:tc>
      </w:tr>
    </w:tbl>
    <w:p>
      <w:r>
        <w:pict>
          <v:rect style="width:0;height:1.5pt" o:hralign="center" o:hrstd="t" o:hr="t"/>
        </w:pict>
      </w:r>
    </w:p>
    <w:bookmarkEnd w:id="39"/>
    <w:bookmarkStart w:id="40" w:name="X8dc7e9a25c5250905c8980891d199c567b5cf4d"/>
    <w:p>
      <w:pPr>
        <w:pStyle w:val="Heading3"/>
      </w:pPr>
      <w:r>
        <w:t xml:space="preserve">4.2 Research &amp; Analysis: The</w:t>
      </w:r>
      <w:r>
        <w:t xml:space="preserve"> </w:t>
      </w:r>
      <w:r>
        <w:t xml:space="preserve">“</w:t>
      </w:r>
      <w:r>
        <w:t xml:space="preserve">10-Year Outbreak Cycle</w:t>
      </w:r>
      <w:r>
        <w:t xml:space="preserve">”</w:t>
      </w:r>
      <w:r>
        <w:t xml:space="preserve"> </w:t>
      </w:r>
      <w:r>
        <w:t xml:space="preserve">Claim</w:t>
      </w:r>
    </w:p>
    <w:p>
      <w:pPr>
        <w:pStyle w:val="FirstParagraph"/>
      </w:pPr>
      <w:r>
        <w:rPr>
          <w:bCs/>
          <w:b/>
        </w:rPr>
        <w:t xml:space="preserve">The Research Landscape</w:t>
      </w:r>
    </w:p>
    <w:p>
      <w:pPr>
        <w:pStyle w:val="BodyText"/>
      </w:pPr>
      <w:r>
        <w:t xml:space="preserve">This is the most important confirmation bias check in the entire document. Multiple AI contributors flagged the</w:t>
      </w:r>
      <w:r>
        <w:t xml:space="preserve"> </w:t>
      </w:r>
      <w:r>
        <w:t xml:space="preserve">“</w:t>
      </w:r>
      <w:r>
        <w:t xml:space="preserve">every 10 years</w:t>
      </w:r>
      <w:r>
        <w:t xml:space="preserve">”</w:t>
      </w:r>
      <w:r>
        <w:t xml:space="preserve"> </w:t>
      </w:r>
      <w:r>
        <w:t xml:space="preserve">framing as a credibility risk. Here is what the research actually shows:</w:t>
      </w:r>
    </w:p>
    <w:p>
      <w:pPr>
        <w:pStyle w:val="BodyText"/>
      </w:pPr>
      <w:r>
        <w:rPr>
          <w:bCs/>
          <w:b/>
        </w:rPr>
        <w:t xml:space="preserve">Studies Supporting a Heightened-Risk Framing:</w:t>
      </w:r>
    </w:p>
    <w:p>
      <w:pPr>
        <w:numPr>
          <w:ilvl w:val="0"/>
          <w:numId w:val="1023"/>
        </w:numPr>
        <w:pStyle w:val="Compact"/>
      </w:pPr>
      <w:r>
        <w:rPr>
          <w:bCs/>
          <w:b/>
        </w:rPr>
        <w:t xml:space="preserve">Duke Global Health Institute (PNAS, 2021):</w:t>
      </w:r>
      <w:r>
        <w:t xml:space="preserve"> </w:t>
      </w:r>
      <w:r>
        <w:t xml:space="preserve">The probability of a pandemic with COVID-19-scale impact is approximately</w:t>
      </w:r>
      <w:r>
        <w:t xml:space="preserve"> </w:t>
      </w:r>
      <w:r>
        <w:rPr>
          <w:bCs/>
          <w:b/>
        </w:rPr>
        <w:t xml:space="preserve">2% per year</w:t>
      </w:r>
      <w:r>
        <w:t xml:space="preserve"> </w:t>
      </w:r>
      <w:r>
        <w:t xml:space="preserve">— meaning someone born in 2000 has a 38% lifetime chance of experiencing one. The risk is growing, not static.</w:t>
      </w:r>
    </w:p>
    <w:p>
      <w:pPr>
        <w:numPr>
          <w:ilvl w:val="0"/>
          <w:numId w:val="1023"/>
        </w:numPr>
        <w:pStyle w:val="Compact"/>
      </w:pPr>
      <w:r>
        <w:rPr>
          <w:bCs/>
          <w:b/>
        </w:rPr>
        <w:t xml:space="preserve">Airfinity (2023):</w:t>
      </w:r>
      <w:r>
        <w:t xml:space="preserve"> </w:t>
      </w:r>
      <w:r>
        <w:t xml:space="preserve">Estimates a</w:t>
      </w:r>
      <w:r>
        <w:t xml:space="preserve"> </w:t>
      </w:r>
      <w:r>
        <w:rPr>
          <w:bCs/>
          <w:b/>
        </w:rPr>
        <w:t xml:space="preserve">27.5% chance</w:t>
      </w:r>
      <w:r>
        <w:t xml:space="preserve"> </w:t>
      </w:r>
      <w:r>
        <w:t xml:space="preserve">of a COVID-19-magnitude pandemic by 2033. Modeling based on 150,000 simulations.</w:t>
      </w:r>
    </w:p>
    <w:p>
      <w:pPr>
        <w:numPr>
          <w:ilvl w:val="0"/>
          <w:numId w:val="1023"/>
        </w:numPr>
        <w:pStyle w:val="Compact"/>
      </w:pPr>
      <w:r>
        <w:rPr>
          <w:bCs/>
          <w:b/>
        </w:rPr>
        <w:t xml:space="preserve">Metabiota (Center for Global Development, 2021):</w:t>
      </w:r>
      <w:r>
        <w:t xml:space="preserve"> </w:t>
      </w:r>
      <w:r>
        <w:t xml:space="preserve">Estimates a</w:t>
      </w:r>
      <w:r>
        <w:t xml:space="preserve"> </w:t>
      </w:r>
      <w:r>
        <w:rPr>
          <w:bCs/>
          <w:b/>
        </w:rPr>
        <w:t xml:space="preserve">22–28% chance</w:t>
      </w:r>
      <w:r>
        <w:t xml:space="preserve"> </w:t>
      </w:r>
      <w:r>
        <w:t xml:space="preserve">of another COVID-scale pandemic within 10 years, and</w:t>
      </w:r>
      <w:r>
        <w:t xml:space="preserve"> </w:t>
      </w:r>
      <w:r>
        <w:rPr>
          <w:bCs/>
          <w:b/>
        </w:rPr>
        <w:t xml:space="preserve">47–57% within 25 years</w:t>
      </w:r>
      <w:r>
        <w:t xml:space="preserve">.</w:t>
      </w:r>
    </w:p>
    <w:p>
      <w:pPr>
        <w:numPr>
          <w:ilvl w:val="0"/>
          <w:numId w:val="1023"/>
        </w:numPr>
        <w:pStyle w:val="Compact"/>
      </w:pPr>
      <w:r>
        <w:rPr>
          <w:bCs/>
          <w:b/>
        </w:rPr>
        <w:t xml:space="preserve">Nature (2022):</w:t>
      </w:r>
      <w:r>
        <w:t xml:space="preserve"> </w:t>
      </w:r>
      <w:r>
        <w:t xml:space="preserve">Projects that climate change will lead to cross-species viral sharing events</w:t>
      </w:r>
      <w:r>
        <w:t xml:space="preserve"> </w:t>
      </w:r>
      <w:r>
        <w:rPr>
          <w:bCs/>
          <w:b/>
        </w:rPr>
        <w:t xml:space="preserve">approximately 4,000 times</w:t>
      </w:r>
      <w:r>
        <w:t xml:space="preserve"> </w:t>
      </w:r>
      <w:r>
        <w:t xml:space="preserve">by 2070 due to geographic range shifts of 3,139 mammal species.</w:t>
      </w:r>
    </w:p>
    <w:p>
      <w:pPr>
        <w:numPr>
          <w:ilvl w:val="0"/>
          <w:numId w:val="1023"/>
        </w:numPr>
        <w:pStyle w:val="Compact"/>
      </w:pPr>
      <w:r>
        <w:rPr>
          <w:bCs/>
          <w:b/>
        </w:rPr>
        <w:t xml:space="preserve">Oxford University / Nature Scientific Reports (2025):</w:t>
      </w:r>
      <w:r>
        <w:t xml:space="preserve"> </w:t>
      </w:r>
      <w:r>
        <w:t xml:space="preserve">86.9% of health professionals in 151 countries identify a</w:t>
      </w:r>
      <w:r>
        <w:t xml:space="preserve"> </w:t>
      </w:r>
      <w:r>
        <w:t xml:space="preserve">“</w:t>
      </w:r>
      <w:r>
        <w:t xml:space="preserve">creeping catastrophe</w:t>
      </w:r>
      <w:r>
        <w:t xml:space="preserve">”</w:t>
      </w:r>
      <w:r>
        <w:t xml:space="preserve"> </w:t>
      </w:r>
      <w:r>
        <w:t xml:space="preserve">of infectious diseases driven by climate change, poverty, and antimicrobial resistance.</w:t>
      </w:r>
    </w:p>
    <w:p>
      <w:pPr>
        <w:numPr>
          <w:ilvl w:val="0"/>
          <w:numId w:val="1023"/>
        </w:numPr>
        <w:pStyle w:val="Compact"/>
      </w:pPr>
      <w:r>
        <w:rPr>
          <w:bCs/>
          <w:b/>
        </w:rPr>
        <w:t xml:space="preserve">BMJ Global Health (2026):</w:t>
      </w:r>
      <w:r>
        <w:t xml:space="preserve"> </w:t>
      </w:r>
      <w:r>
        <w:t xml:space="preserve">301 pandemic-prone and epidemic-prone disease outbreaks occurred worldwide in 2024 alone — showing that outbreak</w:t>
      </w:r>
      <w:r>
        <w:t xml:space="preserve"> </w:t>
      </w:r>
      <w:r>
        <w:rPr>
          <w:iCs/>
          <w:i/>
        </w:rPr>
        <w:t xml:space="preserve">events</w:t>
      </w:r>
      <w:r>
        <w:t xml:space="preserve"> </w:t>
      </w:r>
      <w:r>
        <w:t xml:space="preserve">are constant, even if pandemic-scale events are less frequent.</w:t>
      </w:r>
    </w:p>
    <w:p>
      <w:pPr>
        <w:pStyle w:val="FirstParagraph"/>
      </w:pPr>
      <w:r>
        <w:rPr>
          <w:bCs/>
          <w:b/>
        </w:rPr>
        <w:t xml:space="preserve">What Does NOT Support a 10-Year Calendar:</w:t>
      </w:r>
    </w:p>
    <w:p>
      <w:pPr>
        <w:numPr>
          <w:ilvl w:val="0"/>
          <w:numId w:val="1024"/>
        </w:numPr>
        <w:pStyle w:val="Compact"/>
      </w:pPr>
      <w:r>
        <w:t xml:space="preserve">No reputable epidemiological study has identified a fixed 10-year interval as a meaningful predictive variable. Outbreak timing is driven by zoonotic spillover pressure, human behavior, surveillance capacity, and pathogen-specific factors — not a clock.</w:t>
      </w:r>
    </w:p>
    <w:p>
      <w:pPr>
        <w:numPr>
          <w:ilvl w:val="0"/>
          <w:numId w:val="1024"/>
        </w:numPr>
        <w:pStyle w:val="Compact"/>
      </w:pPr>
      <w:r>
        <w:t xml:space="preserve">The Spanish flu (1918), 1957 flu, 1968 flu, 2009 H1N1, COVID-19 — these are roughly decadal, but HIV (1981–present) and Ebola (multiple outbreaks since 1976) follow entirely different patterns.</w:t>
      </w:r>
    </w:p>
    <w:p>
      <w:pPr>
        <w:pStyle w:val="FirstParagraph"/>
      </w:pPr>
      <w:r>
        <w:rPr>
          <w:bCs/>
          <w:b/>
        </w:rPr>
        <w:t xml:space="preserve">Research Verdict:</w:t>
      </w:r>
      <w:r>
        <w:t xml:space="preserve"> </w:t>
      </w:r>
      <w:r>
        <w:t xml:space="preserve">The research</w:t>
      </w:r>
      <w:r>
        <w:t xml:space="preserve"> </w:t>
      </w:r>
      <w:r>
        <w:rPr>
          <w:bCs/>
          <w:b/>
        </w:rPr>
        <w:t xml:space="preserve">strongly supports the urgency framing</w:t>
      </w:r>
      <w:r>
        <w:t xml:space="preserve"> </w:t>
      </w:r>
      <w:r>
        <w:t xml:space="preserve">but does</w:t>
      </w:r>
      <w:r>
        <w:t xml:space="preserve"> </w:t>
      </w:r>
      <w:r>
        <w:rPr>
          <w:bCs/>
          <w:b/>
        </w:rPr>
        <w:t xml:space="preserve">not support a calendar-based 10-year claim</w:t>
      </w:r>
      <w:r>
        <w:t xml:space="preserve">. The corrected framing recommended by multiple AIs is supported by the evidence:</w:t>
      </w:r>
      <w:r>
        <w:t xml:space="preserve"> </w:t>
      </w:r>
      <w:r>
        <w:t xml:space="preserve">“</w:t>
      </w:r>
      <w:r>
        <w:t xml:space="preserve">We are in a heightened-risk window characterized by increasing zoonotic spillover pressure, degraded institutional memory post-COVID, and accelerating climate-driven pathogen expansion. The next major outbreak is not a question of if; it is a question of whether our systems have been rehearsed.</w:t>
      </w:r>
      <w:r>
        <w:t xml:space="preserve">”</w:t>
      </w:r>
      <w:r>
        <w:t xml:space="preserve"> </w:t>
      </w:r>
      <w:r>
        <w:t xml:space="preserve">This is both more accurate and more credible.</w:t>
      </w:r>
    </w:p>
    <w:p>
      <w:pPr>
        <w:pStyle w:val="BodyText"/>
      </w:pPr>
      <w:r>
        <w:rPr>
          <w:bCs/>
          <w:b/>
        </w:rPr>
        <w:t xml:space="preserve">Confirmation: The urgency is real. The specific</w:t>
      </w:r>
      <w:r>
        <w:rPr>
          <w:bCs/>
          <w:b/>
        </w:rPr>
        <w:t xml:space="preserve"> </w:t>
      </w:r>
      <w:r>
        <w:rPr>
          <w:bCs/>
          <w:b/>
        </w:rPr>
        <w:t xml:space="preserve">“</w:t>
      </w:r>
      <w:r>
        <w:rPr>
          <w:bCs/>
          <w:b/>
        </w:rPr>
        <w:t xml:space="preserve">10-year marker</w:t>
      </w:r>
      <w:r>
        <w:rPr>
          <w:bCs/>
          <w:b/>
        </w:rPr>
        <w:t xml:space="preserve">”</w:t>
      </w:r>
      <w:r>
        <w:rPr>
          <w:bCs/>
          <w:b/>
        </w:rPr>
        <w:t xml:space="preserve"> </w:t>
      </w:r>
      <w:r>
        <w:rPr>
          <w:bCs/>
          <w:b/>
        </w:rPr>
        <w:t xml:space="preserve">framing is not scientifically defensible and should be retired.</w:t>
      </w:r>
    </w:p>
    <w:p>
      <w:r>
        <w:pict>
          <v:rect style="width:0;height:1.5pt" o:hralign="center" o:hrstd="t" o:hr="t"/>
        </w:pict>
      </w:r>
    </w:p>
    <w:bookmarkEnd w:id="40"/>
    <w:bookmarkStart w:id="41" w:name="X151613297abe9377b4d8e7b6773e8a2d426842b"/>
    <w:p>
      <w:pPr>
        <w:pStyle w:val="Heading3"/>
      </w:pPr>
      <w:r>
        <w:t xml:space="preserve">4.3 Research &amp; Analysis: Pathogen Archetype Selection — Evidence Base</w:t>
      </w:r>
    </w:p>
    <w:p>
      <w:pPr>
        <w:pStyle w:val="FirstParagraph"/>
      </w:pPr>
      <w:r>
        <w:rPr>
          <w:bCs/>
          <w:b/>
        </w:rPr>
        <w:t xml:space="preserve">The Cross-AI Recommended Archetype (Novel Zoonotic Respiratory)</w:t>
      </w:r>
    </w:p>
    <w:p>
      <w:pPr>
        <w:pStyle w:val="BodyText"/>
      </w:pPr>
      <w:r>
        <w:t xml:space="preserve">Research strongly validates this choice:</w:t>
      </w:r>
    </w:p>
    <w:p>
      <w:pPr>
        <w:numPr>
          <w:ilvl w:val="0"/>
          <w:numId w:val="1025"/>
        </w:numPr>
        <w:pStyle w:val="Compact"/>
      </w:pPr>
      <w:r>
        <w:t xml:space="preserve">75% of emerging infectious diseases in humans are zoonotic in origin (multiple meta-analyses)</w:t>
      </w:r>
    </w:p>
    <w:p>
      <w:pPr>
        <w:numPr>
          <w:ilvl w:val="0"/>
          <w:numId w:val="1025"/>
        </w:numPr>
        <w:pStyle w:val="Compact"/>
      </w:pPr>
      <w:r>
        <w:t xml:space="preserve">95.54% of airborne viral EID outbreaks with identified sources are zoonotic spillovers (PubMed, 2024)</w:t>
      </w:r>
    </w:p>
    <w:p>
      <w:pPr>
        <w:numPr>
          <w:ilvl w:val="0"/>
          <w:numId w:val="1025"/>
        </w:numPr>
        <w:pStyle w:val="Compact"/>
      </w:pPr>
      <w:r>
        <w:t xml:space="preserve">SARS, MERS, COVID-19, and H1N1 all fit this archetype — it produces the largest preparedness failures</w:t>
      </w:r>
    </w:p>
    <w:p>
      <w:pPr>
        <w:numPr>
          <w:ilvl w:val="0"/>
          <w:numId w:val="1025"/>
        </w:numPr>
        <w:pStyle w:val="Compact"/>
      </w:pPr>
      <w:r>
        <w:t xml:space="preserve">A pathogen with variable incubation (2–10 days) specifically defeats contact tracing during the critical pre-recognition window</w:t>
      </w:r>
    </w:p>
    <w:p>
      <w:pPr>
        <w:pStyle w:val="FirstParagraph"/>
      </w:pPr>
      <w:r>
        <w:rPr>
          <w:bCs/>
          <w:b/>
        </w:rPr>
        <w:t xml:space="preserve">Alternative Archetypes Compared: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Archetype</w:t>
            </w:r>
          </w:p>
        </w:tc>
        <w:tc>
          <w:tcPr/>
          <w:p>
            <w:pPr>
              <w:pStyle w:val="Compact"/>
              <w:jc w:val="left"/>
            </w:pPr>
            <w:r>
              <w:t xml:space="preserve">What It Tests Best</w:t>
            </w:r>
          </w:p>
        </w:tc>
        <w:tc>
          <w:tcPr/>
          <w:p>
            <w:pPr>
              <w:pStyle w:val="Compact"/>
              <w:jc w:val="left"/>
            </w:pPr>
            <w:r>
              <w:t xml:space="preserve">Limitations as Primary Choice</w:t>
            </w:r>
          </w:p>
        </w:tc>
      </w:tr>
      <w:tr>
        <w:tc>
          <w:tcPr/>
          <w:p>
            <w:pPr>
              <w:pStyle w:val="Compact"/>
              <w:jc w:val="left"/>
            </w:pPr>
            <w:r>
              <w:t xml:space="preserve">Novel zoonotic respiratory (cross-AI recommended)</w:t>
            </w:r>
          </w:p>
        </w:tc>
        <w:tc>
          <w:tcPr/>
          <w:p>
            <w:pPr>
              <w:pStyle w:val="Compact"/>
              <w:jc w:val="left"/>
            </w:pPr>
            <w:r>
              <w:t xml:space="preserve">Clinical uncertainty, PPE burn-through, pre-recognition response</w:t>
            </w:r>
          </w:p>
        </w:tc>
        <w:tc>
          <w:tcPr/>
          <w:p>
            <w:pPr>
              <w:pStyle w:val="Compact"/>
              <w:jc w:val="left"/>
            </w:pPr>
            <w:r>
              <w:t xml:space="preserve">Risks COVID comparison reflex in participants</w:t>
            </w:r>
          </w:p>
        </w:tc>
      </w:tr>
      <w:tr>
        <w:tc>
          <w:tcPr/>
          <w:p>
            <w:pPr>
              <w:pStyle w:val="Compact"/>
              <w:jc w:val="left"/>
            </w:pPr>
            <w:r>
              <w:t xml:space="preserve">High transmissibility / lower mortality (flu-like)</w:t>
            </w:r>
          </w:p>
        </w:tc>
        <w:tc>
          <w:tcPr/>
          <w:p>
            <w:pPr>
              <w:pStyle w:val="Compact"/>
              <w:jc w:val="left"/>
            </w:pPr>
            <w:r>
              <w:t xml:space="preserve">Surge capacity, vaccination decision-making</w:t>
            </w:r>
          </w:p>
        </w:tc>
        <w:tc>
          <w:tcPr/>
          <w:p>
            <w:pPr>
              <w:pStyle w:val="Compact"/>
              <w:jc w:val="left"/>
            </w:pPr>
            <w:r>
              <w:t xml:space="preserve">Less clinical uncertainty; protocols exist</w:t>
            </w:r>
          </w:p>
        </w:tc>
      </w:tr>
      <w:tr>
        <w:tc>
          <w:tcPr/>
          <w:p>
            <w:pPr>
              <w:pStyle w:val="Compact"/>
              <w:jc w:val="left"/>
            </w:pPr>
            <w:r>
              <w:t xml:space="preserve">Low transmissibility / high mortality (Ebola-like)</w:t>
            </w:r>
          </w:p>
        </w:tc>
        <w:tc>
          <w:tcPr/>
          <w:p>
            <w:pPr>
              <w:pStyle w:val="Compact"/>
              <w:jc w:val="left"/>
            </w:pPr>
            <w:r>
              <w:t xml:space="preserve">Isolation, staff safety, international coordination</w:t>
            </w:r>
          </w:p>
        </w:tc>
        <w:tc>
          <w:tcPr/>
          <w:p>
            <w:pPr>
              <w:pStyle w:val="Compact"/>
              <w:jc w:val="left"/>
            </w:pPr>
            <w:r>
              <w:t xml:space="preserve">Different decision logic; lower realism for typical urban ED</w:t>
            </w:r>
          </w:p>
        </w:tc>
      </w:tr>
      <w:tr>
        <w:tc>
          <w:tcPr/>
          <w:p>
            <w:pPr>
              <w:pStyle w:val="Compact"/>
              <w:jc w:val="left"/>
            </w:pPr>
            <w:r>
              <w:t xml:space="preserve">Vector-borne with atypical presentation</w:t>
            </w:r>
          </w:p>
        </w:tc>
        <w:tc>
          <w:tcPr/>
          <w:p>
            <w:pPr>
              <w:pStyle w:val="Compact"/>
              <w:jc w:val="left"/>
            </w:pPr>
            <w:r>
              <w:t xml:space="preserve">Geographic mapping, contact investigation</w:t>
            </w:r>
          </w:p>
        </w:tc>
        <w:tc>
          <w:tcPr/>
          <w:p>
            <w:pPr>
              <w:pStyle w:val="Compact"/>
              <w:jc w:val="left"/>
            </w:pPr>
            <w:r>
              <w:t xml:space="preserve">Requires different participant expertise</w:t>
            </w:r>
          </w:p>
        </w:tc>
      </w:tr>
      <w:tr>
        <w:tc>
          <w:tcPr/>
          <w:p>
            <w:pPr>
              <w:pStyle w:val="Compact"/>
              <w:jc w:val="left"/>
            </w:pPr>
            <w:r>
              <w:t xml:space="preserve">Novel bacterial with antibiotic resistance</w:t>
            </w:r>
          </w:p>
        </w:tc>
        <w:tc>
          <w:tcPr/>
          <w:p>
            <w:pPr>
              <w:pStyle w:val="Compact"/>
              <w:jc w:val="left"/>
            </w:pPr>
            <w:r>
              <w:t xml:space="preserve">Empiric treatment, lab diagnosis</w:t>
            </w:r>
          </w:p>
        </w:tc>
        <w:tc>
          <w:tcPr/>
          <w:p>
            <w:pPr>
              <w:pStyle w:val="Compact"/>
              <w:jc w:val="left"/>
            </w:pPr>
            <w:r>
              <w:t xml:space="preserve">Less relevant for frontline ED scenario</w:t>
            </w:r>
          </w:p>
        </w:tc>
      </w:tr>
    </w:tbl>
    <w:p>
      <w:pPr>
        <w:pStyle w:val="BodyText"/>
      </w:pPr>
      <w:r>
        <w:rPr>
          <w:bCs/>
          <w:b/>
        </w:rPr>
        <w:t xml:space="preserve">Research Verdict for D1:</w:t>
      </w:r>
      <w:r>
        <w:t xml:space="preserve"> </w:t>
      </w:r>
      <w:r>
        <w:t xml:space="preserve">The cross-AI recommended archetype —</w:t>
      </w:r>
      <w:r>
        <w:t xml:space="preserve"> </w:t>
      </w:r>
      <w:r>
        <w:rPr>
          <w:bCs/>
          <w:b/>
        </w:rPr>
        <w:t xml:space="preserve">novel zoonotic respiratory with variable 2–10 day incubation, negative standard panels, 15–20% severe outcomes</w:t>
      </w:r>
      <w:r>
        <w:t xml:space="preserve"> </w:t>
      </w:r>
      <w:r>
        <w:t xml:space="preserve">— is the most evidence-supported choice. Specific distinguishing features from COVID-19 should be built in to prevent participant COVID-reflex: recommend adding a</w:t>
      </w:r>
      <w:r>
        <w:t xml:space="preserve"> </w:t>
      </w:r>
      <w:r>
        <w:rPr>
          <w:bCs/>
          <w:b/>
        </w:rPr>
        <w:t xml:space="preserve">distinctive early dermatological presentation</w:t>
      </w:r>
      <w:r>
        <w:t xml:space="preserve"> </w:t>
      </w:r>
      <w:r>
        <w:t xml:space="preserve">(skin manifestations not typical of COVID, SARS, or flu) that creates genuine diagnostic uncertainty.</w:t>
      </w:r>
    </w:p>
    <w:p>
      <w:r>
        <w:pict>
          <v:rect style="width:0;height:1.5pt" o:hralign="center" o:hrstd="t" o:hr="t"/>
        </w:pict>
      </w:r>
    </w:p>
    <w:bookmarkEnd w:id="41"/>
    <w:bookmarkStart w:id="42" w:name="Xbf0152d22368759b2d2cc95636965db7610444a"/>
    <w:p>
      <w:pPr>
        <w:pStyle w:val="Heading3"/>
      </w:pPr>
      <w:r>
        <w:t xml:space="preserve">4.4 Research &amp; Analysis: Provider Clinical Uncertainty — Evidence Base</w:t>
      </w:r>
    </w:p>
    <w:p>
      <w:pPr>
        <w:pStyle w:val="FirstParagraph"/>
      </w:pPr>
      <w:r>
        <w:rPr>
          <w:bCs/>
          <w:b/>
        </w:rPr>
        <w:t xml:space="preserve">The Residency Hook Is Scientifically Grounded</w:t>
      </w:r>
    </w:p>
    <w:p>
      <w:pPr>
        <w:pStyle w:val="BodyText"/>
      </w:pPr>
      <w:r>
        <w:t xml:space="preserve">This is the strongest finding in the entire TTX research review. The</w:t>
      </w:r>
      <w:r>
        <w:t xml:space="preserve"> </w:t>
      </w:r>
      <w:r>
        <w:t xml:space="preserve">“</w:t>
      </w:r>
      <w:r>
        <w:t xml:space="preserve">every day of residency</w:t>
      </w:r>
      <w:r>
        <w:t xml:space="preserve">”</w:t>
      </w:r>
      <w:r>
        <w:t xml:space="preserve"> </w:t>
      </w:r>
      <w:r>
        <w:t xml:space="preserve">framing is not just a rhetorical device — it is documented clinical reality.</w:t>
      </w:r>
    </w:p>
    <w:p>
      <w:pPr>
        <w:pStyle w:val="BodyText"/>
      </w:pPr>
      <w:r>
        <w:t xml:space="preserve">A 2022 study in</w:t>
      </w:r>
      <w:r>
        <w:t xml:space="preserve"> </w:t>
      </w:r>
      <w:r>
        <w:rPr>
          <w:iCs/>
          <w:i/>
        </w:rPr>
        <w:t xml:space="preserve">Annals of Emergency Medicine</w:t>
      </w:r>
      <w:r>
        <w:t xml:space="preserve"> </w:t>
      </w:r>
      <w:r>
        <w:t xml:space="preserve">documented emergency medicine residents during COVID-19:</w:t>
      </w:r>
    </w:p>
    <w:p>
      <w:pPr>
        <w:numPr>
          <w:ilvl w:val="0"/>
          <w:numId w:val="1026"/>
        </w:numPr>
        <w:pStyle w:val="Compact"/>
      </w:pPr>
      <w:r>
        <w:t xml:space="preserve">“</w:t>
      </w:r>
      <w:r>
        <w:t xml:space="preserve">Information was changing constantly, and it disrupted the confidence I built in how to care for patients.</w:t>
      </w:r>
      <w:r>
        <w:t xml:space="preserve">”</w:t>
      </w:r>
    </w:p>
    <w:p>
      <w:pPr>
        <w:numPr>
          <w:ilvl w:val="0"/>
          <w:numId w:val="1026"/>
        </w:numPr>
        <w:pStyle w:val="Compact"/>
      </w:pPr>
      <w:r>
        <w:t xml:space="preserve">Residents experienced</w:t>
      </w:r>
      <w:r>
        <w:t xml:space="preserve"> </w:t>
      </w:r>
      <w:r>
        <w:rPr>
          <w:bCs/>
          <w:b/>
        </w:rPr>
        <w:t xml:space="preserve">cognitive overload</w:t>
      </w:r>
      <w:r>
        <w:t xml:space="preserve"> </w:t>
      </w:r>
      <w:r>
        <w:t xml:space="preserve">from constant protocol updates</w:t>
      </w:r>
    </w:p>
    <w:p>
      <w:pPr>
        <w:numPr>
          <w:ilvl w:val="0"/>
          <w:numId w:val="1026"/>
        </w:numPr>
        <w:pStyle w:val="Compact"/>
      </w:pPr>
      <w:r>
        <w:t xml:space="preserve">PPE shortages forced senior physicians into procedures normally performed by residents — removing training opportunities and creating staffing gaps</w:t>
      </w:r>
    </w:p>
    <w:p>
      <w:pPr>
        <w:numPr>
          <w:ilvl w:val="0"/>
          <w:numId w:val="1026"/>
        </w:numPr>
        <w:pStyle w:val="Compact"/>
      </w:pPr>
      <w:r>
        <w:t xml:space="preserve">Psychological effects included increased anxiety, isolation, and burnout under uncertainty</w:t>
      </w:r>
    </w:p>
    <w:p>
      <w:pPr>
        <w:pStyle w:val="FirstParagraph"/>
      </w:pPr>
      <w:r>
        <w:t xml:space="preserve">Research from</w:t>
      </w:r>
      <w:r>
        <w:t xml:space="preserve"> </w:t>
      </w:r>
      <w:r>
        <w:rPr>
          <w:iCs/>
          <w:i/>
        </w:rPr>
        <w:t xml:space="preserve">MedEdPORTAL</w:t>
      </w:r>
      <w:r>
        <w:t xml:space="preserve"> </w:t>
      </w:r>
      <w:r>
        <w:t xml:space="preserve">(2023) documents a gap in medical education specifically around</w:t>
      </w:r>
      <w:r>
        <w:t xml:space="preserve"> </w:t>
      </w:r>
      <w:r>
        <w:rPr>
          <w:bCs/>
          <w:b/>
        </w:rPr>
        <w:t xml:space="preserve">navigating clinical uncertainty</w:t>
      </w:r>
      <w:r>
        <w:t xml:space="preserve"> </w:t>
      </w:r>
      <w:r>
        <w:t xml:space="preserve">— confirming that this is an identified training gap that tabletop exercises are positioned to address.</w:t>
      </w:r>
    </w:p>
    <w:p>
      <w:pPr>
        <w:pStyle w:val="BodyText"/>
      </w:pPr>
      <w:r>
        <w:rPr>
          <w:bCs/>
          <w:b/>
        </w:rPr>
        <w:t xml:space="preserve">What This Means for the Exercise:</w:t>
      </w:r>
    </w:p>
    <w:p>
      <w:pPr>
        <w:numPr>
          <w:ilvl w:val="0"/>
          <w:numId w:val="1027"/>
        </w:numPr>
        <w:pStyle w:val="Compact"/>
      </w:pPr>
      <w:r>
        <w:t xml:space="preserve">The residency hook is not merely provocative — it is clinically accurate and addresses a documented training gap</w:t>
      </w:r>
    </w:p>
    <w:p>
      <w:pPr>
        <w:numPr>
          <w:ilvl w:val="0"/>
          <w:numId w:val="1027"/>
        </w:numPr>
        <w:pStyle w:val="Compact"/>
      </w:pPr>
      <w:r>
        <w:t xml:space="preserve">The exercise is most valuable for providers who trained after COVID-19 (whose residency may not have included prolonged novel-pathogen uncertainty) as well as those who trained during it (whose COVID responses may have become over-coded as</w:t>
      </w:r>
      <w:r>
        <w:t xml:space="preserve"> </w:t>
      </w:r>
      <w:r>
        <w:t xml:space="preserve">“</w:t>
      </w:r>
      <w:r>
        <w:t xml:space="preserve">the correct answer</w:t>
      </w:r>
      <w:r>
        <w:t xml:space="preserve">”</w:t>
      </w:r>
      <w:r>
        <w:t xml:space="preserve">)</w:t>
      </w:r>
    </w:p>
    <w:p>
      <w:pPr>
        <w:numPr>
          <w:ilvl w:val="0"/>
          <w:numId w:val="1027"/>
        </w:numPr>
        <w:pStyle w:val="Compact"/>
      </w:pPr>
      <w:r>
        <w:t xml:space="preserve">The framing</w:t>
      </w:r>
      <w:r>
        <w:t xml:space="preserve"> </w:t>
      </w:r>
      <w:r>
        <w:t xml:space="preserve">“</w:t>
      </w:r>
      <w:r>
        <w:t xml:space="preserve">this is not testing whether you know the right answer; it is testing how you function when there is no right answer yet</w:t>
      </w:r>
      <w:r>
        <w:t xml:space="preserve">”</w:t>
      </w:r>
      <w:r>
        <w:t xml:space="preserve"> </w:t>
      </w:r>
      <w:r>
        <w:t xml:space="preserve">should be in the ground rules</w:t>
      </w:r>
    </w:p>
    <w:p>
      <w:r>
        <w:pict>
          <v:rect style="width:0;height:1.5pt" o:hralign="center" o:hrstd="t" o:hr="t"/>
        </w:pict>
      </w:r>
    </w:p>
    <w:bookmarkEnd w:id="42"/>
    <w:bookmarkStart w:id="43" w:name="research-analysis-ttx-design-standards"/>
    <w:p>
      <w:pPr>
        <w:pStyle w:val="Heading3"/>
      </w:pPr>
      <w:r>
        <w:t xml:space="preserve">4.5 Research &amp; Analysis: TTX Design Standards</w:t>
      </w:r>
    </w:p>
    <w:p>
      <w:pPr>
        <w:pStyle w:val="FirstParagraph"/>
      </w:pPr>
      <w:r>
        <w:rPr>
          <w:bCs/>
          <w:b/>
        </w:rPr>
        <w:t xml:space="preserve">FEMA HSEEP Framework Alignment</w:t>
      </w:r>
    </w:p>
    <w:p>
      <w:pPr>
        <w:pStyle w:val="BodyText"/>
      </w:pPr>
      <w:r>
        <w:t xml:space="preserve">The Homeland Security Exercise and Evaluation Program (HSEEP) provides the federal standard for exercise design. The proposed TTX architecture in the existing dossier is</w:t>
      </w:r>
      <w:r>
        <w:t xml:space="preserve"> </w:t>
      </w:r>
      <w:r>
        <w:rPr>
          <w:bCs/>
          <w:b/>
        </w:rPr>
        <w:t xml:space="preserve">fully aligned with HSEEP standards</w:t>
      </w:r>
      <w:r>
        <w:t xml:space="preserve">:</w:t>
      </w:r>
    </w:p>
    <w:p>
      <w:pPr>
        <w:numPr>
          <w:ilvl w:val="0"/>
          <w:numId w:val="1028"/>
        </w:numPr>
        <w:pStyle w:val="Compact"/>
      </w:pPr>
      <w:r>
        <w:t xml:space="preserve">HSEEP requires: clear objectives, realistic scenario, participant roles, evaluation criteria, and AAR/IP — all present in the dossier</w:t>
      </w:r>
    </w:p>
    <w:p>
      <w:pPr>
        <w:numPr>
          <w:ilvl w:val="0"/>
          <w:numId w:val="1028"/>
        </w:numPr>
        <w:pStyle w:val="Compact"/>
      </w:pPr>
      <w:r>
        <w:t xml:space="preserve">HSEEP supports exercises across all mission areas including response and protection — directly applicable</w:t>
      </w:r>
    </w:p>
    <w:p>
      <w:pPr>
        <w:numPr>
          <w:ilvl w:val="0"/>
          <w:numId w:val="1028"/>
        </w:numPr>
        <w:pStyle w:val="Compact"/>
      </w:pPr>
      <w:r>
        <w:t xml:space="preserve">The CREID Network (Frontiers in Public Health, 2025) published a peer-reviewed description of a</w:t>
      </w:r>
      <w:r>
        <w:t xml:space="preserve"> </w:t>
      </w:r>
      <w:r>
        <w:t xml:space="preserve">“</w:t>
      </w:r>
      <w:r>
        <w:t xml:space="preserve">Pathogen X</w:t>
      </w:r>
      <w:r>
        <w:t xml:space="preserve">”</w:t>
      </w:r>
      <w:r>
        <w:t xml:space="preserve"> </w:t>
      </w:r>
      <w:r>
        <w:t xml:space="preserve">TTX for international pandemic research networks that validates the multi-phase approach and emphasizes cross-organization relationship building as a primary outcome</w:t>
      </w:r>
    </w:p>
    <w:p>
      <w:pPr>
        <w:pStyle w:val="FirstParagraph"/>
      </w:pPr>
      <w:r>
        <w:t xml:space="preserve">A BMC Public Health study (2007, but widely cited) found that tabletop exercises for public health emergencies consistently reveal challenges in:</w:t>
      </w:r>
    </w:p>
    <w:p>
      <w:pPr>
        <w:numPr>
          <w:ilvl w:val="0"/>
          <w:numId w:val="1029"/>
        </w:numPr>
        <w:pStyle w:val="Compact"/>
      </w:pPr>
      <w:r>
        <w:t xml:space="preserve">Disease surveillance</w:t>
      </w:r>
    </w:p>
    <w:p>
      <w:pPr>
        <w:numPr>
          <w:ilvl w:val="0"/>
          <w:numId w:val="1029"/>
        </w:numPr>
        <w:pStyle w:val="Compact"/>
      </w:pPr>
      <w:r>
        <w:t xml:space="preserve">Epidemiologic investigations</w:t>
      </w:r>
    </w:p>
    <w:p>
      <w:pPr>
        <w:numPr>
          <w:ilvl w:val="0"/>
          <w:numId w:val="1029"/>
        </w:numPr>
        <w:pStyle w:val="Compact"/>
      </w:pPr>
      <w:r>
        <w:t xml:space="preserve">Communications</w:t>
      </w:r>
    </w:p>
    <w:p>
      <w:pPr>
        <w:numPr>
          <w:ilvl w:val="0"/>
          <w:numId w:val="1029"/>
        </w:numPr>
        <w:pStyle w:val="Compact"/>
      </w:pPr>
      <w:r>
        <w:t xml:space="preserve">Command and control</w:t>
      </w:r>
    </w:p>
    <w:p>
      <w:pPr>
        <w:numPr>
          <w:ilvl w:val="0"/>
          <w:numId w:val="1029"/>
        </w:numPr>
        <w:pStyle w:val="Compact"/>
      </w:pPr>
      <w:r>
        <w:t xml:space="preserve">Health care surge capacity</w:t>
      </w:r>
    </w:p>
    <w:p>
      <w:pPr>
        <w:pStyle w:val="FirstParagraph"/>
      </w:pPr>
      <w:r>
        <w:t xml:space="preserve">These five areas map directly to the 16 injects already designed in the dossier.</w:t>
      </w:r>
    </w:p>
    <w:p>
      <w:pPr>
        <w:pStyle w:val="BodyText"/>
      </w:pPr>
      <w:r>
        <w:rPr>
          <w:bCs/>
          <w:b/>
        </w:rPr>
        <w:t xml:space="preserve">Research Verdict:</w:t>
      </w:r>
      <w:r>
        <w:t xml:space="preserve"> </w:t>
      </w:r>
      <w:r>
        <w:t xml:space="preserve">The existing exercise architecture is professionally grounded and defensible. The design quality is high. What is missing is author decisions on the five blocking items (D1–D5).</w:t>
      </w:r>
    </w:p>
    <w:p>
      <w:r>
        <w:pict>
          <v:rect style="width:0;height:1.5pt" o:hralign="center" o:hrstd="t" o:hr="t"/>
        </w:pict>
      </w:r>
    </w:p>
    <w:bookmarkEnd w:id="43"/>
    <w:bookmarkStart w:id="44" w:name="research-analysis-equity-layer-evidence"/>
    <w:p>
      <w:pPr>
        <w:pStyle w:val="Heading3"/>
      </w:pPr>
      <w:r>
        <w:t xml:space="preserve">4.6 Research &amp; Analysis: Equity Layer Evidence</w:t>
      </w:r>
    </w:p>
    <w:p>
      <w:pPr>
        <w:pStyle w:val="FirstParagraph"/>
      </w:pPr>
      <w:r>
        <w:rPr>
          <w:bCs/>
          <w:b/>
        </w:rPr>
        <w:t xml:space="preserve">Why the Equity Layer Is Non-Negotiable</w:t>
      </w:r>
    </w:p>
    <w:p>
      <w:pPr>
        <w:pStyle w:val="BodyText"/>
      </w:pPr>
      <w:r>
        <w:t xml:space="preserve">This is the second strongest confirmation of an existing design element. Research is unequivocal:</w:t>
      </w:r>
    </w:p>
    <w:p>
      <w:pPr>
        <w:numPr>
          <w:ilvl w:val="0"/>
          <w:numId w:val="1030"/>
        </w:numPr>
        <w:pStyle w:val="Compact"/>
      </w:pPr>
      <w:r>
        <w:t xml:space="preserve">57% of 2024 global disease outbreaks occurred in sub-Saharan Africa and Latin America/Caribbean (home to only 23.3% of world population)</w:t>
      </w:r>
    </w:p>
    <w:p>
      <w:pPr>
        <w:numPr>
          <w:ilvl w:val="0"/>
          <w:numId w:val="1030"/>
        </w:numPr>
        <w:pStyle w:val="Compact"/>
      </w:pPr>
      <w:r>
        <w:t xml:space="preserve">Oxford 2025 study: climate change, poverty, and AMR combine disproportionately in under-resourced communities</w:t>
      </w:r>
    </w:p>
    <w:p>
      <w:pPr>
        <w:numPr>
          <w:ilvl w:val="0"/>
          <w:numId w:val="1030"/>
        </w:numPr>
        <w:pStyle w:val="Compact"/>
      </w:pPr>
      <w:r>
        <w:t xml:space="preserve">Unhoused populations, non-English-speaking communities, and long-term care residents are consistently identified as highest-vulnerability groups in US outbreak scenarios</w:t>
      </w:r>
    </w:p>
    <w:p>
      <w:pPr>
        <w:pStyle w:val="FirstParagraph"/>
      </w:pPr>
      <w:r>
        <w:t xml:space="preserve">The equity layer is not optional — it is where the real-world failures occur. An exercise that produces findings only applicable to the best-case version of the healthcare system has limited operational value.</w:t>
      </w:r>
    </w:p>
    <w:p>
      <w:pPr>
        <w:pStyle w:val="BodyText"/>
      </w:pPr>
      <w:r>
        <w:rPr>
          <w:bCs/>
          <w:b/>
        </w:rPr>
        <w:t xml:space="preserve">Recommendation:</w:t>
      </w:r>
      <w:r>
        <w:t xml:space="preserve"> </w:t>
      </w:r>
      <w:r>
        <w:t xml:space="preserve">Add at least two specific equity injects to Phase 2 or Phase 3:</w:t>
      </w:r>
    </w:p>
    <w:p>
      <w:pPr>
        <w:numPr>
          <w:ilvl w:val="0"/>
          <w:numId w:val="1031"/>
        </w:numPr>
        <w:pStyle w:val="Compact"/>
      </w:pPr>
      <w:r>
        <w:t xml:space="preserve">A scenario involving non-English-speaking patients presenting to the ED simultaneously with suspected cases (tests communication, informed consent, and notification under uncertainty)</w:t>
      </w:r>
    </w:p>
    <w:p>
      <w:pPr>
        <w:numPr>
          <w:ilvl w:val="0"/>
          <w:numId w:val="1031"/>
        </w:numPr>
        <w:pStyle w:val="Compact"/>
      </w:pPr>
      <w:r>
        <w:t xml:space="preserve">A long-term care facility transfer request with a population that includes residents who cannot be safely isolated without significantly impacting their care (already partially addressed by Inject 14 in the dossier)</w:t>
      </w:r>
    </w:p>
    <w:p>
      <w:r>
        <w:pict>
          <v:rect style="width:0;height:1.5pt" o:hralign="center" o:hrstd="t" o:hr="t"/>
        </w:pict>
      </w:r>
    </w:p>
    <w:bookmarkEnd w:id="44"/>
    <w:bookmarkStart w:id="45" w:name="confirmation-bias-flags-project-3"/>
    <w:p>
      <w:pPr>
        <w:pStyle w:val="Heading3"/>
      </w:pPr>
      <w:r>
        <w:t xml:space="preserve">4.7 Confirmation Bias Flags — Project 3</w:t>
      </w:r>
    </w:p>
    <w:p>
      <w:pPr>
        <w:pStyle w:val="FirstParagraph"/>
      </w:pPr>
      <w:r>
        <w:rPr>
          <w:bCs/>
          <w:b/>
        </w:rPr>
        <w:t xml:space="preserve">Flag 1: The Exercise Is Positioned As Clearly Needed</w:t>
      </w:r>
      <w:r>
        <w:t xml:space="preserve"> </w:t>
      </w:r>
      <w:r>
        <w:t xml:space="preserve">The research strongly supports the value of outbreak TTXs. However, the dossier does not address the</w:t>
      </w:r>
      <w:r>
        <w:t xml:space="preserve"> </w:t>
      </w:r>
      <w:r>
        <w:rPr>
          <w:bCs/>
          <w:b/>
        </w:rPr>
        <w:t xml:space="preserve">evidence that TTXs without funded follow-through produce no lasting change</w:t>
      </w:r>
      <w:r>
        <w:t xml:space="preserve">. Multiple studies note that after-action recommendations without assigned owners, budgets, and deadlines are routinely filed and forgotten. The most important question for Project 3 is not</w:t>
      </w:r>
      <w:r>
        <w:t xml:space="preserve"> </w:t>
      </w:r>
      <w:r>
        <w:t xml:space="preserve">“</w:t>
      </w:r>
      <w:r>
        <w:t xml:space="preserve">should we run this exercise?</w:t>
      </w:r>
      <w:r>
        <w:t xml:space="preserve">”</w:t>
      </w:r>
      <w:r>
        <w:t xml:space="preserve"> </w:t>
      </w:r>
      <w:r>
        <w:t xml:space="preserve">but</w:t>
      </w:r>
      <w:r>
        <w:t xml:space="preserve"> </w:t>
      </w:r>
      <w:r>
        <w:t xml:space="preserve">“</w:t>
      </w:r>
      <w:r>
        <w:t xml:space="preserve">who will own the improvement plan and who will fund it?</w:t>
      </w:r>
      <w:r>
        <w:t xml:space="preserve">”</w:t>
      </w:r>
      <w:r>
        <w:t xml:space="preserve"> </w:t>
      </w:r>
      <w:r>
        <w:t xml:space="preserve">This is D4 — and it is currently unresolved.</w:t>
      </w:r>
    </w:p>
    <w:p>
      <w:pPr>
        <w:pStyle w:val="BodyText"/>
      </w:pPr>
      <w:r>
        <w:rPr>
          <w:bCs/>
          <w:b/>
        </w:rPr>
        <w:t xml:space="preserve">Flag 2: The Provider Hook May Alienate Hospital Administration</w:t>
      </w:r>
      <w:r>
        <w:t xml:space="preserve"> </w:t>
      </w:r>
      <w:r>
        <w:t xml:space="preserve">The residency framing is powerful for frontline providers but may create defensiveness in hospital administration participants who will interpret it as implicit criticism of institutional preparedness. Ground rules must explicitly frame the exercise as</w:t>
      </w:r>
      <w:r>
        <w:t xml:space="preserve"> </w:t>
      </w:r>
      <w:r>
        <w:t xml:space="preserve">“</w:t>
      </w:r>
      <w:r>
        <w:t xml:space="preserve">testing the system, not evaluating individuals</w:t>
      </w:r>
      <w:r>
        <w:t xml:space="preserve">”</w:t>
      </w:r>
      <w:r>
        <w:t xml:space="preserve"> </w:t>
      </w:r>
      <w:r>
        <w:t xml:space="preserve">— and this must be credible, not performative.</w:t>
      </w:r>
    </w:p>
    <w:p>
      <w:pPr>
        <w:pStyle w:val="BodyText"/>
      </w:pPr>
      <w:r>
        <w:rPr>
          <w:bCs/>
          <w:b/>
        </w:rPr>
        <w:t xml:space="preserve">Flag 3: Single Hospital Scope May Underrepresent the Real Failure Mode</w:t>
      </w:r>
      <w:r>
        <w:t xml:space="preserve"> </w:t>
      </w:r>
      <w:r>
        <w:t xml:space="preserve">Research shows that the most catastrophic outcomes in real outbreaks occur at the</w:t>
      </w:r>
      <w:r>
        <w:t xml:space="preserve"> </w:t>
      </w:r>
      <w:r>
        <w:rPr>
          <w:iCs/>
          <w:i/>
        </w:rPr>
        <w:t xml:space="preserve">inter-institutional</w:t>
      </w:r>
      <w:r>
        <w:t xml:space="preserve"> </w:t>
      </w:r>
      <w:r>
        <w:t xml:space="preserve">level — the failure to share information between hospitals, between hospitals and public health, and between jurisdictions. Starting at a single hospital is right for depth, but the escalation to multi-institution coordination should be built into at least Phase 3 even in the initial exercise design.</w:t>
      </w:r>
    </w:p>
    <w:p>
      <w:r>
        <w:pict>
          <v:rect style="width:0;height:1.5pt" o:hralign="center" o:hrstd="t" o:hr="t"/>
        </w:pict>
      </w:r>
    </w:p>
    <w:bookmarkEnd w:id="45"/>
    <w:bookmarkStart w:id="46" w:name="author-decision-matrix-project-3"/>
    <w:p>
      <w:pPr>
        <w:pStyle w:val="Heading3"/>
      </w:pPr>
      <w:r>
        <w:t xml:space="preserve">4.8 Author Decision Matrix — Project 3</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w:t>
            </w:r>
          </w:p>
        </w:tc>
        <w:tc>
          <w:tcPr/>
          <w:p>
            <w:pPr>
              <w:pStyle w:val="Compact"/>
              <w:jc w:val="left"/>
            </w:pPr>
            <w:r>
              <w:t xml:space="preserve">Decision</w:t>
            </w:r>
          </w:p>
        </w:tc>
        <w:tc>
          <w:tcPr/>
          <w:p>
            <w:pPr>
              <w:pStyle w:val="Compact"/>
              <w:jc w:val="left"/>
            </w:pPr>
            <w:r>
              <w:t xml:space="preserve">Recommended Answer</w:t>
            </w:r>
          </w:p>
        </w:tc>
        <w:tc>
          <w:tcPr/>
          <w:p>
            <w:pPr>
              <w:pStyle w:val="Compact"/>
              <w:jc w:val="left"/>
            </w:pPr>
            <w:r>
              <w:t xml:space="preserve">Confidence</w:t>
            </w:r>
          </w:p>
        </w:tc>
        <w:tc>
          <w:tcPr/>
          <w:p>
            <w:pPr>
              <w:pStyle w:val="Compact"/>
              <w:jc w:val="left"/>
            </w:pPr>
            <w:r>
              <w:t xml:space="preserve">Research Basis</w:t>
            </w:r>
          </w:p>
        </w:tc>
        <w:tc>
          <w:tcPr/>
          <w:p>
            <w:pPr>
              <w:pStyle w:val="Compact"/>
              <w:jc w:val="left"/>
            </w:pPr>
            <w:r>
              <w:t xml:space="preserve">Your Decision</w:t>
            </w:r>
          </w:p>
        </w:tc>
      </w:tr>
      <w:tr>
        <w:tc>
          <w:tcPr/>
          <w:p>
            <w:pPr>
              <w:pStyle w:val="Compact"/>
              <w:jc w:val="left"/>
            </w:pPr>
            <w:r>
              <w:t xml:space="preserve">D1</w:t>
            </w:r>
          </w:p>
        </w:tc>
        <w:tc>
          <w:tcPr/>
          <w:p>
            <w:pPr>
              <w:pStyle w:val="Compact"/>
              <w:jc w:val="left"/>
            </w:pPr>
            <w:r>
              <w:t xml:space="preserve">Pathogen archetype</w:t>
            </w:r>
          </w:p>
        </w:tc>
        <w:tc>
          <w:tcPr/>
          <w:p>
            <w:pPr>
              <w:pStyle w:val="Compact"/>
              <w:jc w:val="left"/>
            </w:pPr>
            <w:r>
              <w:rPr>
                <w:bCs/>
                <w:b/>
              </w:rPr>
              <w:t xml:space="preserve">Novel zoonotic respiratory; variable 2–10 day incubation; negative standard panels; 15–20% severe; add distinctive early skin manifestation to distinguish from COVID</w:t>
            </w:r>
          </w:p>
        </w:tc>
        <w:tc>
          <w:tcPr/>
          <w:p>
            <w:pPr>
              <w:pStyle w:val="Compact"/>
              <w:jc w:val="left"/>
            </w:pPr>
            <w:r>
              <w:t xml:space="preserve">High</w:t>
            </w:r>
          </w:p>
        </w:tc>
        <w:tc>
          <w:tcPr/>
          <w:p>
            <w:pPr>
              <w:pStyle w:val="Compact"/>
              <w:jc w:val="left"/>
            </w:pPr>
            <w:r>
              <w:t xml:space="preserve">Cross-AI consensus + epidemiology literature</w:t>
            </w:r>
          </w:p>
        </w:tc>
        <w:tc>
          <w:tcPr/>
          <w:p>
            <w:pPr>
              <w:pStyle w:val="Compact"/>
            </w:pPr>
          </w:p>
        </w:tc>
      </w:tr>
      <w:tr>
        <w:tc>
          <w:tcPr/>
          <w:p>
            <w:pPr>
              <w:pStyle w:val="Compact"/>
              <w:jc w:val="left"/>
            </w:pPr>
            <w:r>
              <w:t xml:space="preserve">D2</w:t>
            </w:r>
          </w:p>
        </w:tc>
        <w:tc>
          <w:tcPr/>
          <w:p>
            <w:pPr>
              <w:pStyle w:val="Compact"/>
              <w:jc w:val="left"/>
            </w:pPr>
            <w:r>
              <w:t xml:space="preserve">Primary objective</w:t>
            </w:r>
          </w:p>
        </w:tc>
        <w:tc>
          <w:tcPr/>
          <w:p>
            <w:pPr>
              <w:pStyle w:val="Compact"/>
              <w:jc w:val="left"/>
            </w:pPr>
            <w:r>
              <w:rPr>
                <w:bCs/>
                <w:b/>
              </w:rPr>
              <w:t xml:space="preserve">“</w:t>
            </w:r>
            <w:r>
              <w:rPr>
                <w:bCs/>
                <w:b/>
              </w:rPr>
              <w:t xml:space="preserve">Evaluate how frontline clinical teams detect, escalate, and make containment decisions during the first 72 hours of an uncharacterized pathogen outbreak, before any formal guidance or diagnostic confirmation exists.</w:t>
            </w:r>
            <w:r>
              <w:rPr>
                <w:bCs/>
                <w:b/>
              </w:rPr>
              <w:t xml:space="preserve">”</w:t>
            </w:r>
          </w:p>
        </w:tc>
        <w:tc>
          <w:tcPr/>
          <w:p>
            <w:pPr>
              <w:pStyle w:val="Compact"/>
              <w:jc w:val="left"/>
            </w:pPr>
            <w:r>
              <w:t xml:space="preserve">High</w:t>
            </w:r>
          </w:p>
        </w:tc>
        <w:tc>
          <w:tcPr/>
          <w:p>
            <w:pPr>
              <w:pStyle w:val="Compact"/>
              <w:jc w:val="left"/>
            </w:pPr>
            <w:r>
              <w:t xml:space="preserve">HSEEP framework + Claude’s recommended version</w:t>
            </w:r>
          </w:p>
        </w:tc>
        <w:tc>
          <w:tcPr/>
          <w:p>
            <w:pPr>
              <w:pStyle w:val="Compact"/>
            </w:pPr>
          </w:p>
        </w:tc>
      </w:tr>
      <w:tr>
        <w:tc>
          <w:tcPr/>
          <w:p>
            <w:pPr>
              <w:pStyle w:val="Compact"/>
              <w:jc w:val="left"/>
            </w:pPr>
            <w:r>
              <w:t xml:space="preserve">D3</w:t>
            </w:r>
          </w:p>
        </w:tc>
        <w:tc>
          <w:tcPr/>
          <w:p>
            <w:pPr>
              <w:pStyle w:val="Compact"/>
              <w:jc w:val="left"/>
            </w:pPr>
            <w:r>
              <w:t xml:space="preserve">Target audience and scale</w:t>
            </w:r>
          </w:p>
        </w:tc>
        <w:tc>
          <w:tcPr/>
          <w:p>
            <w:pPr>
              <w:pStyle w:val="Compact"/>
              <w:jc w:val="left"/>
            </w:pPr>
            <w:r>
              <w:rPr>
                <w:bCs/>
                <w:b/>
              </w:rPr>
              <w:t xml:space="preserve">Single or dual hospital + county public health as primary testing ground; federal agencies (CDC, HHS) as simulators only</w:t>
            </w:r>
          </w:p>
        </w:tc>
        <w:tc>
          <w:tcPr/>
          <w:p>
            <w:pPr>
              <w:pStyle w:val="Compact"/>
              <w:jc w:val="left"/>
            </w:pPr>
            <w:r>
              <w:t xml:space="preserve">High</w:t>
            </w:r>
          </w:p>
        </w:tc>
        <w:tc>
          <w:tcPr/>
          <w:p>
            <w:pPr>
              <w:pStyle w:val="Compact"/>
              <w:jc w:val="left"/>
            </w:pPr>
            <w:r>
              <w:t xml:space="preserve">4 of 5 AIs + TTX research on</w:t>
            </w:r>
            <w:r>
              <w:t xml:space="preserve"> </w:t>
            </w:r>
            <w:r>
              <w:t xml:space="preserve">“</w:t>
            </w:r>
            <w:r>
              <w:t xml:space="preserve">depth over breadth</w:t>
            </w:r>
            <w:r>
              <w:t xml:space="preserve">”</w:t>
            </w:r>
          </w:p>
        </w:tc>
        <w:tc>
          <w:tcPr/>
          <w:p>
            <w:pPr>
              <w:pStyle w:val="Compact"/>
            </w:pPr>
          </w:p>
        </w:tc>
      </w:tr>
      <w:tr>
        <w:tc>
          <w:tcPr/>
          <w:p>
            <w:pPr>
              <w:pStyle w:val="Compact"/>
              <w:jc w:val="left"/>
            </w:pPr>
            <w:r>
              <w:t xml:space="preserve">D4</w:t>
            </w:r>
          </w:p>
        </w:tc>
        <w:tc>
          <w:tcPr/>
          <w:p>
            <w:pPr>
              <w:pStyle w:val="Compact"/>
              <w:jc w:val="left"/>
            </w:pPr>
            <w:r>
              <w:t xml:space="preserve">Sponsoring organization</w:t>
            </w:r>
          </w:p>
        </w:tc>
        <w:tc>
          <w:tcPr/>
          <w:p>
            <w:pPr>
              <w:pStyle w:val="Compact"/>
              <w:jc w:val="left"/>
            </w:pPr>
            <w:r>
              <w:rPr>
                <w:bCs/>
                <w:b/>
              </w:rPr>
              <w:t xml:space="preserve">Named hospital or hospital coalition + named county public health authority; specific named improvement plan owner identified before exercise date</w:t>
            </w:r>
          </w:p>
        </w:tc>
        <w:tc>
          <w:tcPr/>
          <w:p>
            <w:pPr>
              <w:pStyle w:val="Compact"/>
              <w:jc w:val="left"/>
            </w:pPr>
            <w:r>
              <w:t xml:space="preserve">High</w:t>
            </w:r>
          </w:p>
        </w:tc>
        <w:tc>
          <w:tcPr/>
          <w:p>
            <w:pPr>
              <w:pStyle w:val="Compact"/>
              <w:jc w:val="left"/>
            </w:pPr>
            <w:r>
              <w:t xml:space="preserve">Research on TTX follow-through failure rates</w:t>
            </w:r>
          </w:p>
        </w:tc>
        <w:tc>
          <w:tcPr/>
          <w:p>
            <w:pPr>
              <w:pStyle w:val="Compact"/>
            </w:pPr>
          </w:p>
        </w:tc>
      </w:tr>
      <w:tr>
        <w:tc>
          <w:tcPr/>
          <w:p>
            <w:pPr>
              <w:pStyle w:val="Compact"/>
              <w:jc w:val="left"/>
            </w:pPr>
            <w:r>
              <w:t xml:space="preserve">D5</w:t>
            </w:r>
          </w:p>
        </w:tc>
        <w:tc>
          <w:tcPr/>
          <w:p>
            <w:pPr>
              <w:pStyle w:val="Compact"/>
              <w:jc w:val="left"/>
            </w:pPr>
            <w:r>
              <w:t xml:space="preserve">Evaluation baseline</w:t>
            </w:r>
          </w:p>
        </w:tc>
        <w:tc>
          <w:tcPr/>
          <w:p>
            <w:pPr>
              <w:pStyle w:val="Compact"/>
              <w:jc w:val="left"/>
            </w:pPr>
            <w:r>
              <w:rPr>
                <w:bCs/>
                <w:b/>
              </w:rPr>
              <w:t xml:space="preserve">Document explicitly as a baseline-establishing exercise; create standardized scoring rubric reusable for follow-on exercises</w:t>
            </w:r>
          </w:p>
        </w:tc>
        <w:tc>
          <w:tcPr/>
          <w:p>
            <w:pPr>
              <w:pStyle w:val="Compact"/>
              <w:jc w:val="left"/>
            </w:pPr>
            <w:r>
              <w:t xml:space="preserve">High</w:t>
            </w:r>
          </w:p>
        </w:tc>
        <w:tc>
          <w:tcPr/>
          <w:p>
            <w:pPr>
              <w:pStyle w:val="Compact"/>
              <w:jc w:val="left"/>
            </w:pPr>
            <w:r>
              <w:t xml:space="preserve">Research on benchmarking value</w:t>
            </w:r>
          </w:p>
        </w:tc>
        <w:tc>
          <w:tcPr/>
          <w:p>
            <w:pPr>
              <w:pStyle w:val="Compact"/>
            </w:pPr>
          </w:p>
        </w:tc>
      </w:tr>
      <w:tr>
        <w:tc>
          <w:tcPr/>
          <w:p>
            <w:pPr>
              <w:pStyle w:val="Compact"/>
              <w:jc w:val="left"/>
            </w:pPr>
            <w:r>
              <w:t xml:space="preserve">“</w:t>
            </w:r>
            <w:r>
              <w:t xml:space="preserve">10-year</w:t>
            </w:r>
            <w:r>
              <w:t xml:space="preserve">”</w:t>
            </w:r>
            <w:r>
              <w:t xml:space="preserve"> </w:t>
            </w:r>
            <w:r>
              <w:t xml:space="preserve">framing</w:t>
            </w:r>
          </w:p>
        </w:tc>
        <w:tc>
          <w:tcPr/>
          <w:p>
            <w:pPr>
              <w:pStyle w:val="Compact"/>
              <w:jc w:val="left"/>
            </w:pPr>
            <w:r>
              <w:t xml:space="preserve">Retire it</w:t>
            </w:r>
          </w:p>
        </w:tc>
        <w:tc>
          <w:tcPr/>
          <w:p>
            <w:pPr>
              <w:pStyle w:val="Compact"/>
              <w:jc w:val="left"/>
            </w:pPr>
            <w:r>
              <w:rPr>
                <w:bCs/>
                <w:b/>
              </w:rPr>
              <w:t xml:space="preserve">Replace with:</w:t>
            </w:r>
            <w:r>
              <w:rPr>
                <w:bCs/>
                <w:b/>
              </w:rPr>
              <w:t xml:space="preserve"> </w:t>
            </w:r>
            <w:r>
              <w:rPr>
                <w:bCs/>
                <w:b/>
              </w:rPr>
              <w:t xml:space="preserve">“</w:t>
            </w:r>
            <w:r>
              <w:rPr>
                <w:bCs/>
                <w:b/>
              </w:rPr>
              <w:t xml:space="preserve">We are in a heightened-risk window — the science supports urgency; the next outbreak is not a question of if but of readiness</w:t>
            </w:r>
            <w:r>
              <w:rPr>
                <w:bCs/>
                <w:b/>
              </w:rPr>
              <w:t xml:space="preserve">”</w:t>
            </w:r>
          </w:p>
        </w:tc>
        <w:tc>
          <w:tcPr/>
          <w:p>
            <w:pPr>
              <w:pStyle w:val="Compact"/>
              <w:jc w:val="left"/>
            </w:pPr>
            <w:r>
              <w:t xml:space="preserve">Very High</w:t>
            </w:r>
          </w:p>
        </w:tc>
        <w:tc>
          <w:tcPr/>
          <w:p>
            <w:pPr>
              <w:pStyle w:val="Compact"/>
              <w:jc w:val="left"/>
            </w:pPr>
            <w:r>
              <w:t xml:space="preserve">Airfinity, Metabiota, Duke, Nature — unanimous</w:t>
            </w:r>
          </w:p>
        </w:tc>
        <w:tc>
          <w:tcPr/>
          <w:p>
            <w:pPr>
              <w:pStyle w:val="Compact"/>
            </w:pPr>
          </w:p>
        </w:tc>
      </w:tr>
      <w:tr>
        <w:tc>
          <w:tcPr/>
          <w:p>
            <w:pPr>
              <w:pStyle w:val="Compact"/>
              <w:jc w:val="left"/>
            </w:pPr>
            <w:r>
              <w:t xml:space="preserve">Equity layer</w:t>
            </w:r>
          </w:p>
        </w:tc>
        <w:tc>
          <w:tcPr/>
          <w:p>
            <w:pPr>
              <w:pStyle w:val="Compact"/>
              <w:jc w:val="left"/>
            </w:pPr>
            <w:r>
              <w:t xml:space="preserve">Add two injects</w:t>
            </w:r>
          </w:p>
        </w:tc>
        <w:tc>
          <w:tcPr/>
          <w:p>
            <w:pPr>
              <w:pStyle w:val="Compact"/>
              <w:jc w:val="left"/>
            </w:pPr>
            <w:r>
              <w:rPr>
                <w:bCs/>
                <w:b/>
              </w:rPr>
              <w:t xml:space="preserve">Non-English-speaking patient cluster + LTC transfer with complex care needs</w:t>
            </w:r>
          </w:p>
        </w:tc>
        <w:tc>
          <w:tcPr/>
          <w:p>
            <w:pPr>
              <w:pStyle w:val="Compact"/>
              <w:jc w:val="left"/>
            </w:pPr>
            <w:r>
              <w:t xml:space="preserve">High</w:t>
            </w:r>
          </w:p>
        </w:tc>
        <w:tc>
          <w:tcPr/>
          <w:p>
            <w:pPr>
              <w:pStyle w:val="Compact"/>
              <w:jc w:val="left"/>
            </w:pPr>
            <w:r>
              <w:t xml:space="preserve">Oxford 2025, BMJ Global Health 2026</w:t>
            </w:r>
          </w:p>
        </w:tc>
        <w:tc>
          <w:tcPr/>
          <w:p>
            <w:pPr>
              <w:pStyle w:val="Compact"/>
            </w:pPr>
          </w:p>
        </w:tc>
      </w:tr>
    </w:tbl>
    <w:p>
      <w:r>
        <w:pict>
          <v:rect style="width:0;height:1.5pt" o:hralign="center" o:hrstd="t" o:hr="t"/>
        </w:pict>
      </w:r>
    </w:p>
    <w:bookmarkEnd w:id="46"/>
    <w:bookmarkEnd w:id="47"/>
    <w:bookmarkStart w:id="51" w:name="X0782b397d5eaccf5620e96c004ce8ac82b00bb0"/>
    <w:p>
      <w:pPr>
        <w:pStyle w:val="Heading2"/>
      </w:pPr>
      <w:r>
        <w:t xml:space="preserve">5. Cross-Project Themes &amp; Unified Recommendations</w:t>
      </w:r>
    </w:p>
    <w:p>
      <w:pPr>
        <w:pStyle w:val="FirstParagraph"/>
      </w:pPr>
      <w:r>
        <w:t xml:space="preserve">Three themes appear consistently across all three projects and warrant a unified recommendation to the author:</w:t>
      </w:r>
    </w:p>
    <w:bookmarkStart w:id="48" w:name="theme-1-the-omnipotence-problem"/>
    <w:p>
      <w:pPr>
        <w:pStyle w:val="Heading3"/>
      </w:pPr>
      <w:r>
        <w:t xml:space="preserve">Theme 1: The Omnipotence Problem</w:t>
      </w:r>
    </w:p>
    <w:p>
      <w:pPr>
        <w:pStyle w:val="FirstParagraph"/>
      </w:pPr>
      <w:r>
        <w:t xml:space="preserve">All three projects carry the risk of Nathan Lewis as a flawless, all-knowing architect with no visible costs or limitations. Research and narrative analysis across all three domains unanimously identifies this as the single greatest threat to long-term story value and exercise credibility.</w:t>
      </w:r>
    </w:p>
    <w:p>
      <w:pPr>
        <w:pStyle w:val="BodyText"/>
      </w:pPr>
      <w:r>
        <w:rPr>
          <w:bCs/>
          <w:b/>
        </w:rPr>
        <w:t xml:space="preserve">Unified Recommendation:</w:t>
      </w:r>
      <w:r>
        <w:t xml:space="preserve"> </w:t>
      </w:r>
      <w:r>
        <w:t xml:space="preserve">Each project should contain at least one designed failure mode, limitation, or cost that is visible to the audience before the canon’s first major escalation arc. Specifically:</w:t>
      </w:r>
    </w:p>
    <w:p>
      <w:pPr>
        <w:numPr>
          <w:ilvl w:val="0"/>
          <w:numId w:val="1032"/>
        </w:numPr>
        <w:pStyle w:val="Compact"/>
      </w:pPr>
      <w:r>
        <w:rPr>
          <w:bCs/>
          <w:b/>
        </w:rPr>
        <w:t xml:space="preserve">Canon-001:</w:t>
      </w:r>
      <w:r>
        <w:t xml:space="preserve"> </w:t>
      </w:r>
      <w:r>
        <w:t xml:space="preserve">A minor anomaly in the armor demo that Nathan handles with visible improvisation (not visible preparation)</w:t>
      </w:r>
    </w:p>
    <w:p>
      <w:pPr>
        <w:numPr>
          <w:ilvl w:val="0"/>
          <w:numId w:val="1032"/>
        </w:numPr>
        <w:pStyle w:val="Compact"/>
      </w:pPr>
      <w:r>
        <w:rPr>
          <w:bCs/>
          <w:b/>
        </w:rPr>
        <w:t xml:space="preserve">Canon-002:</w:t>
      </w:r>
      <w:r>
        <w:t xml:space="preserve"> </w:t>
      </w:r>
      <w:r>
        <w:t xml:space="preserve">The recursive counter-simulation seed — one attacker whose data Nathan doesn’t fully understand</w:t>
      </w:r>
    </w:p>
    <w:p>
      <w:pPr>
        <w:numPr>
          <w:ilvl w:val="0"/>
          <w:numId w:val="1032"/>
        </w:numPr>
        <w:pStyle w:val="Compact"/>
      </w:pPr>
      <w:r>
        <w:rPr>
          <w:bCs/>
          <w:b/>
        </w:rPr>
        <w:t xml:space="preserve">TTX-001:</w:t>
      </w:r>
      <w:r>
        <w:t xml:space="preserve"> </w:t>
      </w:r>
      <w:r>
        <w:t xml:space="preserve">The facilitator must be authorized to let failure appear on record; the exercise design must include a scenario branch where participants cannot find the right answer</w:t>
      </w:r>
    </w:p>
    <w:bookmarkEnd w:id="48"/>
    <w:bookmarkStart w:id="49" w:name="X6660865bb95167e28130b3f0a0eb49e7a68027b"/>
    <w:p>
      <w:pPr>
        <w:pStyle w:val="Heading3"/>
      </w:pPr>
      <w:r>
        <w:t xml:space="preserve">Theme 2: The Information Asymmetry Principle</w:t>
      </w:r>
    </w:p>
    <w:p>
      <w:pPr>
        <w:pStyle w:val="FirstParagraph"/>
      </w:pPr>
      <w:r>
        <w:t xml:space="preserve">All three projects are most powerful when different parties have different information and the story’s tension derives from that gap:</w:t>
      </w:r>
    </w:p>
    <w:p>
      <w:pPr>
        <w:numPr>
          <w:ilvl w:val="0"/>
          <w:numId w:val="1033"/>
        </w:numPr>
        <w:pStyle w:val="Compact"/>
      </w:pPr>
      <w:r>
        <w:rPr>
          <w:bCs/>
          <w:b/>
        </w:rPr>
        <w:t xml:space="preserve">Canon-001:</w:t>
      </w:r>
      <w:r>
        <w:t xml:space="preserve"> </w:t>
      </w:r>
      <w:r>
        <w:t xml:space="preserve">The colleague knows something Nathan doesn’t realize they know</w:t>
      </w:r>
    </w:p>
    <w:p>
      <w:pPr>
        <w:numPr>
          <w:ilvl w:val="0"/>
          <w:numId w:val="1033"/>
        </w:numPr>
        <w:pStyle w:val="Compact"/>
      </w:pPr>
      <w:r>
        <w:rPr>
          <w:bCs/>
          <w:b/>
        </w:rPr>
        <w:t xml:space="preserve">Canon-002:</w:t>
      </w:r>
      <w:r>
        <w:t xml:space="preserve"> </w:t>
      </w:r>
      <w:r>
        <w:t xml:space="preserve">The Architect has full visibility; the partner agency receives only what he packages</w:t>
      </w:r>
    </w:p>
    <w:p>
      <w:pPr>
        <w:numPr>
          <w:ilvl w:val="0"/>
          <w:numId w:val="1033"/>
        </w:numPr>
        <w:pStyle w:val="Compact"/>
      </w:pPr>
      <w:r>
        <w:rPr>
          <w:bCs/>
          <w:b/>
        </w:rPr>
        <w:t xml:space="preserve">TTX-001:</w:t>
      </w:r>
      <w:r>
        <w:t xml:space="preserve"> </w:t>
      </w:r>
      <w:r>
        <w:t xml:space="preserve">Participants have different data; some requests return</w:t>
      </w:r>
      <w:r>
        <w:t xml:space="preserve"> </w:t>
      </w:r>
      <w:r>
        <w:t xml:space="preserve">“</w:t>
      </w:r>
      <w:r>
        <w:t xml:space="preserve">unavailable</w:t>
      </w:r>
      <w:r>
        <w:t xml:space="preserve">”</w:t>
      </w:r>
      <w:r>
        <w:t xml:space="preserve">; the audience/facilitator has information the participants don’t</w:t>
      </w:r>
    </w:p>
    <w:p>
      <w:pPr>
        <w:pStyle w:val="FirstParagraph"/>
      </w:pPr>
      <w:r>
        <w:t xml:space="preserve">This asymmetry is what makes each project work. Preserve it actively.</w:t>
      </w:r>
    </w:p>
    <w:bookmarkEnd w:id="49"/>
    <w:bookmarkStart w:id="50" w:name="theme-3-the-follow-through-problem"/>
    <w:p>
      <w:pPr>
        <w:pStyle w:val="Heading3"/>
      </w:pPr>
      <w:r>
        <w:t xml:space="preserve">Theme 3: The Follow-Through Problem</w:t>
      </w:r>
    </w:p>
    <w:p>
      <w:pPr>
        <w:pStyle w:val="FirstParagraph"/>
      </w:pPr>
      <w:r>
        <w:t xml:space="preserve">All three projects are currently designed plans with no owner:</w:t>
      </w:r>
    </w:p>
    <w:p>
      <w:pPr>
        <w:numPr>
          <w:ilvl w:val="0"/>
          <w:numId w:val="1034"/>
        </w:numPr>
        <w:pStyle w:val="Compact"/>
      </w:pPr>
      <w:r>
        <w:rPr>
          <w:bCs/>
          <w:b/>
        </w:rPr>
        <w:t xml:space="preserve">Canon-001</w:t>
      </w:r>
      <w:r>
        <w:t xml:space="preserve"> </w:t>
      </w:r>
      <w:r>
        <w:t xml:space="preserve">has no confirmed AI assigned to draft the narrative scenes</w:t>
      </w:r>
    </w:p>
    <w:p>
      <w:pPr>
        <w:numPr>
          <w:ilvl w:val="0"/>
          <w:numId w:val="1034"/>
        </w:numPr>
        <w:pStyle w:val="Compact"/>
      </w:pPr>
      <w:r>
        <w:rPr>
          <w:bCs/>
          <w:b/>
        </w:rPr>
        <w:t xml:space="preserve">Canon-002</w:t>
      </w:r>
      <w:r>
        <w:t xml:space="preserve"> </w:t>
      </w:r>
      <w:r>
        <w:t xml:space="preserve">has no confirmed AI assigned to draft the scene POVs</w:t>
      </w:r>
    </w:p>
    <w:p>
      <w:pPr>
        <w:numPr>
          <w:ilvl w:val="0"/>
          <w:numId w:val="1034"/>
        </w:numPr>
        <w:pStyle w:val="Compact"/>
      </w:pPr>
      <w:r>
        <w:rPr>
          <w:bCs/>
          <w:b/>
        </w:rPr>
        <w:t xml:space="preserve">TTX-001</w:t>
      </w:r>
      <w:r>
        <w:t xml:space="preserve"> </w:t>
      </w:r>
      <w:r>
        <w:t xml:space="preserve">has no confirmed sponsoring organization or improvement plan owner</w:t>
      </w:r>
    </w:p>
    <w:p>
      <w:pPr>
        <w:pStyle w:val="FirstParagraph"/>
      </w:pPr>
      <w:r>
        <w:t xml:space="preserve">The most important action today is not resolving all open questions — it is assigning responsibility for the next phase of each project so it doesn’t stall after ONESTAMP.</w:t>
      </w:r>
    </w:p>
    <w:p>
      <w:r>
        <w:pict>
          <v:rect style="width:0;height:1.5pt" o:hralign="center" o:hrstd="t" o:hr="t"/>
        </w:pict>
      </w:r>
    </w:p>
    <w:bookmarkEnd w:id="50"/>
    <w:bookmarkEnd w:id="51"/>
    <w:bookmarkStart w:id="55" w:name="X923ad6f26922b59580ad62d19fb8fef180035f7"/>
    <w:p>
      <w:pPr>
        <w:pStyle w:val="Heading2"/>
      </w:pPr>
      <w:r>
        <w:t xml:space="preserve">6. Priority Approval Checklist — What to Decide Today</w:t>
      </w:r>
    </w:p>
    <w:p>
      <w:pPr>
        <w:pStyle w:val="FirstParagraph"/>
      </w:pPr>
      <w:r>
        <w:t xml:space="preserve">The following is a condensed list of everything you need to decide to release all three projects from pending status. This can serve as your working approval document.</w:t>
      </w:r>
    </w:p>
    <w:bookmarkStart w:id="52" w:name="project-1-canon-001"/>
    <w:p>
      <w:pPr>
        <w:pStyle w:val="Heading3"/>
      </w:pPr>
      <w:r>
        <w:t xml:space="preserve">Project 1 — Canon-001</w:t>
      </w:r>
    </w:p>
    <w:p>
      <w:pPr>
        <w:numPr>
          <w:ilvl w:val="0"/>
          <w:numId w:val="1035"/>
        </w:numPr>
        <w:pStyle w:val="Compact"/>
      </w:pPr>
      <w:r>
        <w:t xml:space="preserve">☐</w:t>
      </w:r>
      <w:r>
        <w:t xml:space="preserve"> </w:t>
      </w:r>
      <w:r>
        <w:rPr>
          <w:bCs/>
          <w:b/>
        </w:rPr>
        <w:t xml:space="preserve">Q1:</w:t>
      </w:r>
      <w:r>
        <w:t xml:space="preserve"> </w:t>
      </w:r>
      <w:r>
        <w:t xml:space="preserve">Confirm 3 years before theft (or specify)</w:t>
      </w:r>
    </w:p>
    <w:p>
      <w:pPr>
        <w:numPr>
          <w:ilvl w:val="0"/>
          <w:numId w:val="1035"/>
        </w:numPr>
        <w:pStyle w:val="Compact"/>
      </w:pPr>
      <w:r>
        <w:t xml:space="preserve">☐</w:t>
      </w:r>
      <w:r>
        <w:t xml:space="preserve"> </w:t>
      </w:r>
      <w:r>
        <w:rPr>
          <w:bCs/>
          <w:b/>
        </w:rPr>
        <w:t xml:space="preserve">Q3:</w:t>
      </w:r>
      <w:r>
        <w:t xml:space="preserve"> </w:t>
      </w:r>
      <w:r>
        <w:t xml:space="preserve">Confirm audience: military + board + ethics observer (or specify)</w:t>
      </w:r>
    </w:p>
    <w:p>
      <w:pPr>
        <w:numPr>
          <w:ilvl w:val="0"/>
          <w:numId w:val="1035"/>
        </w:numPr>
        <w:pStyle w:val="Compact"/>
      </w:pPr>
      <w:r>
        <w:t xml:space="preserve">☐</w:t>
      </w:r>
      <w:r>
        <w:t xml:space="preserve"> </w:t>
      </w:r>
      <w:r>
        <w:rPr>
          <w:bCs/>
          <w:b/>
        </w:rPr>
        <w:t xml:space="preserve">Q5:</w:t>
      </w:r>
      <w:r>
        <w:t xml:space="preserve"> </w:t>
      </w:r>
      <w:r>
        <w:t xml:space="preserve">Confirm control mechanism: pre-scripted AI with override (or specify)</w:t>
      </w:r>
    </w:p>
    <w:p>
      <w:pPr>
        <w:numPr>
          <w:ilvl w:val="0"/>
          <w:numId w:val="1035"/>
        </w:numPr>
        <w:pStyle w:val="Compact"/>
      </w:pPr>
      <w:r>
        <w:t xml:space="preserve">☐</w:t>
      </w:r>
      <w:r>
        <w:t xml:space="preserve"> </w:t>
      </w:r>
      <w:r>
        <w:rPr>
          <w:bCs/>
          <w:b/>
        </w:rPr>
        <w:t xml:space="preserve">Q9:</w:t>
      </w:r>
      <w:r>
        <w:t xml:space="preserve"> </w:t>
      </w:r>
      <w:r>
        <w:t xml:space="preserve">Confirm joint corp-gov classified (or specify)</w:t>
      </w:r>
    </w:p>
    <w:p>
      <w:pPr>
        <w:numPr>
          <w:ilvl w:val="0"/>
          <w:numId w:val="1035"/>
        </w:numPr>
        <w:pStyle w:val="Compact"/>
      </w:pPr>
      <w:r>
        <w:t xml:space="preserve">☐</w:t>
      </w:r>
      <w:r>
        <w:t xml:space="preserve"> </w:t>
      </w:r>
      <w:r>
        <w:rPr>
          <w:bCs/>
          <w:b/>
        </w:rPr>
        <w:t xml:space="preserve">Q10:</w:t>
      </w:r>
      <w:r>
        <w:t xml:space="preserve"> </w:t>
      </w:r>
      <w:r>
        <w:t xml:space="preserve">Confirm pre-theft placement for ocean meeting (or specify)</w:t>
      </w:r>
    </w:p>
    <w:p>
      <w:pPr>
        <w:numPr>
          <w:ilvl w:val="0"/>
          <w:numId w:val="1035"/>
        </w:numPr>
        <w:pStyle w:val="Compact"/>
      </w:pPr>
      <w:r>
        <w:t xml:space="preserve">☐</w:t>
      </w:r>
      <w:r>
        <w:t xml:space="preserve"> </w:t>
      </w:r>
      <w:r>
        <w:rPr>
          <w:bCs/>
          <w:b/>
        </w:rPr>
        <w:t xml:space="preserve">Q12:</w:t>
      </w:r>
      <w:r>
        <w:t xml:space="preserve"> </w:t>
      </w:r>
      <w:r>
        <w:t xml:space="preserve">Confirm Black-Ops / Military Liaison archetype (or specify)</w:t>
      </w:r>
    </w:p>
    <w:p>
      <w:pPr>
        <w:numPr>
          <w:ilvl w:val="0"/>
          <w:numId w:val="1035"/>
        </w:numPr>
        <w:pStyle w:val="Compact"/>
      </w:pPr>
      <w:r>
        <w:t xml:space="preserve">☐</w:t>
      </w:r>
      <w:r>
        <w:t xml:space="preserve"> </w:t>
      </w:r>
      <w:r>
        <w:rPr>
          <w:bCs/>
          <w:b/>
        </w:rPr>
        <w:t xml:space="preserve">Q17:</w:t>
      </w:r>
      <w:r>
        <w:t xml:space="preserve"> </w:t>
      </w:r>
      <w:r>
        <w:t xml:space="preserve">Confirm</w:t>
      </w:r>
      <w:r>
        <w:t xml:space="preserve"> </w:t>
      </w:r>
      <w:r>
        <w:t xml:space="preserve">“</w:t>
      </w:r>
      <w:r>
        <w:t xml:space="preserve">proof of government surveillance</w:t>
      </w:r>
      <w:r>
        <w:t xml:space="preserve">”</w:t>
      </w:r>
      <w:r>
        <w:t xml:space="preserve"> </w:t>
      </w:r>
      <w:r>
        <w:t xml:space="preserve">as payload (or specify)</w:t>
      </w:r>
    </w:p>
    <w:p>
      <w:pPr>
        <w:numPr>
          <w:ilvl w:val="0"/>
          <w:numId w:val="1035"/>
        </w:numPr>
        <w:pStyle w:val="Compact"/>
      </w:pPr>
      <w:r>
        <w:t xml:space="preserve">☐ Assign AI to draft narrative scenes (ChatGPT + Google Gemini recommended)</w:t>
      </w:r>
    </w:p>
    <w:bookmarkEnd w:id="52"/>
    <w:bookmarkStart w:id="53" w:name="project-2-canon-002"/>
    <w:p>
      <w:pPr>
        <w:pStyle w:val="Heading3"/>
      </w:pPr>
      <w:r>
        <w:t xml:space="preserve">Project 2 — Canon-002</w:t>
      </w:r>
    </w:p>
    <w:p>
      <w:pPr>
        <w:numPr>
          <w:ilvl w:val="0"/>
          <w:numId w:val="1036"/>
        </w:numPr>
        <w:pStyle w:val="Compact"/>
      </w:pPr>
      <w:r>
        <w:t xml:space="preserve">☐</w:t>
      </w:r>
      <w:r>
        <w:t xml:space="preserve"> </w:t>
      </w:r>
      <w:r>
        <w:rPr>
          <w:bCs/>
          <w:b/>
        </w:rPr>
        <w:t xml:space="preserve">Q1:</w:t>
      </w:r>
      <w:r>
        <w:t xml:space="preserve"> </w:t>
      </w:r>
      <w:r>
        <w:t xml:space="preserve">Confirm full US critical infrastructure scope (or specify)</w:t>
      </w:r>
    </w:p>
    <w:p>
      <w:pPr>
        <w:numPr>
          <w:ilvl w:val="0"/>
          <w:numId w:val="1036"/>
        </w:numPr>
        <w:pStyle w:val="Compact"/>
      </w:pPr>
      <w:r>
        <w:t xml:space="preserve">☐</w:t>
      </w:r>
      <w:r>
        <w:t xml:space="preserve"> </w:t>
      </w:r>
      <w:r>
        <w:rPr>
          <w:bCs/>
          <w:b/>
        </w:rPr>
        <w:t xml:space="preserve">Q3:</w:t>
      </w:r>
      <w:r>
        <w:t xml:space="preserve"> </w:t>
      </w:r>
      <w:r>
        <w:t xml:space="preserve">Confirm joint task force, black-program contractor (or specify)</w:t>
      </w:r>
    </w:p>
    <w:p>
      <w:pPr>
        <w:numPr>
          <w:ilvl w:val="0"/>
          <w:numId w:val="1036"/>
        </w:numPr>
        <w:pStyle w:val="Compact"/>
      </w:pPr>
      <w:r>
        <w:t xml:space="preserve">☐</w:t>
      </w:r>
      <w:r>
        <w:t xml:space="preserve"> </w:t>
      </w:r>
      <w:r>
        <w:rPr>
          <w:bCs/>
          <w:b/>
        </w:rPr>
        <w:t xml:space="preserve">Q11:</w:t>
      </w:r>
      <w:r>
        <w:t xml:space="preserve"> </w:t>
      </w:r>
      <w:r>
        <w:t xml:space="preserve">Confirm contain-only, no retaliation (or specify)</w:t>
      </w:r>
    </w:p>
    <w:p>
      <w:pPr>
        <w:numPr>
          <w:ilvl w:val="0"/>
          <w:numId w:val="1036"/>
        </w:numPr>
        <w:pStyle w:val="Compact"/>
      </w:pPr>
      <w:r>
        <w:t xml:space="preserve">☐</w:t>
      </w:r>
      <w:r>
        <w:t xml:space="preserve"> </w:t>
      </w:r>
      <w:r>
        <w:rPr>
          <w:bCs/>
          <w:b/>
        </w:rPr>
        <w:t xml:space="preserve">Q14:</w:t>
      </w:r>
      <w:r>
        <w:t xml:space="preserve"> </w:t>
      </w:r>
      <w:r>
        <w:t xml:space="preserve">Confirm</w:t>
      </w:r>
      <w:r>
        <w:t xml:space="preserve"> </w:t>
      </w:r>
      <w:r>
        <w:t xml:space="preserve">“</w:t>
      </w:r>
      <w:r>
        <w:t xml:space="preserve">Mirror Core</w:t>
      </w:r>
      <w:r>
        <w:t xml:space="preserve">”</w:t>
      </w:r>
      <w:r>
        <w:t xml:space="preserve"> </w:t>
      </w:r>
      <w:r>
        <w:t xml:space="preserve">black-box transfer (or specify)</w:t>
      </w:r>
    </w:p>
    <w:p>
      <w:pPr>
        <w:numPr>
          <w:ilvl w:val="0"/>
          <w:numId w:val="1036"/>
        </w:numPr>
        <w:pStyle w:val="Compact"/>
      </w:pPr>
      <w:r>
        <w:t xml:space="preserve">☐</w:t>
      </w:r>
      <w:r>
        <w:t xml:space="preserve"> </w:t>
      </w:r>
      <w:r>
        <w:rPr>
          <w:bCs/>
          <w:b/>
        </w:rPr>
        <w:t xml:space="preserve">Q17:</w:t>
      </w:r>
      <w:r>
        <w:t xml:space="preserve"> </w:t>
      </w:r>
      <w:r>
        <w:t xml:space="preserve">Confirm recursive counter-simulation as canonical failure mode (planted as seed)</w:t>
      </w:r>
    </w:p>
    <w:p>
      <w:pPr>
        <w:numPr>
          <w:ilvl w:val="0"/>
          <w:numId w:val="1036"/>
        </w:numPr>
        <w:pStyle w:val="Compact"/>
      </w:pPr>
      <w:r>
        <w:t xml:space="preserve">☐</w:t>
      </w:r>
      <w:r>
        <w:t xml:space="preserve"> </w:t>
      </w:r>
      <w:r>
        <w:rPr>
          <w:bCs/>
          <w:b/>
        </w:rPr>
        <w:t xml:space="preserve">Q20:</w:t>
      </w:r>
      <w:r>
        <w:t xml:space="preserve"> </w:t>
      </w:r>
      <w:r>
        <w:t xml:space="preserve">Confirm</w:t>
      </w:r>
      <w:r>
        <w:t xml:space="preserve"> </w:t>
      </w:r>
      <w:r>
        <w:t xml:space="preserve">“</w:t>
      </w:r>
      <w:r>
        <w:t xml:space="preserve">all seeded, none named</w:t>
      </w:r>
      <w:r>
        <w:t xml:space="preserve">”</w:t>
      </w:r>
      <w:r>
        <w:t xml:space="preserve"> </w:t>
      </w:r>
      <w:r>
        <w:t xml:space="preserve">as Time Wars connection approach</w:t>
      </w:r>
    </w:p>
    <w:p>
      <w:pPr>
        <w:numPr>
          <w:ilvl w:val="0"/>
          <w:numId w:val="1036"/>
        </w:numPr>
        <w:pStyle w:val="Compact"/>
      </w:pPr>
      <w:r>
        <w:t xml:space="preserve">☐ Assign AI to draft Command Center POV and Attacker POV scenes</w:t>
      </w:r>
    </w:p>
    <w:bookmarkEnd w:id="53"/>
    <w:bookmarkStart w:id="54" w:name="project-3-ttx-001"/>
    <w:p>
      <w:pPr>
        <w:pStyle w:val="Heading3"/>
      </w:pPr>
      <w:r>
        <w:t xml:space="preserve">Project 3 — TTX-001</w:t>
      </w:r>
    </w:p>
    <w:p>
      <w:pPr>
        <w:numPr>
          <w:ilvl w:val="0"/>
          <w:numId w:val="1037"/>
        </w:numPr>
        <w:pStyle w:val="Compact"/>
      </w:pPr>
      <w:r>
        <w:t xml:space="preserve">☐</w:t>
      </w:r>
      <w:r>
        <w:t xml:space="preserve"> </w:t>
      </w:r>
      <w:r>
        <w:rPr>
          <w:bCs/>
          <w:b/>
        </w:rPr>
        <w:t xml:space="preserve">D1:</w:t>
      </w:r>
      <w:r>
        <w:t xml:space="preserve"> </w:t>
      </w:r>
      <w:r>
        <w:t xml:space="preserve">Confirm novel zoonotic respiratory archetype with skin manifestation distinction</w:t>
      </w:r>
    </w:p>
    <w:p>
      <w:pPr>
        <w:numPr>
          <w:ilvl w:val="0"/>
          <w:numId w:val="1037"/>
        </w:numPr>
        <w:pStyle w:val="Compact"/>
      </w:pPr>
      <w:r>
        <w:t xml:space="preserve">☐</w:t>
      </w:r>
      <w:r>
        <w:t xml:space="preserve"> </w:t>
      </w:r>
      <w:r>
        <w:rPr>
          <w:bCs/>
          <w:b/>
        </w:rPr>
        <w:t xml:space="preserve">D2:</w:t>
      </w:r>
      <w:r>
        <w:t xml:space="preserve"> </w:t>
      </w:r>
      <w:r>
        <w:t xml:space="preserve">Confirm primary objective (recommended text above, or modify)</w:t>
      </w:r>
    </w:p>
    <w:p>
      <w:pPr>
        <w:numPr>
          <w:ilvl w:val="0"/>
          <w:numId w:val="1037"/>
        </w:numPr>
        <w:pStyle w:val="Compact"/>
      </w:pPr>
      <w:r>
        <w:t xml:space="preserve">☐</w:t>
      </w:r>
      <w:r>
        <w:t xml:space="preserve"> </w:t>
      </w:r>
      <w:r>
        <w:rPr>
          <w:bCs/>
          <w:b/>
        </w:rPr>
        <w:t xml:space="preserve">D3:</w:t>
      </w:r>
      <w:r>
        <w:t xml:space="preserve"> </w:t>
      </w:r>
      <w:r>
        <w:t xml:space="preserve">Confirm single/dual hospital + county public health scale</w:t>
      </w:r>
    </w:p>
    <w:p>
      <w:pPr>
        <w:numPr>
          <w:ilvl w:val="0"/>
          <w:numId w:val="1037"/>
        </w:numPr>
        <w:pStyle w:val="Compact"/>
      </w:pPr>
      <w:r>
        <w:t xml:space="preserve">☐</w:t>
      </w:r>
      <w:r>
        <w:t xml:space="preserve"> </w:t>
      </w:r>
      <w:r>
        <w:rPr>
          <w:bCs/>
          <w:b/>
        </w:rPr>
        <w:t xml:space="preserve">D4:</w:t>
      </w:r>
      <w:r>
        <w:t xml:space="preserve"> </w:t>
      </w:r>
      <w:r>
        <w:t xml:space="preserve">Name the sponsoring organization and improvement plan owner</w:t>
      </w:r>
    </w:p>
    <w:p>
      <w:pPr>
        <w:numPr>
          <w:ilvl w:val="0"/>
          <w:numId w:val="1037"/>
        </w:numPr>
        <w:pStyle w:val="Compact"/>
      </w:pPr>
      <w:r>
        <w:t xml:space="preserve">☐</w:t>
      </w:r>
      <w:r>
        <w:t xml:space="preserve"> </w:t>
      </w:r>
      <w:r>
        <w:rPr>
          <w:bCs/>
          <w:b/>
        </w:rPr>
        <w:t xml:space="preserve">D5:</w:t>
      </w:r>
      <w:r>
        <w:t xml:space="preserve"> </w:t>
      </w:r>
      <w:r>
        <w:t xml:space="preserve">Confirm baseline-establishing status and scoring rubric requirement</w:t>
      </w:r>
    </w:p>
    <w:p>
      <w:pPr>
        <w:numPr>
          <w:ilvl w:val="0"/>
          <w:numId w:val="1037"/>
        </w:numPr>
        <w:pStyle w:val="Compact"/>
      </w:pPr>
      <w:r>
        <w:t xml:space="preserve">☐ Confirm</w:t>
      </w:r>
      <w:r>
        <w:t xml:space="preserve"> </w:t>
      </w:r>
      <w:r>
        <w:t xml:space="preserve">“</w:t>
      </w:r>
      <w:r>
        <w:t xml:space="preserve">every 10 years</w:t>
      </w:r>
      <w:r>
        <w:t xml:space="preserve">”</w:t>
      </w:r>
      <w:r>
        <w:t xml:space="preserve"> </w:t>
      </w:r>
      <w:r>
        <w:t xml:space="preserve">framing is retired and replaced with heightened-risk-window framing</w:t>
      </w:r>
    </w:p>
    <w:p>
      <w:pPr>
        <w:numPr>
          <w:ilvl w:val="0"/>
          <w:numId w:val="1037"/>
        </w:numPr>
        <w:pStyle w:val="Compact"/>
      </w:pPr>
      <w:r>
        <w:t xml:space="preserve">☐ Confirm equity injects (non-English speaking cluster + LTC complex transfer) are added</w:t>
      </w:r>
    </w:p>
    <w:p>
      <w:r>
        <w:pict>
          <v:rect style="width:0;height:1.5pt" o:hralign="center" o:hrstd="t" o:hr="t"/>
        </w:pict>
      </w:r>
    </w:p>
    <w:bookmarkEnd w:id="54"/>
    <w:bookmarkEnd w:id="55"/>
    <w:bookmarkStart w:id="56" w:name="version-history"/>
    <w:p>
      <w:pPr>
        <w:pStyle w:val="Heading2"/>
      </w:pPr>
      <w:r>
        <w:t xml:space="preserve">7. Version History</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Version</w:t>
            </w:r>
          </w:p>
        </w:tc>
        <w:tc>
          <w:tcPr/>
          <w:p>
            <w:pPr>
              <w:pStyle w:val="Compact"/>
              <w:jc w:val="left"/>
            </w:pPr>
            <w:r>
              <w:t xml:space="preserve">Date</w:t>
            </w:r>
          </w:p>
        </w:tc>
        <w:tc>
          <w:tcPr/>
          <w:p>
            <w:pPr>
              <w:pStyle w:val="Compact"/>
              <w:jc w:val="left"/>
            </w:pPr>
            <w:r>
              <w:t xml:space="preserve">Author</w:t>
            </w:r>
          </w:p>
        </w:tc>
        <w:tc>
          <w:tcPr/>
          <w:p>
            <w:pPr>
              <w:pStyle w:val="Compact"/>
              <w:jc w:val="left"/>
            </w:pPr>
            <w:r>
              <w:t xml:space="preserve">Changes</w:t>
            </w:r>
          </w:p>
        </w:tc>
      </w:tr>
      <w:tr>
        <w:tc>
          <w:tcPr/>
          <w:p>
            <w:pPr>
              <w:pStyle w:val="Compact"/>
              <w:jc w:val="left"/>
            </w:pPr>
            <w:r>
              <w:t xml:space="preserve">v1.0.0</w:t>
            </w:r>
          </w:p>
        </w:tc>
        <w:tc>
          <w:tcPr/>
          <w:p>
            <w:pPr>
              <w:pStyle w:val="Compact"/>
              <w:jc w:val="left"/>
            </w:pPr>
            <w:r>
              <w:t xml:space="preserve">April 11, 2026</w:t>
            </w:r>
          </w:p>
        </w:tc>
        <w:tc>
          <w:tcPr/>
          <w:p>
            <w:pPr>
              <w:pStyle w:val="Compact"/>
              <w:jc w:val="left"/>
            </w:pPr>
            <w:r>
              <w:t xml:space="preserve">Perplexity Computer</w:t>
            </w:r>
          </w:p>
        </w:tc>
        <w:tc>
          <w:tcPr/>
          <w:p>
            <w:pPr>
              <w:pStyle w:val="Compact"/>
              <w:jc w:val="left"/>
            </w:pPr>
            <w:r>
              <w:t xml:space="preserve">Initial comprehensive research and analysis document; all three projects covered; research integrated from academic, defense, public health, cybersecurity, and legal literature; pending author ONESTAMP</w:t>
            </w:r>
          </w:p>
        </w:tc>
      </w:tr>
    </w:tbl>
    <w:p>
      <w:r>
        <w:pict>
          <v:rect style="width:0;height:1.5pt" o:hralign="center" o:hrstd="t" o:hr="t"/>
        </w:pict>
      </w:r>
    </w:p>
    <w:p>
      <w:pPr>
        <w:pStyle w:val="FirstParagraph"/>
      </w:pPr>
      <w:r>
        <w:rPr>
          <w:iCs/>
          <w:i/>
        </w:rPr>
        <w:t xml:space="preserve">Document ends. Awaiting ONESTAMP from author before any element is treated as approved direction.</w:t>
      </w:r>
    </w:p>
    <w:p>
      <w:pPr>
        <w:pStyle w:val="BodyText"/>
      </w:pPr>
      <w:r>
        <w:rPr>
          <w:iCs/>
          <w:i/>
        </w:rPr>
        <w:t xml:space="preserve">Prepared by Perplexity Computer — April 11, 2026</w:t>
      </w:r>
      <w:r>
        <w:t xml:space="preserve"> </w:t>
      </w:r>
      <w:r>
        <w:rPr>
          <w:iCs/>
          <w:i/>
        </w:rPr>
        <w:t xml:space="preserve">Distribution: ChatGPT · Google Gemini · Claude AI · Microsoft Copilot · Grok AI</w:t>
      </w:r>
    </w:p>
    <w:bookmarkEnd w:id="56"/>
    <w:bookmarkEnd w:id="57"/>
    <w:sectPr>
      <w:footerReference r:id="rId9" w:type="default"/>
      <w:pgSz w:h="15840" w:w="12240"/>
      <w:pgMar w:bottom="1296" w:left="1440" w:right="1440" w:top="129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3A4A63"/>
        <w:sz w:val="18"/>
      </w:rP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60" w:line="276" w:lineRule="auto"/>
    </w:pPr>
    <w:rPr>
      <w:rFonts w:ascii="Calibri" w:eastAsia="Calibri" w:hAnsi="Calibri"/>
      <w:b w:val="0"/>
      <w:i w:val="0"/>
      <w:color w:val="222222"/>
      <w:sz w:val="22"/>
    </w:rPr>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80" w:before="480"/>
      <w:jc w:val="left"/>
    </w:pPr>
    <w:rPr>
      <w:rFonts w:ascii="Cambria" w:asciiTheme="majorHAnsi" w:cstheme="majorBidi" w:eastAsia="Cambria" w:eastAsiaTheme="majorEastAsia" w:hAnsi="Cambria" w:hAnsiTheme="majorHAnsi"/>
      <w:b/>
      <w:bCs/>
      <w:i w:val="0"/>
      <w:color w:val="1B2A4A"/>
      <w:sz w:val="52"/>
      <w:szCs w:val="36"/>
    </w:rPr>
  </w:style>
  <w:style w:styleId="Subtitle" w:type="paragraph">
    <w:name w:val="Subtitle"/>
    <w:basedOn w:val="Title"/>
    <w:next w:val="BodyText"/>
    <w:qFormat/>
    <w:pPr>
      <w:keepNext/>
      <w:keepLines/>
      <w:spacing w:after="360" w:before="240"/>
      <w:jc w:val="center"/>
    </w:pPr>
    <w:rPr>
      <w:rFonts w:ascii="Calibri" w:eastAsia="Calibri" w:hAnsi="Calibri"/>
      <w:b w:val="0"/>
      <w:i/>
      <w:color w:val="3A4A63"/>
      <w:sz w:val="28"/>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20" w:before="360"/>
      <w:outlineLvl w:val="0"/>
      <w:pBdr>
        <w:bottom w:color="1B2A4A" w:space="4" w:sz="8" w:val="single"/>
      </w:pBdr>
    </w:pPr>
    <w:rPr>
      <w:rFonts w:ascii="Cambria" w:asciiTheme="majorHAnsi" w:cstheme="majorBidi" w:eastAsia="Cambria" w:eastAsiaTheme="majorEastAsia" w:hAnsi="Cambria" w:hAnsiTheme="majorHAnsi"/>
      <w:b/>
      <w:bCs/>
      <w:i w:val="0"/>
      <w:color w:val="1B2A4A"/>
      <w:sz w:val="40"/>
      <w:szCs w:val="32"/>
    </w:rPr>
  </w:style>
  <w:style w:styleId="Heading2" w:type="paragraph">
    <w:name w:val="Heading 2"/>
    <w:basedOn w:val="Normal"/>
    <w:next w:val="BodyText"/>
    <w:uiPriority w:val="9"/>
    <w:unhideWhenUsed/>
    <w:qFormat/>
    <w:pPr>
      <w:keepNext/>
      <w:keepLines/>
      <w:spacing w:after="120" w:before="240"/>
      <w:outlineLvl w:val="1"/>
    </w:pPr>
    <w:rPr>
      <w:rFonts w:ascii="Cambria" w:asciiTheme="majorHAnsi" w:cstheme="majorBidi" w:eastAsia="Cambria" w:eastAsiaTheme="majorEastAsia" w:hAnsi="Cambria" w:hAnsiTheme="majorHAnsi"/>
      <w:b/>
      <w:bCs/>
      <w:i w:val="0"/>
      <w:color w:val="1B2A4A"/>
      <w:sz w:val="30"/>
      <w:szCs w:val="28"/>
    </w:rPr>
  </w:style>
  <w:style w:styleId="Heading3" w:type="paragraph">
    <w:name w:val="Heading 3"/>
    <w:basedOn w:val="Normal"/>
    <w:next w:val="BodyText"/>
    <w:uiPriority w:val="9"/>
    <w:unhideWhenUsed/>
    <w:qFormat/>
    <w:pPr>
      <w:keepNext/>
      <w:keepLines/>
      <w:spacing w:after="120" w:before="240"/>
      <w:outlineLvl w:val="2"/>
    </w:pPr>
    <w:rPr>
      <w:rFonts w:ascii="Cambria" w:asciiTheme="majorHAnsi" w:cstheme="majorBidi" w:eastAsia="Cambria" w:eastAsiaTheme="majorEastAsia" w:hAnsi="Cambria" w:hAnsiTheme="majorHAnsi"/>
      <w:b/>
      <w:bCs/>
      <w:i w:val="0"/>
      <w:color w:val="6B1F2A"/>
      <w:sz w:val="25"/>
      <w:szCs w:val="24"/>
    </w:rPr>
  </w:style>
  <w:style w:styleId="Heading4" w:type="paragraph">
    <w:name w:val="Heading 4"/>
    <w:basedOn w:val="Normal"/>
    <w:next w:val="BodyText"/>
    <w:uiPriority w:val="9"/>
    <w:unhideWhenUsed/>
    <w:qFormat/>
    <w:pPr>
      <w:keepNext/>
      <w:keepLines/>
      <w:spacing w:after="120" w:before="240"/>
      <w:outlineLvl w:val="3"/>
    </w:pPr>
    <w:rPr>
      <w:rFonts w:ascii="Calibri" w:asciiTheme="majorHAnsi" w:cstheme="majorBidi" w:eastAsia="Calibri" w:eastAsiaTheme="majorEastAsia" w:hAnsi="Calibri" w:hAnsiTheme="majorHAnsi"/>
      <w:i w:val="0"/>
      <w:b/>
      <w:bCs/>
      <w:color w:val="6B1F2A"/>
      <w:sz w:val="23"/>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eastAsia="Consolas" w:hAnsi="Consolas"/>
      <w:b w:val="0"/>
      <w:i w:val="0"/>
      <w:color w:val="333333"/>
      <w:sz w:val="19"/>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rFonts w:ascii="Calibri" w:eastAsia="Calibri" w:hAnsi="Calibri"/>
      <w:b w:val="0"/>
      <w:i w:val="0"/>
      <w:color w:val="1F4E9C"/>
      <w:sz w:val="22"/>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2026-08-25T15:40:43Z</dcterms:created>
  <dcterms:modified xsi:type="dcterms:W3CDTF">2026-08-25T15:40:43Z</dcterms:modified>
</cp:coreProperties>
</file>

<file path=docProps/custom.xml><?xml version="1.0" encoding="utf-8"?>
<Properties xmlns="http://schemas.openxmlformats.org/officeDocument/2006/custom-properties" xmlns:vt="http://schemas.openxmlformats.org/officeDocument/2006/docPropsVTypes"/>
</file>