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space="0" w:color="01696F"/>
          <w:left w:val="single" w:sz="4" w:space="0" w:color="01696F"/>
          <w:bottom w:val="single" w:sz="4" w:space="0" w:color="01696F"/>
          <w:right w:val="single" w:sz="4" w:space="0" w:color="01696F"/>
          <w:insideH w:val="single" w:sz="4" w:space="0" w:color="01696F"/>
          <w:insideV w:val="single" w:sz="4" w:space="0" w:color="01696F"/>
        </w:tblBorders>
      </w:tblPr>
      <w:tblGrid>
        <w:gridCol w:w="9072"/>
      </w:tblGrid>
      <w:tr>
        <w:tc>
          <w:tcPr>
            <w:tcW w:type="dxa" w:w="9072"/>
            <w:shd w:val="clear" w:color="auto" w:fill="171614"/>
            <w:tcMar>
              <w:top w:w="280" w:type="dxa"/>
              <w:bottom w:w="280" w:type="dxa"/>
              <w:left w:w="200" w:type="dxa"/>
              <w:right w:w="200" w:type="dxa"/>
            </w:tcMar>
          </w:tcPr>
          <w:p/>
          <w:p>
            <w:pPr>
              <w:spacing w:after="160" w:before="0"/>
              <w:jc w:val="center"/>
            </w:pPr>
            <w:r>
              <w:rPr>
                <w:rFonts w:ascii="Calibri" w:hAnsi="Calibri"/>
                <w:b/>
                <w:color w:val="D4D1CA"/>
                <w:sz w:val="22"/>
              </w:rPr>
              <w:t>PREPAREDNESS PLANNING DOCUMENT</w:t>
            </w:r>
          </w:p>
          <w:p>
            <w:pPr>
              <w:spacing w:after="80" w:before="0"/>
              <w:jc w:val="center"/>
            </w:pPr>
            <w:r>
              <w:rPr>
                <w:rFonts w:ascii="Calibri" w:hAnsi="Calibri"/>
                <w:b/>
                <w:color w:val="FFFFFF"/>
                <w:sz w:val="44"/>
              </w:rPr>
              <w:t>Pathogen Outbreak Tabletop Exercise</w:t>
            </w:r>
          </w:p>
          <w:p>
            <w:pPr>
              <w:spacing w:after="320" w:before="0"/>
              <w:jc w:val="center"/>
            </w:pPr>
            <w:r>
              <w:rPr>
                <w:rFonts w:ascii="Calibri" w:hAnsi="Calibri"/>
                <w:b/>
                <w:color w:val="FFFFFF"/>
                <w:sz w:val="32"/>
              </w:rPr>
              <w:t>Unified Executive Summary Dossier</w:t>
            </w:r>
          </w:p>
          <w:p>
            <w:pPr>
              <w:spacing w:after="400" w:before="0"/>
              <w:jc w:val="center"/>
            </w:pPr>
            <w:r>
              <w:rPr>
                <w:rFonts w:ascii="Calibri" w:hAnsi="Calibri"/>
                <w:b w:val="0"/>
                <w:color w:val="D4D1CA"/>
                <w:sz w:val="20"/>
              </w:rPr>
              <w:t>Multi-AI Synthesis Report</w:t>
            </w:r>
          </w:p>
          <w:p>
            <w:pPr>
              <w:spacing w:after="60" w:before="0"/>
              <w:jc w:val="center"/>
            </w:pPr>
            <w:r>
              <w:rPr>
                <w:rFonts w:ascii="Calibri" w:hAnsi="Calibri"/>
                <w:b w:val="0"/>
                <w:color w:val="BAB9B4"/>
                <w:sz w:val="18"/>
              </w:rPr>
              <w:t>Document ID: OAL-DOSSIER-TTX-001</w:t>
            </w:r>
          </w:p>
          <w:p>
            <w:pPr>
              <w:spacing w:after="60" w:before="0"/>
              <w:jc w:val="center"/>
            </w:pPr>
            <w:r>
              <w:rPr>
                <w:rFonts w:ascii="Calibri" w:hAnsi="Calibri"/>
                <w:b w:val="0"/>
                <w:color w:val="BAB9B4"/>
                <w:sz w:val="18"/>
              </w:rPr>
              <w:t>Version: v1.0.0  |  April 11, 2026</w:t>
            </w:r>
          </w:p>
          <w:p>
            <w:pPr>
              <w:spacing w:after="120" w:before="0"/>
              <w:jc w:val="center"/>
            </w:pPr>
            <w:r>
              <w:rPr>
                <w:rFonts w:ascii="Calibri" w:hAnsi="Calibri"/>
                <w:b w:val="0"/>
                <w:color w:val="BAB9B4"/>
                <w:sz w:val="18"/>
              </w:rPr>
              <w:t>Prepared by: Perplexity Computer</w:t>
            </w:r>
          </w:p>
          <w:p>
            <w:pPr>
              <w:spacing w:after="60" w:before="0"/>
              <w:jc w:val="center"/>
            </w:pPr>
            <w:r>
              <w:rPr>
                <w:rFonts w:ascii="Calibri" w:hAnsi="Calibri"/>
                <w:b w:val="0"/>
                <w:color w:val="BAB9B4"/>
                <w:sz w:val="18"/>
              </w:rPr>
              <w:t>Contributing AIs: ChatGPT · Google Gemini · Microsoft Copilot · Grok AI · Claude AI</w:t>
            </w:r>
          </w:p>
          <w:p>
            <w:pPr>
              <w:spacing w:after="400" w:before="0"/>
              <w:jc w:val="center"/>
            </w:pPr>
            <w:r>
              <w:rPr>
                <w:rFonts w:ascii="Calibri" w:hAnsi="Calibri"/>
                <w:b w:val="0"/>
                <w:color w:val="BAB9B4"/>
                <w:sz w:val="18"/>
              </w:rPr>
              <w:t>Distribution: ChatGPT · Google Gemini · Claude AI · Microsoft Copilot · Grok AI</w:t>
            </w:r>
          </w:p>
          <w:p>
            <w:pPr>
              <w:spacing w:after="0" w:before="0"/>
              <w:jc w:val="center"/>
            </w:pPr>
            <w:r>
              <w:rPr>
                <w:rFonts w:ascii="Calibri" w:hAnsi="Calibri"/>
                <w:b/>
                <w:color w:val="FFC553"/>
                <w:sz w:val="22"/>
              </w:rPr>
              <w:t>PENDING ELECTRONIC APPROVAL — ONESTAMP REQUIRED</w:t>
            </w:r>
          </w:p>
        </w:tc>
      </w:tr>
    </w:tbl>
    <w:p>
      <w:r>
        <w:br w:type="page"/>
      </w:r>
    </w:p>
    <w:tbl>
      <w:tblPr>
        <w:tblW w:type="auto" w:w="0"/>
        <w:jc w:val="center"/>
        <w:tblLook w:firstColumn="1" w:firstRow="1" w:lastColumn="0" w:lastRow="0" w:noHBand="0" w:noVBand="1" w:val="04A0"/>
        <w:tblBorders>
          <w:top w:val="single" w:sz="4" w:space="0" w:color="964219"/>
          <w:left w:val="single" w:sz="4" w:space="0" w:color="964219"/>
          <w:bottom w:val="single" w:sz="4" w:space="0" w:color="964219"/>
          <w:right w:val="single" w:sz="4" w:space="0" w:color="964219"/>
          <w:insideH w:val="single" w:sz="4" w:space="0" w:color="964219"/>
          <w:insideV w:val="single" w:sz="4" w:space="0" w:color="964219"/>
        </w:tblBorders>
      </w:tblPr>
      <w:tblGrid>
        <w:gridCol w:w="9072"/>
      </w:tblGrid>
      <w:tr>
        <w:tc>
          <w:tcPr>
            <w:tcW w:type="dxa" w:w="9072"/>
            <w:shd w:val="clear" w:color="auto" w:fill="FFF8EE"/>
            <w:tcMar>
              <w:top w:w="80" w:type="dxa"/>
              <w:bottom w:w="80" w:type="dxa"/>
              <w:left w:w="100" w:type="dxa"/>
              <w:right w:w="100" w:type="dxa"/>
            </w:tcMar>
          </w:tcPr>
          <w:p>
            <w:pPr>
              <w:jc w:val="center"/>
            </w:pPr>
            <w:r>
              <w:rPr>
                <w:rFonts w:ascii="Calibri" w:hAnsi="Calibri"/>
                <w:b/>
                <w:i w:val="0"/>
                <w:color w:val="964219"/>
                <w:sz w:val="19"/>
              </w:rPr>
              <w:t>APPROVAL NOTICE: This document is pending electronic approval and ONESTAMP from the author. No elements herein should be treated as final, approved exercise design until ONESTAMP is applied. All recommendations, frameworks, open questions, and action items are advisory until that approval is granted.</w:t>
            </w:r>
          </w:p>
        </w:tc>
      </w:tr>
    </w:tbl>
    <w:p/>
    <w:p>
      <w:pPr>
        <w:spacing w:after="200" w:before="0"/>
      </w:pPr>
    </w:p>
    <w:p>
      <w:pPr>
        <w:spacing w:before="280" w:after="80"/>
        <w:jc w:val="left"/>
        <w:pBdr>
          <w:bottom w:val="single" w:sz="8" w:space="1" w:color="01696F"/>
        </w:pBdr>
      </w:pPr>
      <w:r>
        <w:rPr>
          <w:rFonts w:ascii="Calibri" w:hAnsi="Calibri"/>
          <w:b/>
          <w:i w:val="0"/>
          <w:color w:val="01696F"/>
          <w:sz w:val="32"/>
        </w:rPr>
        <w:t>1. Why This Exercise Matters</w:t>
      </w:r>
    </w:p>
    <w:p>
      <w:pPr>
        <w:spacing w:before="0" w:after="100"/>
        <w:jc w:val="left"/>
      </w:pPr>
      <w:r>
        <w:rPr>
          <w:rFonts w:ascii="Calibri" w:hAnsi="Calibri"/>
          <w:b w:val="0"/>
          <w:i w:val="0"/>
          <w:color w:val="28251D"/>
          <w:sz w:val="20"/>
        </w:rPr>
        <w:t>Tabletop exercises exist because the worst time to discover a gap in your response system is during an actual emergency. For pathogen outbreaks specifically, the critical failure window is not the declared pandemic phase — it is the pre-recognition window: the hours and days before anyone knows what they are dealing with, before protocols exist, before supply chains have been activated, and before guidance has arrived from any authority.</w:t>
      </w:r>
    </w:p>
    <w:p>
      <w:pPr>
        <w:spacing w:after="80" w:before="0"/>
      </w:pPr>
    </w:p>
    <w:p>
      <w:pPr>
        <w:spacing w:before="240" w:after="60"/>
        <w:jc w:val="left"/>
      </w:pPr>
      <w:r>
        <w:rPr>
          <w:rFonts w:ascii="Calibri" w:hAnsi="Calibri"/>
          <w:b/>
          <w:i w:val="0"/>
          <w:color w:val="0C4E54"/>
          <w:sz w:val="26"/>
        </w:rPr>
        <w:t>Historical Precedent</w:t>
      </w:r>
    </w:p>
    <w:p>
      <w:pPr>
        <w:spacing w:before="0" w:after="60"/>
        <w:ind w:left="360" w:hanging="288"/>
      </w:pPr>
      <w:r>
        <w:rPr>
          <w:rFonts w:ascii="Calibri" w:hAnsi="Calibri"/>
          <w:b w:val="0"/>
          <w:i w:val="0"/>
          <w:color w:val="28251D"/>
          <w:sz w:val="20"/>
        </w:rPr>
        <w:t>•  SARS (2003): Healthcare workers in Hong Kong and Toronto were infected and dying before the pathogen was identified or transmission routes were understood. The failure point was the gap between first presentation and recognition.</w:t>
      </w:r>
    </w:p>
    <w:p>
      <w:pPr>
        <w:spacing w:before="0" w:after="60"/>
        <w:ind w:left="360" w:hanging="288"/>
      </w:pPr>
      <w:r>
        <w:rPr>
          <w:rFonts w:ascii="Calibri" w:hAnsi="Calibri"/>
          <w:b w:val="0"/>
          <w:i w:val="0"/>
          <w:color w:val="28251D"/>
          <w:sz w:val="20"/>
        </w:rPr>
        <w:t>•  H1N1 (2009): Initial cases were misidentified and mishandled. The first critical days involved decisions made without diagnostic certainty.</w:t>
      </w:r>
    </w:p>
    <w:p>
      <w:pPr>
        <w:spacing w:before="0" w:after="60"/>
        <w:ind w:left="360" w:hanging="288"/>
      </w:pPr>
      <w:r>
        <w:rPr>
          <w:rFonts w:ascii="Calibri" w:hAnsi="Calibri"/>
          <w:b w:val="0"/>
          <w:i w:val="0"/>
          <w:color w:val="28251D"/>
          <w:sz w:val="20"/>
        </w:rPr>
        <w:t>•  COVID-19 (2019-2020): Emergency departments across the United States saw patients with an unknown respiratory illness for weeks before any protocol, PPE guidance, or diagnostic tool existed.</w:t>
      </w:r>
    </w:p>
    <w:p>
      <w:pPr>
        <w:spacing w:before="0" w:after="60"/>
        <w:ind w:left="360" w:hanging="288"/>
      </w:pPr>
      <w:r>
        <w:rPr>
          <w:rFonts w:ascii="Calibri" w:hAnsi="Calibri"/>
          <w:b w:val="0"/>
          <w:i w:val="0"/>
          <w:color w:val="28251D"/>
          <w:sz w:val="20"/>
        </w:rPr>
        <w:t>•  Ebola (2014-2016): A single unrecognized case arriving in a U.S. hospital revealed critical gaps in isolation protocol, staff communication, and PPE training that the system believed it had covered.</w:t>
      </w:r>
    </w:p>
    <w:p>
      <w:pPr>
        <w:spacing w:after="120" w:before="0"/>
      </w:pPr>
    </w:p>
    <w:p>
      <w:pPr>
        <w:spacing w:before="240" w:after="60"/>
        <w:jc w:val="left"/>
      </w:pPr>
      <w:r>
        <w:rPr>
          <w:rFonts w:ascii="Calibri" w:hAnsi="Calibri"/>
          <w:b/>
          <w:i w:val="0"/>
          <w:color w:val="0C4E54"/>
          <w:sz w:val="26"/>
        </w:rPr>
        <w:t>Why Now</w:t>
      </w:r>
    </w:p>
    <w:p>
      <w:pPr>
        <w:spacing w:before="0" w:after="100"/>
        <w:jc w:val="left"/>
      </w:pPr>
      <w:r>
        <w:rPr>
          <w:rFonts w:ascii="Calibri" w:hAnsi="Calibri"/>
          <w:b w:val="0"/>
          <w:i w:val="0"/>
          <w:color w:val="28251D"/>
          <w:sz w:val="20"/>
        </w:rPr>
        <w:t>Several converging risk factors make the present a heightened-risk window. Post-COVID global travel density has returned to pre-pandemic levels while surveillance infrastructure remains degraded. Zoonotic spillover pressure is increasing. Antimicrobial resistance is eroding the safety net. Institutional memory from COVID-19 is fading — personnel have turned over, protocols have been archived, and supply chain lessons have not been systematically embedded.</w:t>
      </w:r>
    </w:p>
    <w:p>
      <w:pPr>
        <w:spacing w:before="0" w:after="100"/>
        <w:jc w:val="left"/>
      </w:pPr>
      <w:r>
        <w:rPr>
          <w:rFonts w:ascii="Calibri" w:hAnsi="Calibri"/>
          <w:b w:val="0"/>
          <w:i w:val="0"/>
          <w:color w:val="28251D"/>
          <w:sz w:val="20"/>
        </w:rPr>
        <w:t>The question is not whether another major outbreak will occur. The question is whether the people and systems responsible for response will have rehearsed what to do when they do not know what to do. This exercise is designed to answer that question before it becomes urgent.</w:t>
      </w:r>
    </w:p>
    <w:p>
      <w:r>
        <w:br w:type="page"/>
      </w:r>
    </w:p>
    <w:p>
      <w:pPr>
        <w:spacing w:before="280" w:after="80"/>
        <w:jc w:val="left"/>
        <w:pBdr>
          <w:bottom w:val="single" w:sz="8" w:space="1" w:color="01696F"/>
        </w:pBdr>
      </w:pPr>
      <w:r>
        <w:rPr>
          <w:rFonts w:ascii="Calibri" w:hAnsi="Calibri"/>
          <w:b/>
          <w:i w:val="0"/>
          <w:color w:val="01696F"/>
          <w:sz w:val="32"/>
        </w:rPr>
        <w:t>2. Executive Summary</w:t>
      </w:r>
    </w:p>
    <w:p>
      <w:pPr>
        <w:spacing w:before="0" w:after="100"/>
        <w:jc w:val="left"/>
      </w:pPr>
      <w:r>
        <w:rPr>
          <w:rFonts w:ascii="Calibri" w:hAnsi="Calibri"/>
          <w:b w:val="0"/>
          <w:i w:val="0"/>
          <w:color w:val="28251D"/>
          <w:sz w:val="20"/>
        </w:rPr>
        <w:t>The Pathogen Outbreak Tabletop Exercise (TTX) is a preparedness planning initiative designed to stress-test the earliest, most ambiguous phase of a novel pathogen outbreak — the pre-recognition window where no protocol exists, no supplies are staged, and clinical decision-making operates entirely on provider judgment under uncertainty.</w:t>
      </w:r>
    </w:p>
    <w:p>
      <w:pPr>
        <w:spacing w:after="80" w:before="0"/>
      </w:pPr>
    </w:p>
    <w:p>
      <w:pPr>
        <w:spacing w:before="0" w:after="100"/>
        <w:jc w:val="left"/>
      </w:pPr>
      <w:r>
        <w:rPr>
          <w:rFonts w:ascii="Calibri" w:hAnsi="Calibri"/>
          <w:b w:val="0"/>
          <w:i w:val="0"/>
          <w:color w:val="28251D"/>
          <w:sz w:val="20"/>
        </w:rPr>
        <w:t>The concept was submitted to five AI systems for independent analysis and design contributions. This dossier synthesizes all five responses into a unified, actionable reference. Perplexity Computer serves as the compiling and contributing sixth intelligence.</w:t>
      </w:r>
    </w:p>
    <w:p>
      <w:pPr>
        <w:spacing w:after="120" w:before="0"/>
      </w:pPr>
    </w:p>
    <w:p>
      <w:pPr>
        <w:spacing w:before="240" w:after="60"/>
        <w:jc w:val="left"/>
      </w:pPr>
      <w:r>
        <w:rPr>
          <w:rFonts w:ascii="Calibri" w:hAnsi="Calibri"/>
          <w:b/>
          <w:i w:val="0"/>
          <w:color w:val="0C4E54"/>
          <w:sz w:val="26"/>
        </w:rPr>
        <w:t>Five-AI Consensus Summary</w:t>
      </w: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536"/>
        <w:gridCol w:w="4536"/>
      </w:tblGrid>
      <w:tr>
        <w:tc>
          <w:tcPr>
            <w:tcW w:type="dxa" w:w="2880"/>
            <w:shd w:val="clear" w:color="auto" w:fill="01696F"/>
            <w:tcMar>
              <w:top w:w="60" w:type="dxa"/>
              <w:bottom w:w="60" w:type="dxa"/>
              <w:left w:w="80" w:type="dxa"/>
              <w:right w:w="80" w:type="dxa"/>
            </w:tcMar>
          </w:tcPr>
          <w:p>
            <w:pPr>
              <w:jc w:val="center"/>
            </w:pPr>
            <w:r>
              <w:rPr>
                <w:rFonts w:ascii="Calibri" w:hAnsi="Calibri"/>
                <w:b/>
                <w:i w:val="0"/>
                <w:color w:val="FFFFFF"/>
                <w:sz w:val="18"/>
              </w:rPr>
              <w:t>Topic</w:t>
            </w:r>
          </w:p>
        </w:tc>
        <w:tc>
          <w:tcPr>
            <w:tcW w:type="dxa" w:w="6480"/>
            <w:shd w:val="clear" w:color="auto" w:fill="01696F"/>
            <w:tcMar>
              <w:top w:w="60" w:type="dxa"/>
              <w:bottom w:w="60" w:type="dxa"/>
              <w:left w:w="80" w:type="dxa"/>
              <w:right w:w="80" w:type="dxa"/>
            </w:tcMar>
          </w:tcPr>
          <w:p>
            <w:pPr>
              <w:jc w:val="center"/>
            </w:pPr>
            <w:r>
              <w:rPr>
                <w:rFonts w:ascii="Calibri" w:hAnsi="Calibri"/>
                <w:b/>
                <w:i w:val="0"/>
                <w:color w:val="FFFFFF"/>
                <w:sz w:val="18"/>
              </w:rPr>
              <w:t>Cross-AI Consensus</w:t>
            </w:r>
          </w:p>
        </w:tc>
      </w:tr>
      <w:tr>
        <w:tc>
          <w:tcPr>
            <w:tcW w:type="dxa" w:w="2880"/>
            <w:shd w:val="clear" w:color="auto" w:fill="FFFFFF"/>
            <w:tcMar>
              <w:top w:w="60" w:type="dxa"/>
              <w:bottom w:w="60" w:type="dxa"/>
              <w:left w:w="80" w:type="dxa"/>
              <w:right w:w="80" w:type="dxa"/>
            </w:tcMar>
            <w:vAlign w:val="top"/>
          </w:tcPr>
          <w:p>
            <w:r>
              <w:rPr>
                <w:rFonts w:ascii="Calibri" w:hAnsi="Calibri"/>
                <w:b w:val="0"/>
                <w:i w:val="0"/>
                <w:color w:val="28251D"/>
                <w:sz w:val="18"/>
              </w:rPr>
              <w:t>Concept strength</w:t>
            </w:r>
          </w:p>
        </w:tc>
        <w:tc>
          <w:tcPr>
            <w:tcW w:type="dxa" w:w="6480"/>
            <w:shd w:val="clear" w:color="auto" w:fill="FFFFFF"/>
            <w:tcMar>
              <w:top w:w="60" w:type="dxa"/>
              <w:bottom w:w="60" w:type="dxa"/>
              <w:left w:w="80" w:type="dxa"/>
              <w:right w:w="80" w:type="dxa"/>
            </w:tcMar>
            <w:vAlign w:val="top"/>
          </w:tcPr>
          <w:p>
            <w:r>
              <w:rPr>
                <w:rFonts w:ascii="Calibri" w:hAnsi="Calibri"/>
                <w:b w:val="0"/>
                <w:i w:val="0"/>
                <w:color w:val="28251D"/>
                <w:sz w:val="18"/>
              </w:rPr>
              <w:t>All 5 AIs rate the concept as strong and professionally grounded — comparable to FEMA, CDC, and WHO TTX frameworks</w:t>
            </w:r>
          </w:p>
        </w:tc>
      </w:tr>
      <w:tr>
        <w:tc>
          <w:tcPr>
            <w:tcW w:type="dxa" w:w="2880"/>
            <w:shd w:val="clear" w:color="auto" w:fill="F2F6F6"/>
            <w:tcMar>
              <w:top w:w="60" w:type="dxa"/>
              <w:bottom w:w="60" w:type="dxa"/>
              <w:left w:w="80" w:type="dxa"/>
              <w:right w:w="80" w:type="dxa"/>
            </w:tcMar>
            <w:vAlign w:val="top"/>
          </w:tcPr>
          <w:p>
            <w:r>
              <w:rPr>
                <w:rFonts w:ascii="Calibri" w:hAnsi="Calibri"/>
                <w:b w:val="0"/>
                <w:i w:val="0"/>
                <w:color w:val="28251D"/>
                <w:sz w:val="18"/>
              </w:rPr>
              <w:t>Defining innovation</w:t>
            </w:r>
          </w:p>
        </w:tc>
        <w:tc>
          <w:tcPr>
            <w:tcW w:type="dxa" w:w="6480"/>
            <w:shd w:val="clear" w:color="auto" w:fill="F2F6F6"/>
            <w:tcMar>
              <w:top w:w="60" w:type="dxa"/>
              <w:bottom w:w="60" w:type="dxa"/>
              <w:left w:w="80" w:type="dxa"/>
              <w:right w:w="80" w:type="dxa"/>
            </w:tcMar>
            <w:vAlign w:val="top"/>
          </w:tcPr>
          <w:p>
            <w:r>
              <w:rPr>
                <w:rFonts w:ascii="Calibri" w:hAnsi="Calibri"/>
                <w:b w:val="0"/>
                <w:i w:val="0"/>
                <w:color w:val="28251D"/>
                <w:sz w:val="18"/>
              </w:rPr>
              <w:t>All 5 AIs identify the "residency hook" as the single most powerful and differentiating design element</w:t>
            </w:r>
          </w:p>
        </w:tc>
      </w:tr>
      <w:tr>
        <w:tc>
          <w:tcPr>
            <w:tcW w:type="dxa" w:w="2880"/>
            <w:shd w:val="clear" w:color="auto" w:fill="FFFFFF"/>
            <w:tcMar>
              <w:top w:w="60" w:type="dxa"/>
              <w:bottom w:w="60" w:type="dxa"/>
              <w:left w:w="80" w:type="dxa"/>
              <w:right w:w="80" w:type="dxa"/>
            </w:tcMar>
            <w:vAlign w:val="top"/>
          </w:tcPr>
          <w:p>
            <w:r>
              <w:rPr>
                <w:rFonts w:ascii="Calibri" w:hAnsi="Calibri"/>
                <w:b w:val="0"/>
                <w:i w:val="0"/>
                <w:color w:val="28251D"/>
                <w:sz w:val="18"/>
              </w:rPr>
              <w:t>Most critical gap</w:t>
            </w:r>
          </w:p>
        </w:tc>
        <w:tc>
          <w:tcPr>
            <w:tcW w:type="dxa" w:w="6480"/>
            <w:shd w:val="clear" w:color="auto" w:fill="FFFFFF"/>
            <w:tcMar>
              <w:top w:w="60" w:type="dxa"/>
              <w:bottom w:w="60" w:type="dxa"/>
              <w:left w:w="80" w:type="dxa"/>
              <w:right w:w="80" w:type="dxa"/>
            </w:tcMar>
            <w:vAlign w:val="top"/>
          </w:tcPr>
          <w:p>
            <w:r>
              <w:rPr>
                <w:rFonts w:ascii="Calibri" w:hAnsi="Calibri"/>
                <w:b w:val="0"/>
                <w:i w:val="0"/>
                <w:color w:val="28251D"/>
                <w:sz w:val="18"/>
              </w:rPr>
              <w:t>All 5 AIs agree: no pathogen archetype defined — everything downstream is blocked until this decision is made</w:t>
            </w:r>
          </w:p>
        </w:tc>
      </w:tr>
      <w:tr>
        <w:tc>
          <w:tcPr>
            <w:tcW w:type="dxa" w:w="2880"/>
            <w:shd w:val="clear" w:color="auto" w:fill="F2F6F6"/>
            <w:tcMar>
              <w:top w:w="60" w:type="dxa"/>
              <w:bottom w:w="60" w:type="dxa"/>
              <w:left w:w="80" w:type="dxa"/>
              <w:right w:w="80" w:type="dxa"/>
            </w:tcMar>
            <w:vAlign w:val="top"/>
          </w:tcPr>
          <w:p>
            <w:r>
              <w:rPr>
                <w:rFonts w:ascii="Calibri" w:hAnsi="Calibri"/>
                <w:b w:val="0"/>
                <w:i w:val="0"/>
                <w:color w:val="28251D"/>
                <w:sz w:val="18"/>
              </w:rPr>
              <w:t>Second most critical gap</w:t>
            </w:r>
          </w:p>
        </w:tc>
        <w:tc>
          <w:tcPr>
            <w:tcW w:type="dxa" w:w="6480"/>
            <w:shd w:val="clear" w:color="auto" w:fill="F2F6F6"/>
            <w:tcMar>
              <w:top w:w="60" w:type="dxa"/>
              <w:bottom w:w="60" w:type="dxa"/>
              <w:left w:w="80" w:type="dxa"/>
              <w:right w:w="80" w:type="dxa"/>
            </w:tcMar>
            <w:vAlign w:val="top"/>
          </w:tcPr>
          <w:p>
            <w:r>
              <w:rPr>
                <w:rFonts w:ascii="Calibri" w:hAnsi="Calibri"/>
                <w:b w:val="0"/>
                <w:i w:val="0"/>
                <w:color w:val="28251D"/>
                <w:sz w:val="18"/>
              </w:rPr>
              <w:t>All 5 AIs agree: no primary objective locked — exercise will produce unfocused findings without one</w:t>
            </w:r>
          </w:p>
        </w:tc>
      </w:tr>
      <w:tr>
        <w:tc>
          <w:tcPr>
            <w:tcW w:type="dxa" w:w="2880"/>
            <w:shd w:val="clear" w:color="auto" w:fill="FFFFFF"/>
            <w:tcMar>
              <w:top w:w="60" w:type="dxa"/>
              <w:bottom w:w="60" w:type="dxa"/>
              <w:left w:w="80" w:type="dxa"/>
              <w:right w:w="80" w:type="dxa"/>
            </w:tcMar>
            <w:vAlign w:val="top"/>
          </w:tcPr>
          <w:p>
            <w:r>
              <w:rPr>
                <w:rFonts w:ascii="Calibri" w:hAnsi="Calibri"/>
                <w:b w:val="0"/>
                <w:i w:val="0"/>
                <w:color w:val="28251D"/>
                <w:sz w:val="18"/>
              </w:rPr>
              <w:t>"Every 10 years" framing</w:t>
            </w:r>
          </w:p>
        </w:tc>
        <w:tc>
          <w:tcPr>
            <w:tcW w:type="dxa" w:w="6480"/>
            <w:shd w:val="clear" w:color="auto" w:fill="FFFFFF"/>
            <w:tcMar>
              <w:top w:w="60" w:type="dxa"/>
              <w:bottom w:w="60" w:type="dxa"/>
              <w:left w:w="80" w:type="dxa"/>
              <w:right w:w="80" w:type="dxa"/>
            </w:tcMar>
            <w:vAlign w:val="top"/>
          </w:tcPr>
          <w:p>
            <w:r>
              <w:rPr>
                <w:rFonts w:ascii="Calibri" w:hAnsi="Calibri"/>
                <w:b w:val="0"/>
                <w:i w:val="0"/>
                <w:color w:val="28251D"/>
                <w:sz w:val="18"/>
              </w:rPr>
              <w:t>All 5 AIs flag this as a credibility risk; recommend reframing as a probability statement, not a schedule</w:t>
            </w:r>
          </w:p>
        </w:tc>
      </w:tr>
      <w:tr>
        <w:tc>
          <w:tcPr>
            <w:tcW w:type="dxa" w:w="2880"/>
            <w:shd w:val="clear" w:color="auto" w:fill="F2F6F6"/>
            <w:tcMar>
              <w:top w:w="60" w:type="dxa"/>
              <w:bottom w:w="60" w:type="dxa"/>
              <w:left w:w="80" w:type="dxa"/>
              <w:right w:w="80" w:type="dxa"/>
            </w:tcMar>
            <w:vAlign w:val="top"/>
          </w:tcPr>
          <w:p>
            <w:r>
              <w:rPr>
                <w:rFonts w:ascii="Calibri" w:hAnsi="Calibri"/>
                <w:b w:val="0"/>
                <w:i w:val="0"/>
                <w:color w:val="28251D"/>
                <w:sz w:val="18"/>
              </w:rPr>
              <w:t>Equity layer</w:t>
            </w:r>
          </w:p>
        </w:tc>
        <w:tc>
          <w:tcPr>
            <w:tcW w:type="dxa" w:w="6480"/>
            <w:shd w:val="clear" w:color="auto" w:fill="F2F6F6"/>
            <w:tcMar>
              <w:top w:w="60" w:type="dxa"/>
              <w:bottom w:w="60" w:type="dxa"/>
              <w:left w:w="80" w:type="dxa"/>
              <w:right w:w="80" w:type="dxa"/>
            </w:tcMar>
            <w:vAlign w:val="top"/>
          </w:tcPr>
          <w:p>
            <w:r>
              <w:rPr>
                <w:rFonts w:ascii="Calibri" w:hAnsi="Calibri"/>
                <w:b w:val="0"/>
                <w:i w:val="0"/>
                <w:color w:val="28251D"/>
                <w:sz w:val="18"/>
              </w:rPr>
              <w:t>All 5 AIs identify missing equity/differential impact analysis as a significant blind spot</w:t>
            </w:r>
          </w:p>
        </w:tc>
      </w:tr>
      <w:tr>
        <w:tc>
          <w:tcPr>
            <w:tcW w:type="dxa" w:w="2880"/>
            <w:shd w:val="clear" w:color="auto" w:fill="FFFFFF"/>
            <w:tcMar>
              <w:top w:w="60" w:type="dxa"/>
              <w:bottom w:w="60" w:type="dxa"/>
              <w:left w:w="80" w:type="dxa"/>
              <w:right w:w="80" w:type="dxa"/>
            </w:tcMar>
            <w:vAlign w:val="top"/>
          </w:tcPr>
          <w:p>
            <w:r>
              <w:rPr>
                <w:rFonts w:ascii="Calibri" w:hAnsi="Calibri"/>
                <w:b w:val="0"/>
                <w:i w:val="0"/>
                <w:color w:val="28251D"/>
                <w:sz w:val="18"/>
              </w:rPr>
              <w:t>Highest design risk</w:t>
            </w:r>
          </w:p>
        </w:tc>
        <w:tc>
          <w:tcPr>
            <w:tcW w:type="dxa" w:w="6480"/>
            <w:shd w:val="clear" w:color="auto" w:fill="FFFFFF"/>
            <w:tcMar>
              <w:top w:w="60" w:type="dxa"/>
              <w:bottom w:w="60" w:type="dxa"/>
              <w:left w:w="80" w:type="dxa"/>
              <w:right w:w="80" w:type="dxa"/>
            </w:tcMar>
            <w:vAlign w:val="top"/>
          </w:tcPr>
          <w:p>
            <w:r>
              <w:rPr>
                <w:rFonts w:ascii="Calibri" w:hAnsi="Calibri"/>
                <w:b w:val="0"/>
                <w:i w:val="0"/>
                <w:color w:val="28251D"/>
                <w:sz w:val="18"/>
              </w:rPr>
              <w:t>All 5 AIs flag facilitator bias risk — the exercise must be designed to reveal failure, not confirm competence</w:t>
            </w:r>
          </w:p>
        </w:tc>
      </w:tr>
      <w:tr>
        <w:tc>
          <w:tcPr>
            <w:tcW w:type="dxa" w:w="2880"/>
            <w:shd w:val="clear" w:color="auto" w:fill="F2F6F6"/>
            <w:tcMar>
              <w:top w:w="60" w:type="dxa"/>
              <w:bottom w:w="60" w:type="dxa"/>
              <w:left w:w="80" w:type="dxa"/>
              <w:right w:w="80" w:type="dxa"/>
            </w:tcMar>
            <w:vAlign w:val="top"/>
          </w:tcPr>
          <w:p>
            <w:r>
              <w:rPr>
                <w:rFonts w:ascii="Calibri" w:hAnsi="Calibri"/>
                <w:b w:val="0"/>
                <w:i w:val="0"/>
                <w:color w:val="28251D"/>
                <w:sz w:val="18"/>
              </w:rPr>
              <w:t>Recommended scale</w:t>
            </w:r>
          </w:p>
        </w:tc>
        <w:tc>
          <w:tcPr>
            <w:tcW w:type="dxa" w:w="6480"/>
            <w:shd w:val="clear" w:color="auto" w:fill="F2F6F6"/>
            <w:tcMar>
              <w:top w:w="60" w:type="dxa"/>
              <w:bottom w:w="60" w:type="dxa"/>
              <w:left w:w="80" w:type="dxa"/>
              <w:right w:w="80" w:type="dxa"/>
            </w:tcMar>
            <w:vAlign w:val="top"/>
          </w:tcPr>
          <w:p>
            <w:r>
              <w:rPr>
                <w:rFonts w:ascii="Calibri" w:hAnsi="Calibri"/>
                <w:b w:val="0"/>
                <w:i w:val="0"/>
                <w:color w:val="28251D"/>
                <w:sz w:val="18"/>
              </w:rPr>
              <w:t>Majority (4 of 5) recommend starting at single or dual hospital + county public health — deep over broad</w:t>
            </w:r>
          </w:p>
        </w:tc>
      </w:tr>
    </w:tbl>
    <w:p/>
    <w:p>
      <w:r>
        <w:br w:type="page"/>
      </w:r>
    </w:p>
    <w:p>
      <w:pPr>
        <w:spacing w:before="280" w:after="80"/>
        <w:jc w:val="left"/>
        <w:pBdr>
          <w:bottom w:val="single" w:sz="8" w:space="1" w:color="01696F"/>
        </w:pBdr>
      </w:pPr>
      <w:r>
        <w:rPr>
          <w:rFonts w:ascii="Calibri" w:hAnsi="Calibri"/>
          <w:b/>
          <w:i w:val="0"/>
          <w:color w:val="01696F"/>
          <w:sz w:val="32"/>
        </w:rPr>
        <w:t>3. The Core Concept — What Was Proposed</w:t>
      </w:r>
    </w:p>
    <w:p>
      <w:pPr>
        <w:spacing w:before="240" w:after="60"/>
        <w:jc w:val="left"/>
      </w:pPr>
      <w:r>
        <w:rPr>
          <w:rFonts w:ascii="Calibri" w:hAnsi="Calibri"/>
          <w:b/>
          <w:i w:val="0"/>
          <w:color w:val="0C4E54"/>
          <w:sz w:val="26"/>
        </w:rPr>
        <w:t>Component 1 — The Strategic Framework</w:t>
      </w:r>
    </w:p>
    <w:p>
      <w:pPr>
        <w:spacing w:before="0" w:after="100"/>
        <w:jc w:val="left"/>
      </w:pPr>
      <w:r>
        <w:rPr>
          <w:rFonts w:ascii="Calibri" w:hAnsi="Calibri"/>
          <w:b w:val="0"/>
          <w:i w:val="0"/>
          <w:color w:val="28251D"/>
          <w:sz w:val="20"/>
        </w:rPr>
        <w:t>A tabletop exercise designed around a pathogen outbreak, built on the pillars of purpose, testing parameters, relevance, scope, and participants. This reflects the correct structural approach used by professional TTX designers operating under CDC, WHO, FEMA/HSEEP, and RAND frameworks.</w:t>
      </w:r>
    </w:p>
    <w:p>
      <w:pPr>
        <w:spacing w:after="120" w:before="0"/>
      </w:pPr>
    </w:p>
    <w:p>
      <w:pPr>
        <w:spacing w:before="240" w:after="60"/>
        <w:jc w:val="left"/>
      </w:pPr>
      <w:r>
        <w:rPr>
          <w:rFonts w:ascii="Calibri" w:hAnsi="Calibri"/>
          <w:b/>
          <w:i w:val="0"/>
          <w:color w:val="0C4E54"/>
          <w:sz w:val="26"/>
        </w:rPr>
        <w:t>Component 2 — The Provider Uncertainty Hook</w:t>
      </w:r>
    </w:p>
    <w:tbl>
      <w:tblPr>
        <w:tblW w:type="auto" w:w="0"/>
        <w:jc w:val="center"/>
        <w:tblLook w:firstColumn="1" w:firstRow="1" w:lastColumn="0" w:lastRow="0" w:noHBand="0" w:noVBand="1" w:val="04A0"/>
        <w:tblBorders>
          <w:top w:val="single" w:sz="4" w:space="0" w:color="01696F"/>
          <w:left w:val="single" w:sz="4" w:space="0" w:color="01696F"/>
          <w:bottom w:val="single" w:sz="4" w:space="0" w:color="01696F"/>
          <w:right w:val="single" w:sz="4" w:space="0" w:color="01696F"/>
          <w:insideH w:val="single" w:sz="4" w:space="0" w:color="01696F"/>
          <w:insideV w:val="single" w:sz="4" w:space="0" w:color="01696F"/>
        </w:tblBorders>
      </w:tblPr>
      <w:tblGrid>
        <w:gridCol w:w="9072"/>
      </w:tblGrid>
      <w:tr>
        <w:tc>
          <w:tcPr>
            <w:tcW w:type="dxa" w:w="9072"/>
            <w:shd w:val="clear" w:color="auto" w:fill="F0F7F7"/>
            <w:tcMar>
              <w:top w:w="80" w:type="dxa"/>
              <w:bottom w:w="80" w:type="dxa"/>
              <w:left w:w="100" w:type="dxa"/>
              <w:right w:w="100" w:type="dxa"/>
            </w:tcMar>
          </w:tcPr>
          <w:p>
            <w:pPr>
              <w:jc w:val="center"/>
            </w:pPr>
            <w:r>
              <w:rPr>
                <w:rFonts w:ascii="Calibri" w:hAnsi="Calibri"/>
                <w:b/>
                <w:i w:val="0"/>
                <w:color w:val="0C4E54"/>
                <w:sz w:val="19"/>
              </w:rPr>
              <w:t>"When you did your residency, how many times did a patient present to you and you didn't know what to do? Every day? That will be every day of this scenario in the beginning. It will not be predictable, it will not be something you can prepare for, it will not be something you have supplies for. That is where we will begin."</w:t>
            </w:r>
          </w:p>
        </w:tc>
      </w:tr>
    </w:tbl>
    <w:p/>
    <w:p>
      <w:pPr>
        <w:spacing w:after="80" w:before="0"/>
      </w:pPr>
    </w:p>
    <w:p>
      <w:pPr>
        <w:spacing w:before="0" w:after="100"/>
        <w:jc w:val="left"/>
      </w:pPr>
      <w:r>
        <w:rPr>
          <w:rFonts w:ascii="Calibri" w:hAnsi="Calibri"/>
          <w:b w:val="0"/>
          <w:i w:val="0"/>
          <w:color w:val="28251D"/>
          <w:sz w:val="20"/>
        </w:rPr>
        <w:t>This framing is unanimously recognized as the defining innovation of the concept. It bypasses institutional defensiveness, anchors the exercise in lived clinical experience, establishes maximum ambiguity as the baseline condition, and directly targets the pre-recognition phase that most exercises skip entirely.</w:t>
      </w:r>
    </w:p>
    <w:p>
      <w:r>
        <w:br w:type="page"/>
      </w:r>
    </w:p>
    <w:p>
      <w:pPr>
        <w:spacing w:before="280" w:after="80"/>
        <w:jc w:val="left"/>
        <w:pBdr>
          <w:bottom w:val="single" w:sz="8" w:space="1" w:color="01696F"/>
        </w:pBdr>
      </w:pPr>
      <w:r>
        <w:rPr>
          <w:rFonts w:ascii="Calibri" w:hAnsi="Calibri"/>
          <w:b/>
          <w:i w:val="0"/>
          <w:color w:val="01696F"/>
          <w:sz w:val="32"/>
        </w:rPr>
        <w:t>4. What Works — Strengths Across All AI Contributions</w:t>
      </w:r>
    </w:p>
    <w:p>
      <w:pPr>
        <w:spacing w:before="240" w:after="60"/>
        <w:jc w:val="left"/>
      </w:pPr>
      <w:r>
        <w:rPr>
          <w:rFonts w:ascii="Calibri" w:hAnsi="Calibri"/>
          <w:b/>
          <w:i w:val="0"/>
          <w:color w:val="0C4E54"/>
          <w:sz w:val="26"/>
        </w:rPr>
        <w:t>Structural Soundness</w:t>
      </w:r>
    </w:p>
    <w:p>
      <w:pPr>
        <w:spacing w:before="0" w:after="100"/>
        <w:jc w:val="left"/>
      </w:pPr>
      <w:r>
        <w:rPr>
          <w:rFonts w:ascii="Calibri" w:hAnsi="Calibri"/>
          <w:b w:val="0"/>
          <w:i w:val="0"/>
          <w:color w:val="28251D"/>
          <w:sz w:val="20"/>
        </w:rPr>
        <w:t>The concept is already built on the correct TTX pillars. This is the exact framework used by FEMA, CDC, and WHO in professional-grade exercises. No redesign is needed at the structural level — only completion.</w:t>
      </w:r>
    </w:p>
    <w:p>
      <w:pPr>
        <w:spacing w:before="240" w:after="60"/>
        <w:jc w:val="left"/>
      </w:pPr>
      <w:r>
        <w:rPr>
          <w:rFonts w:ascii="Calibri" w:hAnsi="Calibri"/>
          <w:b/>
          <w:i w:val="0"/>
          <w:color w:val="0C4E54"/>
          <w:sz w:val="26"/>
        </w:rPr>
        <w:t>The Residency Hook — Clinical Uncertainty as Exercise Baseline</w:t>
      </w:r>
    </w:p>
    <w:p>
      <w:pPr>
        <w:spacing w:before="0" w:after="100"/>
        <w:jc w:val="left"/>
      </w:pPr>
      <w:r>
        <w:rPr>
          <w:rFonts w:ascii="Calibri" w:hAnsi="Calibri"/>
          <w:b w:val="0"/>
          <w:i w:val="0"/>
          <w:color w:val="28251D"/>
          <w:sz w:val="20"/>
        </w:rPr>
        <w:t>This is a precision exercise design choice. Providers recognize the feeling immediately and engage rather than defend. It accurately represents the actual failure point of historical outbreaks. Claude identifies this as "the single most powerful design choice" that "bypasses the institutional defensiveness that kills most tabletop exercises."</w:t>
      </w:r>
    </w:p>
    <w:p>
      <w:pPr>
        <w:spacing w:before="240" w:after="60"/>
        <w:jc w:val="left"/>
      </w:pPr>
      <w:r>
        <w:rPr>
          <w:rFonts w:ascii="Calibri" w:hAnsi="Calibri"/>
          <w:b/>
          <w:i w:val="0"/>
          <w:color w:val="0C4E54"/>
          <w:sz w:val="26"/>
        </w:rPr>
        <w:t>System-Level Thinking</w:t>
      </w:r>
    </w:p>
    <w:p>
      <w:pPr>
        <w:spacing w:before="0" w:after="100"/>
        <w:jc w:val="left"/>
      </w:pPr>
      <w:r>
        <w:rPr>
          <w:rFonts w:ascii="Calibri" w:hAnsi="Calibri"/>
          <w:b w:val="0"/>
          <w:i w:val="0"/>
          <w:color w:val="28251D"/>
          <w:sz w:val="20"/>
        </w:rPr>
        <w:t>The concept tests how interconnected systems behave when their assumptions collapse — a fundamentally more sophisticated and valuable framing than scenario-based drills. Copilot notes this tests "cross-sector coordination: public health, clinical care, labs, logistics, communications" in a single scenario.</w:t>
      </w:r>
    </w:p>
    <w:p>
      <w:pPr>
        <w:spacing w:before="240" w:after="60"/>
        <w:jc w:val="left"/>
      </w:pPr>
      <w:r>
        <w:rPr>
          <w:rFonts w:ascii="Calibri" w:hAnsi="Calibri"/>
          <w:b/>
          <w:i w:val="0"/>
          <w:color w:val="0C4E54"/>
          <w:sz w:val="26"/>
        </w:rPr>
        <w:t>Proactive Timing</w:t>
      </w:r>
    </w:p>
    <w:p>
      <w:pPr>
        <w:spacing w:before="0" w:after="100"/>
        <w:jc w:val="left"/>
      </w:pPr>
      <w:r>
        <w:rPr>
          <w:rFonts w:ascii="Calibri" w:hAnsi="Calibri"/>
          <w:b w:val="0"/>
          <w:i w:val="0"/>
          <w:color w:val="28251D"/>
          <w:sz w:val="20"/>
        </w:rPr>
        <w:t>Designing this exercise before an outbreak places participating institutions ahead of the preparedness curve. Post-COVID institutional memory is still active — participants will bring real emotional and operational experience to the discussion.</w:t>
      </w:r>
    </w:p>
    <w:p>
      <w:pPr>
        <w:spacing w:before="240" w:after="60"/>
        <w:jc w:val="left"/>
      </w:pPr>
      <w:r>
        <w:rPr>
          <w:rFonts w:ascii="Calibri" w:hAnsi="Calibri"/>
          <w:b/>
          <w:i w:val="0"/>
          <w:color w:val="0C4E54"/>
          <w:sz w:val="26"/>
        </w:rPr>
        <w:t>Scalability</w:t>
      </w:r>
    </w:p>
    <w:p>
      <w:pPr>
        <w:spacing w:before="0" w:after="100"/>
        <w:jc w:val="left"/>
      </w:pPr>
      <w:r>
        <w:rPr>
          <w:rFonts w:ascii="Calibri" w:hAnsi="Calibri"/>
          <w:b w:val="0"/>
          <w:i w:val="0"/>
          <w:color w:val="28251D"/>
          <w:sz w:val="20"/>
        </w:rPr>
        <w:t>The core concept works at hospital level, county level, state level, or national level without requiring fundamental redesign.</w:t>
      </w:r>
    </w:p>
    <w:p>
      <w:pPr>
        <w:spacing w:before="240" w:after="60"/>
        <w:jc w:val="left"/>
      </w:pPr>
      <w:r>
        <w:rPr>
          <w:rFonts w:ascii="Calibri" w:hAnsi="Calibri"/>
          <w:b/>
          <w:i w:val="0"/>
          <w:color w:val="0C4E54"/>
          <w:sz w:val="26"/>
        </w:rPr>
        <w:t>Low Cost, High Yield</w:t>
      </w:r>
    </w:p>
    <w:p>
      <w:pPr>
        <w:spacing w:before="0" w:after="100"/>
        <w:jc w:val="left"/>
      </w:pPr>
      <w:r>
        <w:rPr>
          <w:rFonts w:ascii="Calibri" w:hAnsi="Calibri"/>
          <w:b w:val="0"/>
          <w:i w:val="0"/>
          <w:color w:val="28251D"/>
          <w:sz w:val="20"/>
        </w:rPr>
        <w:t>A TTX reveals policy, communication, and coordination gaps without the expense of a full functional exercise. It builds relationships, tests plans without real-world risk, and surfaces surprises in areas where institutions believe they are prepared.</w:t>
      </w:r>
    </w:p>
    <w:p>
      <w:r>
        <w:br w:type="page"/>
      </w:r>
    </w:p>
    <w:p>
      <w:pPr>
        <w:spacing w:before="280" w:after="80"/>
        <w:jc w:val="left"/>
        <w:pBdr>
          <w:bottom w:val="single" w:sz="8" w:space="1" w:color="01696F"/>
        </w:pBdr>
      </w:pPr>
      <w:r>
        <w:rPr>
          <w:rFonts w:ascii="Calibri" w:hAnsi="Calibri"/>
          <w:b/>
          <w:i w:val="0"/>
          <w:color w:val="01696F"/>
          <w:sz w:val="32"/>
        </w:rPr>
        <w:t>5. What Doesn't Work (Yet) — Gaps and Risks</w:t>
      </w:r>
    </w:p>
    <w:p>
      <w:pPr>
        <w:spacing w:before="0" w:after="100"/>
        <w:jc w:val="left"/>
      </w:pPr>
      <w:r>
        <w:rPr>
          <w:rFonts w:ascii="Calibri" w:hAnsi="Calibri"/>
          <w:b w:val="0"/>
          <w:i w:val="0"/>
          <w:color w:val="28251D"/>
          <w:sz w:val="20"/>
        </w:rPr>
        <w:t>The following gaps are flagged across multiple AI responses. None are fatal — all are solvable with author decisions.</w:t>
      </w:r>
    </w:p>
    <w:p>
      <w:pPr>
        <w:spacing w:after="120" w:before="0"/>
      </w:pPr>
    </w:p>
    <w:p>
      <w:pPr>
        <w:spacing w:before="160" w:after="60"/>
        <w:jc w:val="left"/>
      </w:pPr>
      <w:r>
        <w:rPr>
          <w:rFonts w:ascii="Calibri" w:hAnsi="Calibri"/>
          <w:b/>
          <w:i w:val="0"/>
          <w:color w:val="28251D"/>
          <w:sz w:val="22"/>
        </w:rPr>
        <w:t>No Pathogen Archetype Defined — CRITICAL</w:t>
      </w:r>
    </w:p>
    <w:p>
      <w:pPr>
        <w:spacing w:before="0" w:after="100"/>
        <w:jc w:val="left"/>
      </w:pPr>
      <w:r>
        <w:rPr>
          <w:rFonts w:ascii="Calibri" w:hAnsi="Calibri"/>
          <w:b w:val="0"/>
          <w:i w:val="0"/>
          <w:color w:val="28251D"/>
          <w:sz w:val="20"/>
        </w:rPr>
        <w:t>This is the single largest structural gap. Every downstream design element depends on pathogen characteristics. Nothing can be finalized until this decision is made.</w:t>
      </w:r>
    </w:p>
    <w:p>
      <w:pPr>
        <w:spacing w:before="160" w:after="60"/>
        <w:jc w:val="left"/>
      </w:pPr>
      <w:r>
        <w:rPr>
          <w:rFonts w:ascii="Calibri" w:hAnsi="Calibri"/>
          <w:b/>
          <w:i w:val="0"/>
          <w:color w:val="28251D"/>
          <w:sz w:val="22"/>
        </w:rPr>
        <w:t>No Primary Objective Locked — CRITICAL</w:t>
      </w:r>
    </w:p>
    <w:p>
      <w:pPr>
        <w:spacing w:before="0" w:after="100"/>
        <w:jc w:val="left"/>
      </w:pPr>
      <w:r>
        <w:rPr>
          <w:rFonts w:ascii="Calibri" w:hAnsi="Calibri"/>
          <w:b w:val="0"/>
          <w:i w:val="0"/>
          <w:color w:val="28251D"/>
          <w:sz w:val="20"/>
        </w:rPr>
        <w:t>An exercise without a single primary objective produces unfocused findings that don't translate into funded improvement actions.</w:t>
      </w:r>
    </w:p>
    <w:p>
      <w:pPr>
        <w:spacing w:before="160" w:after="60"/>
        <w:jc w:val="left"/>
      </w:pPr>
      <w:r>
        <w:rPr>
          <w:rFonts w:ascii="Calibri" w:hAnsi="Calibri"/>
          <w:b/>
          <w:i w:val="0"/>
          <w:color w:val="28251D"/>
          <w:sz w:val="22"/>
        </w:rPr>
        <w:t>"Every Ten Years" Framing — CREDIBILITY RISK</w:t>
      </w:r>
    </w:p>
    <w:p>
      <w:pPr>
        <w:spacing w:before="0" w:after="100"/>
        <w:jc w:val="left"/>
      </w:pPr>
      <w:r>
        <w:rPr>
          <w:rFonts w:ascii="Calibri" w:hAnsi="Calibri"/>
          <w:b w:val="0"/>
          <w:i w:val="0"/>
          <w:color w:val="28251D"/>
          <w:sz w:val="20"/>
        </w:rPr>
        <w:t>As stated, this implies pathogens follow a calendar — which they do not. Epidemiologists will challenge this immediately. Recommended replacement: "Current global conditions represent a heightened-risk window that justifies proactive exercise now."</w:t>
      </w:r>
    </w:p>
    <w:p>
      <w:pPr>
        <w:spacing w:before="160" w:after="60"/>
        <w:jc w:val="left"/>
      </w:pPr>
      <w:r>
        <w:rPr>
          <w:rFonts w:ascii="Calibri" w:hAnsi="Calibri"/>
          <w:b/>
          <w:i w:val="0"/>
          <w:color w:val="28251D"/>
          <w:sz w:val="22"/>
        </w:rPr>
        <w:t>Participant Roles Not Structured</w:t>
      </w:r>
    </w:p>
    <w:p>
      <w:pPr>
        <w:spacing w:before="0" w:after="100"/>
        <w:jc w:val="left"/>
      </w:pPr>
      <w:r>
        <w:rPr>
          <w:rFonts w:ascii="Calibri" w:hAnsi="Calibri"/>
          <w:b w:val="0"/>
          <w:i w:val="0"/>
          <w:color w:val="28251D"/>
          <w:sz w:val="20"/>
        </w:rPr>
        <w:t>"Medical professionals" is not a participant structure. The exercise needs defined role categories with clear decision authority mapped to each.</w:t>
      </w:r>
    </w:p>
    <w:p>
      <w:pPr>
        <w:spacing w:before="160" w:after="60"/>
        <w:jc w:val="left"/>
      </w:pPr>
      <w:r>
        <w:rPr>
          <w:rFonts w:ascii="Calibri" w:hAnsi="Calibri"/>
          <w:b/>
          <w:i w:val="0"/>
          <w:color w:val="28251D"/>
          <w:sz w:val="22"/>
        </w:rPr>
        <w:t>No Evaluation Architecture</w:t>
      </w:r>
    </w:p>
    <w:p>
      <w:pPr>
        <w:spacing w:before="0" w:after="100"/>
        <w:jc w:val="left"/>
      </w:pPr>
      <w:r>
        <w:rPr>
          <w:rFonts w:ascii="Calibri" w:hAnsi="Calibri"/>
          <w:b w:val="0"/>
          <w:i w:val="0"/>
          <w:color w:val="28251D"/>
          <w:sz w:val="20"/>
        </w:rPr>
        <w:t>Without pre-defined metrics, the after-action report will be anecdotal rather than actionable.</w:t>
      </w:r>
    </w:p>
    <w:p>
      <w:pPr>
        <w:spacing w:before="160" w:after="60"/>
        <w:jc w:val="left"/>
      </w:pPr>
      <w:r>
        <w:rPr>
          <w:rFonts w:ascii="Calibri" w:hAnsi="Calibri"/>
          <w:b/>
          <w:i w:val="0"/>
          <w:color w:val="28251D"/>
          <w:sz w:val="22"/>
        </w:rPr>
        <w:t>Chaos Must Be Bounded</w:t>
      </w:r>
    </w:p>
    <w:p>
      <w:pPr>
        <w:spacing w:before="0" w:after="100"/>
        <w:jc w:val="left"/>
      </w:pPr>
      <w:r>
        <w:rPr>
          <w:rFonts w:ascii="Calibri" w:hAnsi="Calibri"/>
          <w:b w:val="0"/>
          <w:i w:val="0"/>
          <w:color w:val="28251D"/>
          <w:sz w:val="20"/>
        </w:rPr>
        <w:t>"Everything is unknown all the time" does not work — participants will freeze. The exercise needs layered uncertainty, not total randomness.</w:t>
      </w:r>
    </w:p>
    <w:p>
      <w:pPr>
        <w:spacing w:before="160" w:after="60"/>
        <w:jc w:val="left"/>
      </w:pPr>
      <w:r>
        <w:rPr>
          <w:rFonts w:ascii="Calibri" w:hAnsi="Calibri"/>
          <w:b/>
          <w:i w:val="0"/>
          <w:color w:val="28251D"/>
          <w:sz w:val="22"/>
        </w:rPr>
        <w:t>"You Can't Prepare" Framing Needs Calibration</w:t>
      </w:r>
    </w:p>
    <w:p>
      <w:pPr>
        <w:spacing w:before="0" w:after="100"/>
        <w:jc w:val="left"/>
      </w:pPr>
      <w:r>
        <w:rPr>
          <w:rFonts w:ascii="Calibri" w:hAnsi="Calibri"/>
          <w:b w:val="0"/>
          <w:i w:val="0"/>
          <w:color w:val="28251D"/>
          <w:sz w:val="20"/>
        </w:rPr>
        <w:t>The exercise must communicate: you cannot prepare with protocols, but you can prepare with frameworks for thinking under uncertainty.</w:t>
      </w:r>
    </w:p>
    <w:p>
      <w:pPr>
        <w:spacing w:before="160" w:after="60"/>
        <w:jc w:val="left"/>
      </w:pPr>
      <w:r>
        <w:rPr>
          <w:rFonts w:ascii="Calibri" w:hAnsi="Calibri"/>
          <w:b/>
          <w:i w:val="0"/>
          <w:color w:val="28251D"/>
          <w:sz w:val="22"/>
        </w:rPr>
        <w:t>Missing Equity Layer</w:t>
      </w:r>
    </w:p>
    <w:p>
      <w:pPr>
        <w:spacing w:before="0" w:after="100"/>
        <w:jc w:val="left"/>
      </w:pPr>
      <w:r>
        <w:rPr>
          <w:rFonts w:ascii="Calibri" w:hAnsi="Calibri"/>
          <w:b w:val="0"/>
          <w:i w:val="0"/>
          <w:color w:val="28251D"/>
          <w:sz w:val="20"/>
        </w:rPr>
        <w:t>No outbreak scenario in a major metropolitan area is complete without examining differential impact on under-resourced communities, non-English-speaking populations, unhoused individuals, and long-term care residents.</w:t>
      </w:r>
    </w:p>
    <w:p>
      <w:pPr>
        <w:spacing w:before="160" w:after="60"/>
        <w:jc w:val="left"/>
      </w:pPr>
      <w:r>
        <w:rPr>
          <w:rFonts w:ascii="Calibri" w:hAnsi="Calibri"/>
          <w:b/>
          <w:i w:val="0"/>
          <w:color w:val="28251D"/>
          <w:sz w:val="22"/>
        </w:rPr>
        <w:t>No Evaluation Baseline Established</w:t>
      </w:r>
    </w:p>
    <w:p>
      <w:pPr>
        <w:spacing w:before="0" w:after="100"/>
        <w:jc w:val="left"/>
      </w:pPr>
      <w:r>
        <w:rPr>
          <w:rFonts w:ascii="Calibri" w:hAnsi="Calibri"/>
          <w:b w:val="0"/>
          <w:i w:val="0"/>
          <w:color w:val="28251D"/>
          <w:sz w:val="20"/>
        </w:rPr>
        <w:t>The first exercise should explicitly establish a baseline so future exercises can show trajectory.</w:t>
      </w:r>
    </w:p>
    <w:p>
      <w:pPr>
        <w:spacing w:before="160" w:after="60"/>
        <w:jc w:val="left"/>
      </w:pPr>
      <w:r>
        <w:rPr>
          <w:rFonts w:ascii="Calibri" w:hAnsi="Calibri"/>
          <w:b/>
          <w:i w:val="0"/>
          <w:color w:val="28251D"/>
          <w:sz w:val="22"/>
        </w:rPr>
        <w:t>Stakeholder Buy-In Not Secured</w:t>
      </w:r>
    </w:p>
    <w:p>
      <w:pPr>
        <w:spacing w:before="0" w:after="100"/>
        <w:jc w:val="left"/>
      </w:pPr>
      <w:r>
        <w:rPr>
          <w:rFonts w:ascii="Calibri" w:hAnsi="Calibri"/>
          <w:b w:val="0"/>
          <w:i w:val="0"/>
          <w:color w:val="28251D"/>
          <w:sz w:val="20"/>
        </w:rPr>
        <w:t>If key partners are not committed before design work proceeds, the exercise becomes a paper exercise with limited operational value.</w:t>
      </w:r>
    </w:p>
    <w:p>
      <w:r>
        <w:br w:type="page"/>
      </w:r>
    </w:p>
    <w:p>
      <w:pPr>
        <w:spacing w:before="280" w:after="80"/>
        <w:jc w:val="left"/>
        <w:pBdr>
          <w:bottom w:val="single" w:sz="8" w:space="1" w:color="01696F"/>
        </w:pBdr>
      </w:pPr>
      <w:r>
        <w:rPr>
          <w:rFonts w:ascii="Calibri" w:hAnsi="Calibri"/>
          <w:b/>
          <w:i w:val="0"/>
          <w:color w:val="01696F"/>
          <w:sz w:val="32"/>
        </w:rPr>
        <w:t>6. What Needs to Be Addressed Before Moving Forward</w:t>
      </w:r>
    </w:p>
    <w:p>
      <w:pPr>
        <w:spacing w:before="240" w:after="60"/>
        <w:jc w:val="left"/>
      </w:pPr>
      <w:r>
        <w:rPr>
          <w:rFonts w:ascii="Calibri" w:hAnsi="Calibri"/>
          <w:b/>
          <w:i w:val="0"/>
          <w:color w:val="0C4E54"/>
          <w:sz w:val="26"/>
        </w:rPr>
        <w:t>Immediate Author Decisions — Block All Downstream Work</w:t>
      </w: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3024"/>
        <w:gridCol w:w="3024"/>
        <w:gridCol w:w="3024"/>
      </w:tblGrid>
      <w:tr>
        <w:tc>
          <w:tcPr>
            <w:tcW w:type="dxa" w:w="576"/>
            <w:shd w:val="clear" w:color="auto" w:fill="01696F"/>
            <w:tcMar>
              <w:top w:w="60" w:type="dxa"/>
              <w:bottom w:w="60" w:type="dxa"/>
              <w:left w:w="80" w:type="dxa"/>
              <w:right w:w="80" w:type="dxa"/>
            </w:tcMar>
          </w:tcPr>
          <w:p>
            <w:pPr>
              <w:jc w:val="center"/>
            </w:pPr>
            <w:r>
              <w:rPr>
                <w:rFonts w:ascii="Calibri" w:hAnsi="Calibri"/>
                <w:b/>
                <w:i w:val="0"/>
                <w:color w:val="FFFFFF"/>
                <w:sz w:val="18"/>
              </w:rPr>
              <w:t>#</w:t>
            </w:r>
          </w:p>
        </w:tc>
        <w:tc>
          <w:tcPr>
            <w:tcW w:type="dxa" w:w="3168"/>
            <w:shd w:val="clear" w:color="auto" w:fill="01696F"/>
            <w:tcMar>
              <w:top w:w="60" w:type="dxa"/>
              <w:bottom w:w="60" w:type="dxa"/>
              <w:left w:w="80" w:type="dxa"/>
              <w:right w:w="80" w:type="dxa"/>
            </w:tcMar>
          </w:tcPr>
          <w:p>
            <w:pPr>
              <w:jc w:val="center"/>
            </w:pPr>
            <w:r>
              <w:rPr>
                <w:rFonts w:ascii="Calibri" w:hAnsi="Calibri"/>
                <w:b/>
                <w:i w:val="0"/>
                <w:color w:val="FFFFFF"/>
                <w:sz w:val="18"/>
              </w:rPr>
              <w:t>Decision Required</w:t>
            </w:r>
          </w:p>
        </w:tc>
        <w:tc>
          <w:tcPr>
            <w:tcW w:type="dxa" w:w="5616"/>
            <w:shd w:val="clear" w:color="auto" w:fill="01696F"/>
            <w:tcMar>
              <w:top w:w="60" w:type="dxa"/>
              <w:bottom w:w="60" w:type="dxa"/>
              <w:left w:w="80" w:type="dxa"/>
              <w:right w:w="80" w:type="dxa"/>
            </w:tcMar>
          </w:tcPr>
          <w:p>
            <w:pPr>
              <w:jc w:val="center"/>
            </w:pPr>
            <w:r>
              <w:rPr>
                <w:rFonts w:ascii="Calibri" w:hAnsi="Calibri"/>
                <w:b/>
                <w:i w:val="0"/>
                <w:color w:val="FFFFFF"/>
                <w:sz w:val="18"/>
              </w:rPr>
              <w:t>Why It Blocks</w:t>
            </w:r>
          </w:p>
        </w:tc>
      </w:tr>
      <w:tr>
        <w:tc>
          <w:tcPr>
            <w:tcW w:type="dxa" w:w="576"/>
            <w:shd w:val="clear" w:color="auto" w:fill="FFFFFF"/>
            <w:tcMar>
              <w:top w:w="60" w:type="dxa"/>
              <w:bottom w:w="60" w:type="dxa"/>
              <w:left w:w="80" w:type="dxa"/>
              <w:right w:w="80" w:type="dxa"/>
            </w:tcMar>
            <w:vAlign w:val="top"/>
          </w:tcPr>
          <w:p>
            <w:r>
              <w:rPr>
                <w:rFonts w:ascii="Calibri" w:hAnsi="Calibri"/>
                <w:b w:val="0"/>
                <w:i w:val="0"/>
                <w:color w:val="28251D"/>
                <w:sz w:val="18"/>
              </w:rPr>
              <w:t>D1</w:t>
            </w:r>
          </w:p>
        </w:tc>
        <w:tc>
          <w:tcPr>
            <w:tcW w:type="dxa" w:w="3168"/>
            <w:shd w:val="clear" w:color="auto" w:fill="FFFFFF"/>
            <w:tcMar>
              <w:top w:w="60" w:type="dxa"/>
              <w:bottom w:w="60" w:type="dxa"/>
              <w:left w:w="80" w:type="dxa"/>
              <w:right w:w="80" w:type="dxa"/>
            </w:tcMar>
            <w:vAlign w:val="top"/>
          </w:tcPr>
          <w:p>
            <w:r>
              <w:rPr>
                <w:rFonts w:ascii="Calibri" w:hAnsi="Calibri"/>
                <w:b w:val="0"/>
                <w:i w:val="0"/>
                <w:color w:val="28251D"/>
                <w:sz w:val="18"/>
              </w:rPr>
              <w:t>Lock the pathogen archetype</w:t>
            </w:r>
          </w:p>
        </w:tc>
        <w:tc>
          <w:tcPr>
            <w:tcW w:type="dxa" w:w="5616"/>
            <w:shd w:val="clear" w:color="auto" w:fill="FFFFFF"/>
            <w:tcMar>
              <w:top w:w="60" w:type="dxa"/>
              <w:bottom w:w="60" w:type="dxa"/>
              <w:left w:w="80" w:type="dxa"/>
              <w:right w:w="80" w:type="dxa"/>
            </w:tcMar>
            <w:vAlign w:val="top"/>
          </w:tcPr>
          <w:p>
            <w:r>
              <w:rPr>
                <w:rFonts w:ascii="Calibri" w:hAnsi="Calibri"/>
                <w:b w:val="0"/>
                <w:i w:val="0"/>
                <w:color w:val="28251D"/>
                <w:sz w:val="18"/>
              </w:rPr>
              <w:t>Every inject, decision point, resource stress, and evaluation metric depends on pathogen characteristics</w:t>
            </w:r>
          </w:p>
        </w:tc>
      </w:tr>
      <w:tr>
        <w:tc>
          <w:tcPr>
            <w:tcW w:type="dxa" w:w="576"/>
            <w:shd w:val="clear" w:color="auto" w:fill="F2F6F6"/>
            <w:tcMar>
              <w:top w:w="60" w:type="dxa"/>
              <w:bottom w:w="60" w:type="dxa"/>
              <w:left w:w="80" w:type="dxa"/>
              <w:right w:w="80" w:type="dxa"/>
            </w:tcMar>
            <w:vAlign w:val="top"/>
          </w:tcPr>
          <w:p>
            <w:r>
              <w:rPr>
                <w:rFonts w:ascii="Calibri" w:hAnsi="Calibri"/>
                <w:b w:val="0"/>
                <w:i w:val="0"/>
                <w:color w:val="28251D"/>
                <w:sz w:val="18"/>
              </w:rPr>
              <w:t>D2</w:t>
            </w:r>
          </w:p>
        </w:tc>
        <w:tc>
          <w:tcPr>
            <w:tcW w:type="dxa" w:w="3168"/>
            <w:shd w:val="clear" w:color="auto" w:fill="F2F6F6"/>
            <w:tcMar>
              <w:top w:w="60" w:type="dxa"/>
              <w:bottom w:w="60" w:type="dxa"/>
              <w:left w:w="80" w:type="dxa"/>
              <w:right w:w="80" w:type="dxa"/>
            </w:tcMar>
            <w:vAlign w:val="top"/>
          </w:tcPr>
          <w:p>
            <w:r>
              <w:rPr>
                <w:rFonts w:ascii="Calibri" w:hAnsi="Calibri"/>
                <w:b w:val="0"/>
                <w:i w:val="0"/>
                <w:color w:val="28251D"/>
                <w:sz w:val="18"/>
              </w:rPr>
              <w:t>Lock the primary objective (one sentence)</w:t>
            </w:r>
          </w:p>
        </w:tc>
        <w:tc>
          <w:tcPr>
            <w:tcW w:type="dxa" w:w="5616"/>
            <w:shd w:val="clear" w:color="auto" w:fill="F2F6F6"/>
            <w:tcMar>
              <w:top w:w="60" w:type="dxa"/>
              <w:bottom w:w="60" w:type="dxa"/>
              <w:left w:w="80" w:type="dxa"/>
              <w:right w:w="80" w:type="dxa"/>
            </w:tcMar>
            <w:vAlign w:val="top"/>
          </w:tcPr>
          <w:p>
            <w:r>
              <w:rPr>
                <w:rFonts w:ascii="Calibri" w:hAnsi="Calibri"/>
                <w:b w:val="0"/>
                <w:i w:val="0"/>
                <w:color w:val="28251D"/>
                <w:sz w:val="18"/>
              </w:rPr>
              <w:t>Exercise will produce unfocused findings without a single measurable primary goal</w:t>
            </w:r>
          </w:p>
        </w:tc>
      </w:tr>
      <w:tr>
        <w:tc>
          <w:tcPr>
            <w:tcW w:type="dxa" w:w="576"/>
            <w:shd w:val="clear" w:color="auto" w:fill="FFFFFF"/>
            <w:tcMar>
              <w:top w:w="60" w:type="dxa"/>
              <w:bottom w:w="60" w:type="dxa"/>
              <w:left w:w="80" w:type="dxa"/>
              <w:right w:w="80" w:type="dxa"/>
            </w:tcMar>
            <w:vAlign w:val="top"/>
          </w:tcPr>
          <w:p>
            <w:r>
              <w:rPr>
                <w:rFonts w:ascii="Calibri" w:hAnsi="Calibri"/>
                <w:b w:val="0"/>
                <w:i w:val="0"/>
                <w:color w:val="28251D"/>
                <w:sz w:val="18"/>
              </w:rPr>
              <w:t>D3</w:t>
            </w:r>
          </w:p>
        </w:tc>
        <w:tc>
          <w:tcPr>
            <w:tcW w:type="dxa" w:w="3168"/>
            <w:shd w:val="clear" w:color="auto" w:fill="FFFFFF"/>
            <w:tcMar>
              <w:top w:w="60" w:type="dxa"/>
              <w:bottom w:w="60" w:type="dxa"/>
              <w:left w:w="80" w:type="dxa"/>
              <w:right w:w="80" w:type="dxa"/>
            </w:tcMar>
            <w:vAlign w:val="top"/>
          </w:tcPr>
          <w:p>
            <w:r>
              <w:rPr>
                <w:rFonts w:ascii="Calibri" w:hAnsi="Calibri"/>
                <w:b w:val="0"/>
                <w:i w:val="0"/>
                <w:color w:val="28251D"/>
                <w:sz w:val="18"/>
              </w:rPr>
              <w:t>Define target audience and scale</w:t>
            </w:r>
          </w:p>
        </w:tc>
        <w:tc>
          <w:tcPr>
            <w:tcW w:type="dxa" w:w="5616"/>
            <w:shd w:val="clear" w:color="auto" w:fill="FFFFFF"/>
            <w:tcMar>
              <w:top w:w="60" w:type="dxa"/>
              <w:bottom w:w="60" w:type="dxa"/>
              <w:left w:w="80" w:type="dxa"/>
              <w:right w:w="80" w:type="dxa"/>
            </w:tcMar>
            <w:vAlign w:val="top"/>
          </w:tcPr>
          <w:p>
            <w:r>
              <w:rPr>
                <w:rFonts w:ascii="Calibri" w:hAnsi="Calibri"/>
                <w:b w:val="0"/>
                <w:i w:val="0"/>
                <w:color w:val="28251D"/>
                <w:sz w:val="18"/>
              </w:rPr>
              <w:t>Participant structure, inject depth, and evaluation scope all depend on this</w:t>
            </w:r>
          </w:p>
        </w:tc>
      </w:tr>
      <w:tr>
        <w:tc>
          <w:tcPr>
            <w:tcW w:type="dxa" w:w="576"/>
            <w:shd w:val="clear" w:color="auto" w:fill="F2F6F6"/>
            <w:tcMar>
              <w:top w:w="60" w:type="dxa"/>
              <w:bottom w:w="60" w:type="dxa"/>
              <w:left w:w="80" w:type="dxa"/>
              <w:right w:w="80" w:type="dxa"/>
            </w:tcMar>
            <w:vAlign w:val="top"/>
          </w:tcPr>
          <w:p>
            <w:r>
              <w:rPr>
                <w:rFonts w:ascii="Calibri" w:hAnsi="Calibri"/>
                <w:b w:val="0"/>
                <w:i w:val="0"/>
                <w:color w:val="28251D"/>
                <w:sz w:val="18"/>
              </w:rPr>
              <w:t>D4</w:t>
            </w:r>
          </w:p>
        </w:tc>
        <w:tc>
          <w:tcPr>
            <w:tcW w:type="dxa" w:w="3168"/>
            <w:shd w:val="clear" w:color="auto" w:fill="F2F6F6"/>
            <w:tcMar>
              <w:top w:w="60" w:type="dxa"/>
              <w:bottom w:w="60" w:type="dxa"/>
              <w:left w:w="80" w:type="dxa"/>
              <w:right w:w="80" w:type="dxa"/>
            </w:tcMar>
            <w:vAlign w:val="top"/>
          </w:tcPr>
          <w:p>
            <w:r>
              <w:rPr>
                <w:rFonts w:ascii="Calibri" w:hAnsi="Calibri"/>
                <w:b w:val="0"/>
                <w:i w:val="0"/>
                <w:color w:val="28251D"/>
                <w:sz w:val="18"/>
              </w:rPr>
              <w:t>Establish sponsoring organization and authority structure</w:t>
            </w:r>
          </w:p>
        </w:tc>
        <w:tc>
          <w:tcPr>
            <w:tcW w:type="dxa" w:w="5616"/>
            <w:shd w:val="clear" w:color="auto" w:fill="F2F6F6"/>
            <w:tcMar>
              <w:top w:w="60" w:type="dxa"/>
              <w:bottom w:w="60" w:type="dxa"/>
              <w:left w:w="80" w:type="dxa"/>
              <w:right w:w="80" w:type="dxa"/>
            </w:tcMar>
            <w:vAlign w:val="top"/>
          </w:tcPr>
          <w:p>
            <w:r>
              <w:rPr>
                <w:rFonts w:ascii="Calibri" w:hAnsi="Calibri"/>
                <w:b w:val="0"/>
                <w:i w:val="0"/>
                <w:color w:val="28251D"/>
                <w:sz w:val="18"/>
              </w:rPr>
              <w:t>Who convenes the exercise, who can commit resources during play, who owns the AAR</w:t>
            </w:r>
          </w:p>
        </w:tc>
      </w:tr>
      <w:tr>
        <w:tc>
          <w:tcPr>
            <w:tcW w:type="dxa" w:w="576"/>
            <w:shd w:val="clear" w:color="auto" w:fill="FFFFFF"/>
            <w:tcMar>
              <w:top w:w="60" w:type="dxa"/>
              <w:bottom w:w="60" w:type="dxa"/>
              <w:left w:w="80" w:type="dxa"/>
              <w:right w:w="80" w:type="dxa"/>
            </w:tcMar>
            <w:vAlign w:val="top"/>
          </w:tcPr>
          <w:p>
            <w:r>
              <w:rPr>
                <w:rFonts w:ascii="Calibri" w:hAnsi="Calibri"/>
                <w:b w:val="0"/>
                <w:i w:val="0"/>
                <w:color w:val="28251D"/>
                <w:sz w:val="18"/>
              </w:rPr>
              <w:t>D5</w:t>
            </w:r>
          </w:p>
        </w:tc>
        <w:tc>
          <w:tcPr>
            <w:tcW w:type="dxa" w:w="3168"/>
            <w:shd w:val="clear" w:color="auto" w:fill="FFFFFF"/>
            <w:tcMar>
              <w:top w:w="60" w:type="dxa"/>
              <w:bottom w:w="60" w:type="dxa"/>
              <w:left w:w="80" w:type="dxa"/>
              <w:right w:w="80" w:type="dxa"/>
            </w:tcMar>
            <w:vAlign w:val="top"/>
          </w:tcPr>
          <w:p>
            <w:r>
              <w:rPr>
                <w:rFonts w:ascii="Calibri" w:hAnsi="Calibri"/>
                <w:b w:val="0"/>
                <w:i w:val="0"/>
                <w:color w:val="28251D"/>
                <w:sz w:val="18"/>
              </w:rPr>
              <w:t>Define evaluation baseline</w:t>
            </w:r>
          </w:p>
        </w:tc>
        <w:tc>
          <w:tcPr>
            <w:tcW w:type="dxa" w:w="5616"/>
            <w:shd w:val="clear" w:color="auto" w:fill="FFFFFF"/>
            <w:tcMar>
              <w:top w:w="60" w:type="dxa"/>
              <w:bottom w:w="60" w:type="dxa"/>
              <w:left w:w="80" w:type="dxa"/>
              <w:right w:w="80" w:type="dxa"/>
            </w:tcMar>
            <w:vAlign w:val="top"/>
          </w:tcPr>
          <w:p>
            <w:r>
              <w:rPr>
                <w:rFonts w:ascii="Calibri" w:hAnsi="Calibri"/>
                <w:b w:val="0"/>
                <w:i w:val="0"/>
                <w:color w:val="28251D"/>
                <w:sz w:val="18"/>
              </w:rPr>
              <w:t>Is this a first-time exercise for participants? Must be documented to frame findings correctly</w:t>
            </w:r>
          </w:p>
        </w:tc>
      </w:tr>
    </w:tbl>
    <w:p/>
    <w:p>
      <w:pPr>
        <w:spacing w:after="160" w:before="0"/>
      </w:pPr>
    </w:p>
    <w:p>
      <w:pPr>
        <w:spacing w:before="240" w:after="60"/>
        <w:jc w:val="left"/>
      </w:pPr>
      <w:r>
        <w:rPr>
          <w:rFonts w:ascii="Calibri" w:hAnsi="Calibri"/>
          <w:b/>
          <w:i w:val="0"/>
          <w:color w:val="0C4E54"/>
          <w:sz w:val="26"/>
        </w:rPr>
        <w:t>Design Work Required Before Exercise Date</w:t>
      </w:r>
    </w:p>
    <w:p>
      <w:pPr>
        <w:spacing w:before="0" w:after="60"/>
        <w:ind w:left="360" w:hanging="288"/>
      </w:pPr>
      <w:r>
        <w:rPr>
          <w:rFonts w:ascii="Calibri" w:hAnsi="Calibri"/>
          <w:b w:val="0"/>
          <w:i w:val="0"/>
          <w:color w:val="28251D"/>
          <w:sz w:val="20"/>
        </w:rPr>
        <w:t>•  Draft and review Situation Manual (SitMan)</w:t>
      </w:r>
    </w:p>
    <w:p>
      <w:pPr>
        <w:spacing w:before="0" w:after="60"/>
        <w:ind w:left="360" w:hanging="288"/>
      </w:pPr>
      <w:r>
        <w:rPr>
          <w:rFonts w:ascii="Calibri" w:hAnsi="Calibri"/>
          <w:b w:val="0"/>
          <w:i w:val="0"/>
          <w:color w:val="28251D"/>
          <w:sz w:val="20"/>
        </w:rPr>
        <w:t>•  Build facilitator script with probe questions for each inject</w:t>
      </w:r>
    </w:p>
    <w:p>
      <w:pPr>
        <w:spacing w:before="0" w:after="60"/>
        <w:ind w:left="360" w:hanging="288"/>
      </w:pPr>
      <w:r>
        <w:rPr>
          <w:rFonts w:ascii="Calibri" w:hAnsi="Calibri"/>
          <w:b w:val="0"/>
          <w:i w:val="0"/>
          <w:color w:val="28251D"/>
          <w:sz w:val="20"/>
        </w:rPr>
        <w:t>•  Establish ground rules document (no-fault, confidentiality, decision authority limits)</w:t>
      </w:r>
    </w:p>
    <w:p>
      <w:pPr>
        <w:spacing w:before="0" w:after="60"/>
        <w:ind w:left="360" w:hanging="288"/>
      </w:pPr>
      <w:r>
        <w:rPr>
          <w:rFonts w:ascii="Calibri" w:hAnsi="Calibri"/>
          <w:b w:val="0"/>
          <w:i w:val="0"/>
          <w:color w:val="28251D"/>
          <w:sz w:val="20"/>
        </w:rPr>
        <w:t>•  Develop participant roles and pre-read package</w:t>
      </w:r>
    </w:p>
    <w:p>
      <w:pPr>
        <w:spacing w:before="0" w:after="60"/>
        <w:ind w:left="360" w:hanging="288"/>
      </w:pPr>
      <w:r>
        <w:rPr>
          <w:rFonts w:ascii="Calibri" w:hAnsi="Calibri"/>
          <w:b w:val="0"/>
          <w:i w:val="0"/>
          <w:color w:val="28251D"/>
          <w:sz w:val="20"/>
        </w:rPr>
        <w:t>•  Build evaluation forms and note-taking templates</w:t>
      </w:r>
    </w:p>
    <w:p>
      <w:pPr>
        <w:spacing w:before="0" w:after="60"/>
        <w:ind w:left="360" w:hanging="288"/>
      </w:pPr>
      <w:r>
        <w:rPr>
          <w:rFonts w:ascii="Calibri" w:hAnsi="Calibri"/>
          <w:b w:val="0"/>
          <w:i w:val="0"/>
          <w:color w:val="28251D"/>
          <w:sz w:val="20"/>
        </w:rPr>
        <w:t>•  Confirm clinical SME to adjudicate injects in real time</w:t>
      </w:r>
    </w:p>
    <w:p>
      <w:pPr>
        <w:spacing w:before="0" w:after="60"/>
        <w:ind w:left="360" w:hanging="288"/>
      </w:pPr>
      <w:r>
        <w:rPr>
          <w:rFonts w:ascii="Calibri" w:hAnsi="Calibri"/>
          <w:b w:val="0"/>
          <w:i w:val="0"/>
          <w:color w:val="28251D"/>
          <w:sz w:val="20"/>
        </w:rPr>
        <w:t>•  Establish media simulation protocol for Phase 2 inject</w:t>
      </w:r>
    </w:p>
    <w:p>
      <w:pPr>
        <w:spacing w:before="0" w:after="60"/>
        <w:ind w:left="360" w:hanging="288"/>
      </w:pPr>
      <w:r>
        <w:rPr>
          <w:rFonts w:ascii="Calibri" w:hAnsi="Calibri"/>
          <w:b w:val="0"/>
          <w:i w:val="0"/>
          <w:color w:val="28251D"/>
          <w:sz w:val="20"/>
        </w:rPr>
        <w:t>•  Draft hotwash and After-Action Report templates before exercise — not after</w:t>
      </w:r>
    </w:p>
    <w:p>
      <w:pPr>
        <w:spacing w:before="0" w:after="60"/>
        <w:ind w:left="360" w:hanging="288"/>
      </w:pPr>
      <w:r>
        <w:rPr>
          <w:rFonts w:ascii="Calibri" w:hAnsi="Calibri"/>
          <w:b w:val="0"/>
          <w:i w:val="0"/>
          <w:color w:val="28251D"/>
          <w:sz w:val="20"/>
        </w:rPr>
        <w:t>•  Secure buy-in from ED leadership, Infection Prevention, Lab, and Hospital Administration</w:t>
      </w:r>
    </w:p>
    <w:p>
      <w:pPr>
        <w:spacing w:before="0" w:after="60"/>
        <w:ind w:left="360" w:hanging="288"/>
      </w:pPr>
      <w:r>
        <w:rPr>
          <w:rFonts w:ascii="Calibri" w:hAnsi="Calibri"/>
          <w:b w:val="0"/>
          <w:i w:val="0"/>
          <w:color w:val="28251D"/>
          <w:sz w:val="20"/>
        </w:rPr>
        <w:t>•  Define legal and privacy constraints that may limit realistic decision-making during the TTX</w:t>
      </w:r>
    </w:p>
    <w:p>
      <w:r>
        <w:br w:type="page"/>
      </w:r>
    </w:p>
    <w:p>
      <w:pPr>
        <w:spacing w:before="280" w:after="80"/>
        <w:jc w:val="left"/>
        <w:pBdr>
          <w:bottom w:val="single" w:sz="8" w:space="1" w:color="01696F"/>
        </w:pBdr>
      </w:pPr>
      <w:r>
        <w:rPr>
          <w:rFonts w:ascii="Calibri" w:hAnsi="Calibri"/>
          <w:b/>
          <w:i w:val="0"/>
          <w:color w:val="01696F"/>
          <w:sz w:val="32"/>
        </w:rPr>
        <w:t>7. Critical Open Questions Registry</w:t>
      </w:r>
    </w:p>
    <w:p>
      <w:pPr>
        <w:spacing w:before="0" w:after="100"/>
        <w:jc w:val="left"/>
      </w:pPr>
      <w:r>
        <w:rPr>
          <w:rFonts w:ascii="Calibri" w:hAnsi="Calibri"/>
          <w:b w:val="0"/>
          <w:i w:val="0"/>
          <w:color w:val="28251D"/>
          <w:sz w:val="20"/>
        </w:rPr>
        <w:t>All questions below require author resolution. HIGH priority items block Phase 1 design work.</w:t>
      </w:r>
    </w:p>
    <w:p>
      <w:pPr>
        <w:spacing w:after="120" w:before="0"/>
      </w:pPr>
    </w:p>
    <w:p>
      <w:pPr>
        <w:spacing w:before="240" w:after="60"/>
        <w:jc w:val="left"/>
      </w:pPr>
      <w:r>
        <w:rPr>
          <w:rFonts w:ascii="Calibri" w:hAnsi="Calibri"/>
          <w:b/>
          <w:i w:val="0"/>
          <w:color w:val="0C4E54"/>
          <w:sz w:val="26"/>
        </w:rPr>
        <w:t>Category 1 — Scenario &amp; Pathogen</w:t>
      </w: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268"/>
        <w:gridCol w:w="2268"/>
        <w:gridCol w:w="2268"/>
        <w:gridCol w:w="2268"/>
      </w:tblGrid>
      <w:tr>
        <w:tc>
          <w:tcPr>
            <w:tcW w:type="dxa" w:w="504"/>
            <w:shd w:val="clear" w:color="auto" w:fill="01696F"/>
            <w:tcMar>
              <w:top w:w="60" w:type="dxa"/>
              <w:bottom w:w="60" w:type="dxa"/>
              <w:left w:w="80" w:type="dxa"/>
              <w:right w:w="80" w:type="dxa"/>
            </w:tcMar>
          </w:tcPr>
          <w:p>
            <w:pPr>
              <w:jc w:val="center"/>
            </w:pPr>
            <w:r>
              <w:rPr>
                <w:rFonts w:ascii="Calibri" w:hAnsi="Calibri"/>
                <w:b/>
                <w:i w:val="0"/>
                <w:color w:val="FFFFFF"/>
                <w:sz w:val="18"/>
              </w:rPr>
              <w:t>#</w:t>
            </w:r>
          </w:p>
        </w:tc>
        <w:tc>
          <w:tcPr>
            <w:tcW w:type="dxa" w:w="2592"/>
            <w:shd w:val="clear" w:color="auto" w:fill="01696F"/>
            <w:tcMar>
              <w:top w:w="60" w:type="dxa"/>
              <w:bottom w:w="60" w:type="dxa"/>
              <w:left w:w="80" w:type="dxa"/>
              <w:right w:w="80" w:type="dxa"/>
            </w:tcMar>
          </w:tcPr>
          <w:p>
            <w:pPr>
              <w:jc w:val="center"/>
            </w:pPr>
            <w:r>
              <w:rPr>
                <w:rFonts w:ascii="Calibri" w:hAnsi="Calibri"/>
                <w:b/>
                <w:i w:val="0"/>
                <w:color w:val="FFFFFF"/>
                <w:sz w:val="18"/>
              </w:rPr>
              <w:t>Question</w:t>
            </w:r>
          </w:p>
        </w:tc>
        <w:tc>
          <w:tcPr>
            <w:tcW w:type="dxa" w:w="4032"/>
            <w:shd w:val="clear" w:color="auto" w:fill="01696F"/>
            <w:tcMar>
              <w:top w:w="60" w:type="dxa"/>
              <w:bottom w:w="60" w:type="dxa"/>
              <w:left w:w="80" w:type="dxa"/>
              <w:right w:w="80" w:type="dxa"/>
            </w:tcMar>
          </w:tcPr>
          <w:p>
            <w:pPr>
              <w:jc w:val="center"/>
            </w:pPr>
            <w:r>
              <w:rPr>
                <w:rFonts w:ascii="Calibri" w:hAnsi="Calibri"/>
                <w:b/>
                <w:i w:val="0"/>
                <w:color w:val="FFFFFF"/>
                <w:sz w:val="18"/>
              </w:rPr>
              <w:t>Options</w:t>
            </w:r>
          </w:p>
        </w:tc>
        <w:tc>
          <w:tcPr>
            <w:tcW w:type="dxa" w:w="792"/>
            <w:shd w:val="clear" w:color="auto" w:fill="01696F"/>
            <w:tcMar>
              <w:top w:w="60" w:type="dxa"/>
              <w:bottom w:w="60" w:type="dxa"/>
              <w:left w:w="80" w:type="dxa"/>
              <w:right w:w="80" w:type="dxa"/>
            </w:tcMar>
          </w:tcPr>
          <w:p>
            <w:pPr>
              <w:jc w:val="center"/>
            </w:pPr>
            <w:r>
              <w:rPr>
                <w:rFonts w:ascii="Calibri" w:hAnsi="Calibri"/>
                <w:b/>
                <w:i w:val="0"/>
                <w:color w:val="FFFFFF"/>
                <w:sz w:val="18"/>
              </w:rPr>
              <w:t>Priority</w:t>
            </w:r>
          </w:p>
        </w:tc>
      </w:tr>
      <w:tr>
        <w:tc>
          <w:tcPr>
            <w:tcW w:type="dxa" w:w="504"/>
            <w:shd w:val="clear" w:color="auto" w:fill="FFFFFF"/>
            <w:tcMar>
              <w:top w:w="60" w:type="dxa"/>
              <w:bottom w:w="60" w:type="dxa"/>
              <w:left w:w="80" w:type="dxa"/>
              <w:right w:w="80" w:type="dxa"/>
            </w:tcMar>
            <w:vAlign w:val="top"/>
          </w:tcPr>
          <w:p>
            <w:r>
              <w:rPr>
                <w:rFonts w:ascii="Calibri" w:hAnsi="Calibri"/>
                <w:b w:val="0"/>
                <w:i w:val="0"/>
                <w:color w:val="28251D"/>
                <w:sz w:val="18"/>
              </w:rPr>
              <w:t>Q1</w:t>
            </w:r>
          </w:p>
        </w:tc>
        <w:tc>
          <w:tcPr>
            <w:tcW w:type="dxa" w:w="2592"/>
            <w:shd w:val="clear" w:color="auto" w:fill="FFFFFF"/>
            <w:tcMar>
              <w:top w:w="60" w:type="dxa"/>
              <w:bottom w:w="60" w:type="dxa"/>
              <w:left w:w="80" w:type="dxa"/>
              <w:right w:w="80" w:type="dxa"/>
            </w:tcMar>
            <w:vAlign w:val="top"/>
          </w:tcPr>
          <w:p>
            <w:r>
              <w:rPr>
                <w:rFonts w:ascii="Calibri" w:hAnsi="Calibri"/>
                <w:b w:val="0"/>
                <w:i w:val="0"/>
                <w:color w:val="28251D"/>
                <w:sz w:val="18"/>
              </w:rPr>
              <w:t>What type of pathogen?</w:t>
            </w:r>
          </w:p>
        </w:tc>
        <w:tc>
          <w:tcPr>
            <w:tcW w:type="dxa" w:w="4032"/>
            <w:shd w:val="clear" w:color="auto" w:fill="FFFFFF"/>
            <w:tcMar>
              <w:top w:w="60" w:type="dxa"/>
              <w:bottom w:w="60" w:type="dxa"/>
              <w:left w:w="80" w:type="dxa"/>
              <w:right w:w="80" w:type="dxa"/>
            </w:tcMar>
            <w:vAlign w:val="top"/>
          </w:tcPr>
          <w:p>
            <w:r>
              <w:rPr>
                <w:rFonts w:ascii="Calibri" w:hAnsi="Calibri"/>
                <w:b w:val="0"/>
                <w:i w:val="0"/>
                <w:color w:val="28251D"/>
                <w:sz w:val="18"/>
              </w:rPr>
              <w:t>Novel respiratory virus / Unknown zoonotic / Vector-borne / Bacterial / Hemorrhagic fever / "Disease X"</w:t>
            </w:r>
          </w:p>
        </w:tc>
        <w:tc>
          <w:tcPr>
            <w:tcW w:type="dxa" w:w="792"/>
            <w:shd w:val="clear" w:color="auto" w:fill="FFFFFF"/>
            <w:tcMar>
              <w:top w:w="60" w:type="dxa"/>
              <w:bottom w:w="60" w:type="dxa"/>
              <w:left w:w="80" w:type="dxa"/>
              <w:right w:w="80" w:type="dxa"/>
            </w:tcMar>
            <w:vAlign w:val="top"/>
          </w:tcPr>
          <w:p>
            <w:r>
              <w:rPr>
                <w:rFonts w:ascii="Calibri" w:hAnsi="Calibri"/>
                <w:b w:val="0"/>
                <w:i w:val="0"/>
                <w:color w:val="28251D"/>
                <w:sz w:val="18"/>
              </w:rPr>
              <w:t>HIGH</w:t>
            </w:r>
          </w:p>
        </w:tc>
      </w:tr>
      <w:tr>
        <w:tc>
          <w:tcPr>
            <w:tcW w:type="dxa" w:w="504"/>
            <w:shd w:val="clear" w:color="auto" w:fill="F2F6F6"/>
            <w:tcMar>
              <w:top w:w="60" w:type="dxa"/>
              <w:bottom w:w="60" w:type="dxa"/>
              <w:left w:w="80" w:type="dxa"/>
              <w:right w:w="80" w:type="dxa"/>
            </w:tcMar>
            <w:vAlign w:val="top"/>
          </w:tcPr>
          <w:p>
            <w:r>
              <w:rPr>
                <w:rFonts w:ascii="Calibri" w:hAnsi="Calibri"/>
                <w:b w:val="0"/>
                <w:i w:val="0"/>
                <w:color w:val="28251D"/>
                <w:sz w:val="18"/>
              </w:rPr>
              <w:t>Q2</w:t>
            </w:r>
          </w:p>
        </w:tc>
        <w:tc>
          <w:tcPr>
            <w:tcW w:type="dxa" w:w="2592"/>
            <w:shd w:val="clear" w:color="auto" w:fill="F2F6F6"/>
            <w:tcMar>
              <w:top w:w="60" w:type="dxa"/>
              <w:bottom w:w="60" w:type="dxa"/>
              <w:left w:w="80" w:type="dxa"/>
              <w:right w:w="80" w:type="dxa"/>
            </w:tcMar>
            <w:vAlign w:val="top"/>
          </w:tcPr>
          <w:p>
            <w:r>
              <w:rPr>
                <w:rFonts w:ascii="Calibri" w:hAnsi="Calibri"/>
                <w:b w:val="0"/>
                <w:i w:val="0"/>
                <w:color w:val="28251D"/>
                <w:sz w:val="18"/>
              </w:rPr>
              <w:t>Natural or engineered?</w:t>
            </w:r>
          </w:p>
        </w:tc>
        <w:tc>
          <w:tcPr>
            <w:tcW w:type="dxa" w:w="4032"/>
            <w:shd w:val="clear" w:color="auto" w:fill="F2F6F6"/>
            <w:tcMar>
              <w:top w:w="60" w:type="dxa"/>
              <w:bottom w:w="60" w:type="dxa"/>
              <w:left w:w="80" w:type="dxa"/>
              <w:right w:w="80" w:type="dxa"/>
            </w:tcMar>
            <w:vAlign w:val="top"/>
          </w:tcPr>
          <w:p>
            <w:r>
              <w:rPr>
                <w:rFonts w:ascii="Calibri" w:hAnsi="Calibri"/>
                <w:b w:val="0"/>
                <w:i w:val="0"/>
                <w:color w:val="28251D"/>
                <w:sz w:val="18"/>
              </w:rPr>
              <w:t>Natural spillover / Suspected engineered / Ambiguous</w:t>
            </w:r>
          </w:p>
        </w:tc>
        <w:tc>
          <w:tcPr>
            <w:tcW w:type="dxa" w:w="792"/>
            <w:shd w:val="clear" w:color="auto" w:fill="F2F6F6"/>
            <w:tcMar>
              <w:top w:w="60" w:type="dxa"/>
              <w:bottom w:w="60" w:type="dxa"/>
              <w:left w:w="80" w:type="dxa"/>
              <w:right w:w="80" w:type="dxa"/>
            </w:tcMar>
            <w:vAlign w:val="top"/>
          </w:tcPr>
          <w:p>
            <w:r>
              <w:rPr>
                <w:rFonts w:ascii="Calibri" w:hAnsi="Calibri"/>
                <w:b w:val="0"/>
                <w:i w:val="0"/>
                <w:color w:val="28251D"/>
                <w:sz w:val="18"/>
              </w:rPr>
              <w:t>HIGH</w:t>
            </w:r>
          </w:p>
        </w:tc>
      </w:tr>
      <w:tr>
        <w:tc>
          <w:tcPr>
            <w:tcW w:type="dxa" w:w="504"/>
            <w:shd w:val="clear" w:color="auto" w:fill="FFFFFF"/>
            <w:tcMar>
              <w:top w:w="60" w:type="dxa"/>
              <w:bottom w:w="60" w:type="dxa"/>
              <w:left w:w="80" w:type="dxa"/>
              <w:right w:w="80" w:type="dxa"/>
            </w:tcMar>
            <w:vAlign w:val="top"/>
          </w:tcPr>
          <w:p>
            <w:r>
              <w:rPr>
                <w:rFonts w:ascii="Calibri" w:hAnsi="Calibri"/>
                <w:b w:val="0"/>
                <w:i w:val="0"/>
                <w:color w:val="28251D"/>
                <w:sz w:val="18"/>
              </w:rPr>
              <w:t>Q3</w:t>
            </w:r>
          </w:p>
        </w:tc>
        <w:tc>
          <w:tcPr>
            <w:tcW w:type="dxa" w:w="2592"/>
            <w:shd w:val="clear" w:color="auto" w:fill="FFFFFF"/>
            <w:tcMar>
              <w:top w:w="60" w:type="dxa"/>
              <w:bottom w:w="60" w:type="dxa"/>
              <w:left w:w="80" w:type="dxa"/>
              <w:right w:w="80" w:type="dxa"/>
            </w:tcMar>
            <w:vAlign w:val="top"/>
          </w:tcPr>
          <w:p>
            <w:r>
              <w:rPr>
                <w:rFonts w:ascii="Calibri" w:hAnsi="Calibri"/>
                <w:b w:val="0"/>
                <w:i w:val="0"/>
                <w:color w:val="28251D"/>
                <w:sz w:val="18"/>
              </w:rPr>
              <w:t>Transmission mode?</w:t>
            </w:r>
          </w:p>
        </w:tc>
        <w:tc>
          <w:tcPr>
            <w:tcW w:type="dxa" w:w="4032"/>
            <w:shd w:val="clear" w:color="auto" w:fill="FFFFFF"/>
            <w:tcMar>
              <w:top w:w="60" w:type="dxa"/>
              <w:bottom w:w="60" w:type="dxa"/>
              <w:left w:w="80" w:type="dxa"/>
              <w:right w:w="80" w:type="dxa"/>
            </w:tcMar>
            <w:vAlign w:val="top"/>
          </w:tcPr>
          <w:p>
            <w:r>
              <w:rPr>
                <w:rFonts w:ascii="Calibri" w:hAnsi="Calibri"/>
                <w:b w:val="0"/>
                <w:i w:val="0"/>
                <w:color w:val="28251D"/>
                <w:sz w:val="18"/>
              </w:rPr>
              <w:t>Airborne / Droplet / Contact / Vector / Waterborne / Multi-modal</w:t>
            </w:r>
          </w:p>
        </w:tc>
        <w:tc>
          <w:tcPr>
            <w:tcW w:type="dxa" w:w="792"/>
            <w:shd w:val="clear" w:color="auto" w:fill="FFFFFF"/>
            <w:tcMar>
              <w:top w:w="60" w:type="dxa"/>
              <w:bottom w:w="60" w:type="dxa"/>
              <w:left w:w="80" w:type="dxa"/>
              <w:right w:w="80" w:type="dxa"/>
            </w:tcMar>
            <w:vAlign w:val="top"/>
          </w:tcPr>
          <w:p>
            <w:r>
              <w:rPr>
                <w:rFonts w:ascii="Calibri" w:hAnsi="Calibri"/>
                <w:b w:val="0"/>
                <w:i w:val="0"/>
                <w:color w:val="28251D"/>
                <w:sz w:val="18"/>
              </w:rPr>
              <w:t>HIGH</w:t>
            </w:r>
          </w:p>
        </w:tc>
      </w:tr>
      <w:tr>
        <w:tc>
          <w:tcPr>
            <w:tcW w:type="dxa" w:w="504"/>
            <w:shd w:val="clear" w:color="auto" w:fill="F2F6F6"/>
            <w:tcMar>
              <w:top w:w="60" w:type="dxa"/>
              <w:bottom w:w="60" w:type="dxa"/>
              <w:left w:w="80" w:type="dxa"/>
              <w:right w:w="80" w:type="dxa"/>
            </w:tcMar>
            <w:vAlign w:val="top"/>
          </w:tcPr>
          <w:p>
            <w:r>
              <w:rPr>
                <w:rFonts w:ascii="Calibri" w:hAnsi="Calibri"/>
                <w:b w:val="0"/>
                <w:i w:val="0"/>
                <w:color w:val="28251D"/>
                <w:sz w:val="18"/>
              </w:rPr>
              <w:t>Q4</w:t>
            </w:r>
          </w:p>
        </w:tc>
        <w:tc>
          <w:tcPr>
            <w:tcW w:type="dxa" w:w="2592"/>
            <w:shd w:val="clear" w:color="auto" w:fill="F2F6F6"/>
            <w:tcMar>
              <w:top w:w="60" w:type="dxa"/>
              <w:bottom w:w="60" w:type="dxa"/>
              <w:left w:w="80" w:type="dxa"/>
              <w:right w:w="80" w:type="dxa"/>
            </w:tcMar>
            <w:vAlign w:val="top"/>
          </w:tcPr>
          <w:p>
            <w:r>
              <w:rPr>
                <w:rFonts w:ascii="Calibri" w:hAnsi="Calibri"/>
                <w:b w:val="0"/>
                <w:i w:val="0"/>
                <w:color w:val="28251D"/>
                <w:sz w:val="18"/>
              </w:rPr>
              <w:t>Severity profile?</w:t>
            </w:r>
          </w:p>
        </w:tc>
        <w:tc>
          <w:tcPr>
            <w:tcW w:type="dxa" w:w="4032"/>
            <w:shd w:val="clear" w:color="auto" w:fill="F2F6F6"/>
            <w:tcMar>
              <w:top w:w="60" w:type="dxa"/>
              <w:bottom w:w="60" w:type="dxa"/>
              <w:left w:w="80" w:type="dxa"/>
              <w:right w:w="80" w:type="dxa"/>
            </w:tcMar>
            <w:vAlign w:val="top"/>
          </w:tcPr>
          <w:p>
            <w:r>
              <w:rPr>
                <w:rFonts w:ascii="Calibri" w:hAnsi="Calibri"/>
                <w:b w:val="0"/>
                <w:i w:val="0"/>
                <w:color w:val="28251D"/>
                <w:sz w:val="18"/>
              </w:rPr>
              <w:t>High transmissibility, moderate mortality / Low transmissibility, high mortality / Variable</w:t>
            </w:r>
          </w:p>
        </w:tc>
        <w:tc>
          <w:tcPr>
            <w:tcW w:type="dxa" w:w="792"/>
            <w:shd w:val="clear" w:color="auto" w:fill="F2F6F6"/>
            <w:tcMar>
              <w:top w:w="60" w:type="dxa"/>
              <w:bottom w:w="60" w:type="dxa"/>
              <w:left w:w="80" w:type="dxa"/>
              <w:right w:w="80" w:type="dxa"/>
            </w:tcMar>
            <w:vAlign w:val="top"/>
          </w:tcPr>
          <w:p>
            <w:r>
              <w:rPr>
                <w:rFonts w:ascii="Calibri" w:hAnsi="Calibri"/>
                <w:b w:val="0"/>
                <w:i w:val="0"/>
                <w:color w:val="28251D"/>
                <w:sz w:val="18"/>
              </w:rPr>
              <w:t>HIGH</w:t>
            </w:r>
          </w:p>
        </w:tc>
      </w:tr>
      <w:tr>
        <w:tc>
          <w:tcPr>
            <w:tcW w:type="dxa" w:w="504"/>
            <w:shd w:val="clear" w:color="auto" w:fill="FFFFFF"/>
            <w:tcMar>
              <w:top w:w="60" w:type="dxa"/>
              <w:bottom w:w="60" w:type="dxa"/>
              <w:left w:w="80" w:type="dxa"/>
              <w:right w:w="80" w:type="dxa"/>
            </w:tcMar>
            <w:vAlign w:val="top"/>
          </w:tcPr>
          <w:p>
            <w:r>
              <w:rPr>
                <w:rFonts w:ascii="Calibri" w:hAnsi="Calibri"/>
                <w:b w:val="0"/>
                <w:i w:val="0"/>
                <w:color w:val="28251D"/>
                <w:sz w:val="18"/>
              </w:rPr>
              <w:t>Q5</w:t>
            </w:r>
          </w:p>
        </w:tc>
        <w:tc>
          <w:tcPr>
            <w:tcW w:type="dxa" w:w="2592"/>
            <w:shd w:val="clear" w:color="auto" w:fill="FFFFFF"/>
            <w:tcMar>
              <w:top w:w="60" w:type="dxa"/>
              <w:bottom w:w="60" w:type="dxa"/>
              <w:left w:w="80" w:type="dxa"/>
              <w:right w:w="80" w:type="dxa"/>
            </w:tcMar>
            <w:vAlign w:val="top"/>
          </w:tcPr>
          <w:p>
            <w:r>
              <w:rPr>
                <w:rFonts w:ascii="Calibri" w:hAnsi="Calibri"/>
                <w:b w:val="0"/>
                <w:i w:val="0"/>
                <w:color w:val="28251D"/>
                <w:sz w:val="18"/>
              </w:rPr>
              <w:t>Incubation period?</w:t>
            </w:r>
          </w:p>
        </w:tc>
        <w:tc>
          <w:tcPr>
            <w:tcW w:type="dxa" w:w="4032"/>
            <w:shd w:val="clear" w:color="auto" w:fill="FFFFFF"/>
            <w:tcMar>
              <w:top w:w="60" w:type="dxa"/>
              <w:bottom w:w="60" w:type="dxa"/>
              <w:left w:w="80" w:type="dxa"/>
              <w:right w:w="80" w:type="dxa"/>
            </w:tcMar>
            <w:vAlign w:val="top"/>
          </w:tcPr>
          <w:p>
            <w:r>
              <w:rPr>
                <w:rFonts w:ascii="Calibri" w:hAnsi="Calibri"/>
                <w:b w:val="0"/>
                <w:i w:val="0"/>
                <w:color w:val="28251D"/>
                <w:sz w:val="18"/>
              </w:rPr>
              <w:t>24-48 hours (fast) / 2-10 days (moderate) / 2-3 weeks (slow)</w:t>
            </w:r>
          </w:p>
        </w:tc>
        <w:tc>
          <w:tcPr>
            <w:tcW w:type="dxa" w:w="792"/>
            <w:shd w:val="clear" w:color="auto" w:fill="FFFFFF"/>
            <w:tcMar>
              <w:top w:w="60" w:type="dxa"/>
              <w:bottom w:w="60" w:type="dxa"/>
              <w:left w:w="80" w:type="dxa"/>
              <w:right w:w="80" w:type="dxa"/>
            </w:tcMar>
            <w:vAlign w:val="top"/>
          </w:tcPr>
          <w:p>
            <w:r>
              <w:rPr>
                <w:rFonts w:ascii="Calibri" w:hAnsi="Calibri"/>
                <w:b w:val="0"/>
                <w:i w:val="0"/>
                <w:color w:val="28251D"/>
                <w:sz w:val="18"/>
              </w:rPr>
              <w:t>HIGH</w:t>
            </w:r>
          </w:p>
        </w:tc>
      </w:tr>
      <w:tr>
        <w:tc>
          <w:tcPr>
            <w:tcW w:type="dxa" w:w="504"/>
            <w:shd w:val="clear" w:color="auto" w:fill="F2F6F6"/>
            <w:tcMar>
              <w:top w:w="60" w:type="dxa"/>
              <w:bottom w:w="60" w:type="dxa"/>
              <w:left w:w="80" w:type="dxa"/>
              <w:right w:w="80" w:type="dxa"/>
            </w:tcMar>
            <w:vAlign w:val="top"/>
          </w:tcPr>
          <w:p>
            <w:r>
              <w:rPr>
                <w:rFonts w:ascii="Calibri" w:hAnsi="Calibri"/>
                <w:b w:val="0"/>
                <w:i w:val="0"/>
                <w:color w:val="28251D"/>
                <w:sz w:val="18"/>
              </w:rPr>
              <w:t>Q6</w:t>
            </w:r>
          </w:p>
        </w:tc>
        <w:tc>
          <w:tcPr>
            <w:tcW w:type="dxa" w:w="2592"/>
            <w:shd w:val="clear" w:color="auto" w:fill="F2F6F6"/>
            <w:tcMar>
              <w:top w:w="60" w:type="dxa"/>
              <w:bottom w:w="60" w:type="dxa"/>
              <w:left w:w="80" w:type="dxa"/>
              <w:right w:w="80" w:type="dxa"/>
            </w:tcMar>
            <w:vAlign w:val="top"/>
          </w:tcPr>
          <w:p>
            <w:r>
              <w:rPr>
                <w:rFonts w:ascii="Calibri" w:hAnsi="Calibri"/>
                <w:b w:val="0"/>
                <w:i w:val="0"/>
                <w:color w:val="28251D"/>
                <w:sz w:val="18"/>
              </w:rPr>
              <w:t>Do standard rapid diagnostics identify it?</w:t>
            </w:r>
          </w:p>
        </w:tc>
        <w:tc>
          <w:tcPr>
            <w:tcW w:type="dxa" w:w="4032"/>
            <w:shd w:val="clear" w:color="auto" w:fill="F2F6F6"/>
            <w:tcMar>
              <w:top w:w="60" w:type="dxa"/>
              <w:bottom w:w="60" w:type="dxa"/>
              <w:left w:w="80" w:type="dxa"/>
              <w:right w:w="80" w:type="dxa"/>
            </w:tcMar>
            <w:vAlign w:val="top"/>
          </w:tcPr>
          <w:p>
            <w:r>
              <w:rPr>
                <w:rFonts w:ascii="Calibri" w:hAnsi="Calibri"/>
                <w:b w:val="0"/>
                <w:i w:val="0"/>
                <w:color w:val="28251D"/>
                <w:sz w:val="18"/>
              </w:rPr>
              <w:t>Yes / No (negative) / Inconclusive / Test-dependent</w:t>
            </w:r>
          </w:p>
        </w:tc>
        <w:tc>
          <w:tcPr>
            <w:tcW w:type="dxa" w:w="792"/>
            <w:shd w:val="clear" w:color="auto" w:fill="F2F6F6"/>
            <w:tcMar>
              <w:top w:w="60" w:type="dxa"/>
              <w:bottom w:w="60" w:type="dxa"/>
              <w:left w:w="80" w:type="dxa"/>
              <w:right w:w="80" w:type="dxa"/>
            </w:tcMar>
            <w:vAlign w:val="top"/>
          </w:tcPr>
          <w:p>
            <w:r>
              <w:rPr>
                <w:rFonts w:ascii="Calibri" w:hAnsi="Calibri"/>
                <w:b w:val="0"/>
                <w:i w:val="0"/>
                <w:color w:val="28251D"/>
                <w:sz w:val="18"/>
              </w:rPr>
              <w:t>HIGH</w:t>
            </w:r>
          </w:p>
        </w:tc>
      </w:tr>
    </w:tbl>
    <w:p/>
    <w:p>
      <w:pPr>
        <w:spacing w:after="120" w:before="0"/>
      </w:pPr>
    </w:p>
    <w:p>
      <w:pPr>
        <w:spacing w:before="240" w:after="60"/>
        <w:jc w:val="left"/>
      </w:pPr>
      <w:r>
        <w:rPr>
          <w:rFonts w:ascii="Calibri" w:hAnsi="Calibri"/>
          <w:b/>
          <w:i w:val="0"/>
          <w:color w:val="0C4E54"/>
          <w:sz w:val="26"/>
        </w:rPr>
        <w:t>Category 2 — Scope &amp; Scale</w:t>
      </w: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268"/>
        <w:gridCol w:w="2268"/>
        <w:gridCol w:w="2268"/>
        <w:gridCol w:w="2268"/>
      </w:tblGrid>
      <w:tr>
        <w:tc>
          <w:tcPr>
            <w:tcW w:type="dxa" w:w="504"/>
            <w:shd w:val="clear" w:color="auto" w:fill="01696F"/>
            <w:tcMar>
              <w:top w:w="60" w:type="dxa"/>
              <w:bottom w:w="60" w:type="dxa"/>
              <w:left w:w="80" w:type="dxa"/>
              <w:right w:w="80" w:type="dxa"/>
            </w:tcMar>
          </w:tcPr>
          <w:p>
            <w:pPr>
              <w:jc w:val="center"/>
            </w:pPr>
            <w:r>
              <w:rPr>
                <w:rFonts w:ascii="Calibri" w:hAnsi="Calibri"/>
                <w:b/>
                <w:i w:val="0"/>
                <w:color w:val="FFFFFF"/>
                <w:sz w:val="18"/>
              </w:rPr>
              <w:t>#</w:t>
            </w:r>
          </w:p>
        </w:tc>
        <w:tc>
          <w:tcPr>
            <w:tcW w:type="dxa" w:w="2592"/>
            <w:shd w:val="clear" w:color="auto" w:fill="01696F"/>
            <w:tcMar>
              <w:top w:w="60" w:type="dxa"/>
              <w:bottom w:w="60" w:type="dxa"/>
              <w:left w:w="80" w:type="dxa"/>
              <w:right w:w="80" w:type="dxa"/>
            </w:tcMar>
          </w:tcPr>
          <w:p>
            <w:pPr>
              <w:jc w:val="center"/>
            </w:pPr>
            <w:r>
              <w:rPr>
                <w:rFonts w:ascii="Calibri" w:hAnsi="Calibri"/>
                <w:b/>
                <w:i w:val="0"/>
                <w:color w:val="FFFFFF"/>
                <w:sz w:val="18"/>
              </w:rPr>
              <w:t>Question</w:t>
            </w:r>
          </w:p>
        </w:tc>
        <w:tc>
          <w:tcPr>
            <w:tcW w:type="dxa" w:w="4032"/>
            <w:shd w:val="clear" w:color="auto" w:fill="01696F"/>
            <w:tcMar>
              <w:top w:w="60" w:type="dxa"/>
              <w:bottom w:w="60" w:type="dxa"/>
              <w:left w:w="80" w:type="dxa"/>
              <w:right w:w="80" w:type="dxa"/>
            </w:tcMar>
          </w:tcPr>
          <w:p>
            <w:pPr>
              <w:jc w:val="center"/>
            </w:pPr>
            <w:r>
              <w:rPr>
                <w:rFonts w:ascii="Calibri" w:hAnsi="Calibri"/>
                <w:b/>
                <w:i w:val="0"/>
                <w:color w:val="FFFFFF"/>
                <w:sz w:val="18"/>
              </w:rPr>
              <w:t>Options</w:t>
            </w:r>
          </w:p>
        </w:tc>
        <w:tc>
          <w:tcPr>
            <w:tcW w:type="dxa" w:w="792"/>
            <w:shd w:val="clear" w:color="auto" w:fill="01696F"/>
            <w:tcMar>
              <w:top w:w="60" w:type="dxa"/>
              <w:bottom w:w="60" w:type="dxa"/>
              <w:left w:w="80" w:type="dxa"/>
              <w:right w:w="80" w:type="dxa"/>
            </w:tcMar>
          </w:tcPr>
          <w:p>
            <w:pPr>
              <w:jc w:val="center"/>
            </w:pPr>
            <w:r>
              <w:rPr>
                <w:rFonts w:ascii="Calibri" w:hAnsi="Calibri"/>
                <w:b/>
                <w:i w:val="0"/>
                <w:color w:val="FFFFFF"/>
                <w:sz w:val="18"/>
              </w:rPr>
              <w:t>Priority</w:t>
            </w:r>
          </w:p>
        </w:tc>
      </w:tr>
      <w:tr>
        <w:tc>
          <w:tcPr>
            <w:tcW w:type="dxa" w:w="504"/>
            <w:shd w:val="clear" w:color="auto" w:fill="FFFFFF"/>
            <w:tcMar>
              <w:top w:w="60" w:type="dxa"/>
              <w:bottom w:w="60" w:type="dxa"/>
              <w:left w:w="80" w:type="dxa"/>
              <w:right w:w="80" w:type="dxa"/>
            </w:tcMar>
            <w:vAlign w:val="top"/>
          </w:tcPr>
          <w:p>
            <w:r>
              <w:rPr>
                <w:rFonts w:ascii="Calibri" w:hAnsi="Calibri"/>
                <w:b w:val="0"/>
                <w:i w:val="0"/>
                <w:color w:val="28251D"/>
                <w:sz w:val="18"/>
              </w:rPr>
              <w:t>Q7</w:t>
            </w:r>
          </w:p>
        </w:tc>
        <w:tc>
          <w:tcPr>
            <w:tcW w:type="dxa" w:w="2592"/>
            <w:shd w:val="clear" w:color="auto" w:fill="FFFFFF"/>
            <w:tcMar>
              <w:top w:w="60" w:type="dxa"/>
              <w:bottom w:w="60" w:type="dxa"/>
              <w:left w:w="80" w:type="dxa"/>
              <w:right w:w="80" w:type="dxa"/>
            </w:tcMar>
            <w:vAlign w:val="top"/>
          </w:tcPr>
          <w:p>
            <w:r>
              <w:rPr>
                <w:rFonts w:ascii="Calibri" w:hAnsi="Calibri"/>
                <w:b w:val="0"/>
                <w:i w:val="0"/>
                <w:color w:val="28251D"/>
                <w:sz w:val="18"/>
              </w:rPr>
              <w:t>Geographic scope?</w:t>
            </w:r>
          </w:p>
        </w:tc>
        <w:tc>
          <w:tcPr>
            <w:tcW w:type="dxa" w:w="4032"/>
            <w:shd w:val="clear" w:color="auto" w:fill="FFFFFF"/>
            <w:tcMar>
              <w:top w:w="60" w:type="dxa"/>
              <w:bottom w:w="60" w:type="dxa"/>
              <w:left w:w="80" w:type="dxa"/>
              <w:right w:w="80" w:type="dxa"/>
            </w:tcMar>
            <w:vAlign w:val="top"/>
          </w:tcPr>
          <w:p>
            <w:r>
              <w:rPr>
                <w:rFonts w:ascii="Calibri" w:hAnsi="Calibri"/>
                <w:b w:val="0"/>
                <w:i w:val="0"/>
                <w:color w:val="28251D"/>
                <w:sz w:val="18"/>
              </w:rPr>
              <w:t>Single hospital / Multi-hospital / County / Regional / State / National</w:t>
            </w:r>
          </w:p>
        </w:tc>
        <w:tc>
          <w:tcPr>
            <w:tcW w:type="dxa" w:w="792"/>
            <w:shd w:val="clear" w:color="auto" w:fill="FFFFFF"/>
            <w:tcMar>
              <w:top w:w="60" w:type="dxa"/>
              <w:bottom w:w="60" w:type="dxa"/>
              <w:left w:w="80" w:type="dxa"/>
              <w:right w:w="80" w:type="dxa"/>
            </w:tcMar>
            <w:vAlign w:val="top"/>
          </w:tcPr>
          <w:p>
            <w:r>
              <w:rPr>
                <w:rFonts w:ascii="Calibri" w:hAnsi="Calibri"/>
                <w:b w:val="0"/>
                <w:i w:val="0"/>
                <w:color w:val="28251D"/>
                <w:sz w:val="18"/>
              </w:rPr>
              <w:t>HIGH</w:t>
            </w:r>
          </w:p>
        </w:tc>
      </w:tr>
      <w:tr>
        <w:tc>
          <w:tcPr>
            <w:tcW w:type="dxa" w:w="504"/>
            <w:shd w:val="clear" w:color="auto" w:fill="F2F6F6"/>
            <w:tcMar>
              <w:top w:w="60" w:type="dxa"/>
              <w:bottom w:w="60" w:type="dxa"/>
              <w:left w:w="80" w:type="dxa"/>
              <w:right w:w="80" w:type="dxa"/>
            </w:tcMar>
            <w:vAlign w:val="top"/>
          </w:tcPr>
          <w:p>
            <w:r>
              <w:rPr>
                <w:rFonts w:ascii="Calibri" w:hAnsi="Calibri"/>
                <w:b w:val="0"/>
                <w:i w:val="0"/>
                <w:color w:val="28251D"/>
                <w:sz w:val="18"/>
              </w:rPr>
              <w:t>Q8</w:t>
            </w:r>
          </w:p>
        </w:tc>
        <w:tc>
          <w:tcPr>
            <w:tcW w:type="dxa" w:w="2592"/>
            <w:shd w:val="clear" w:color="auto" w:fill="F2F6F6"/>
            <w:tcMar>
              <w:top w:w="60" w:type="dxa"/>
              <w:bottom w:w="60" w:type="dxa"/>
              <w:left w:w="80" w:type="dxa"/>
              <w:right w:w="80" w:type="dxa"/>
            </w:tcMar>
            <w:vAlign w:val="top"/>
          </w:tcPr>
          <w:p>
            <w:r>
              <w:rPr>
                <w:rFonts w:ascii="Calibri" w:hAnsi="Calibri"/>
                <w:b w:val="0"/>
                <w:i w:val="0"/>
                <w:color w:val="28251D"/>
                <w:sz w:val="18"/>
              </w:rPr>
              <w:t>Primary organization being tested?</w:t>
            </w:r>
          </w:p>
        </w:tc>
        <w:tc>
          <w:tcPr>
            <w:tcW w:type="dxa" w:w="4032"/>
            <w:shd w:val="clear" w:color="auto" w:fill="F2F6F6"/>
            <w:tcMar>
              <w:top w:w="60" w:type="dxa"/>
              <w:bottom w:w="60" w:type="dxa"/>
              <w:left w:w="80" w:type="dxa"/>
              <w:right w:w="80" w:type="dxa"/>
            </w:tcMar>
            <w:vAlign w:val="top"/>
          </w:tcPr>
          <w:p>
            <w:r>
              <w:rPr>
                <w:rFonts w:ascii="Calibri" w:hAnsi="Calibri"/>
                <w:b w:val="0"/>
                <w:i w:val="0"/>
                <w:color w:val="28251D"/>
                <w:sz w:val="18"/>
              </w:rPr>
              <w:t>Hospital clinical operations / County public health / Joint hospital + county / Multi-agency coalition</w:t>
            </w:r>
          </w:p>
        </w:tc>
        <w:tc>
          <w:tcPr>
            <w:tcW w:type="dxa" w:w="792"/>
            <w:shd w:val="clear" w:color="auto" w:fill="F2F6F6"/>
            <w:tcMar>
              <w:top w:w="60" w:type="dxa"/>
              <w:bottom w:w="60" w:type="dxa"/>
              <w:left w:w="80" w:type="dxa"/>
              <w:right w:w="80" w:type="dxa"/>
            </w:tcMar>
            <w:vAlign w:val="top"/>
          </w:tcPr>
          <w:p>
            <w:r>
              <w:rPr>
                <w:rFonts w:ascii="Calibri" w:hAnsi="Calibri"/>
                <w:b w:val="0"/>
                <w:i w:val="0"/>
                <w:color w:val="28251D"/>
                <w:sz w:val="18"/>
              </w:rPr>
              <w:t>HIGH</w:t>
            </w:r>
          </w:p>
        </w:tc>
      </w:tr>
      <w:tr>
        <w:tc>
          <w:tcPr>
            <w:tcW w:type="dxa" w:w="504"/>
            <w:shd w:val="clear" w:color="auto" w:fill="FFFFFF"/>
            <w:tcMar>
              <w:top w:w="60" w:type="dxa"/>
              <w:bottom w:w="60" w:type="dxa"/>
              <w:left w:w="80" w:type="dxa"/>
              <w:right w:w="80" w:type="dxa"/>
            </w:tcMar>
            <w:vAlign w:val="top"/>
          </w:tcPr>
          <w:p>
            <w:r>
              <w:rPr>
                <w:rFonts w:ascii="Calibri" w:hAnsi="Calibri"/>
                <w:b w:val="0"/>
                <w:i w:val="0"/>
                <w:color w:val="28251D"/>
                <w:sz w:val="18"/>
              </w:rPr>
              <w:t>Q9</w:t>
            </w:r>
          </w:p>
        </w:tc>
        <w:tc>
          <w:tcPr>
            <w:tcW w:type="dxa" w:w="2592"/>
            <w:shd w:val="clear" w:color="auto" w:fill="FFFFFF"/>
            <w:tcMar>
              <w:top w:w="60" w:type="dxa"/>
              <w:bottom w:w="60" w:type="dxa"/>
              <w:left w:w="80" w:type="dxa"/>
              <w:right w:w="80" w:type="dxa"/>
            </w:tcMar>
            <w:vAlign w:val="top"/>
          </w:tcPr>
          <w:p>
            <w:r>
              <w:rPr>
                <w:rFonts w:ascii="Calibri" w:hAnsi="Calibri"/>
                <w:b w:val="0"/>
                <w:i w:val="0"/>
                <w:color w:val="28251D"/>
                <w:sz w:val="18"/>
              </w:rPr>
              <w:t>Include federal agency simulation?</w:t>
            </w:r>
          </w:p>
        </w:tc>
        <w:tc>
          <w:tcPr>
            <w:tcW w:type="dxa" w:w="4032"/>
            <w:shd w:val="clear" w:color="auto" w:fill="FFFFFF"/>
            <w:tcMar>
              <w:top w:w="60" w:type="dxa"/>
              <w:bottom w:w="60" w:type="dxa"/>
              <w:left w:w="80" w:type="dxa"/>
              <w:right w:w="80" w:type="dxa"/>
            </w:tcMar>
            <w:vAlign w:val="top"/>
          </w:tcPr>
          <w:p>
            <w:r>
              <w:rPr>
                <w:rFonts w:ascii="Calibri" w:hAnsi="Calibri"/>
                <w:b w:val="0"/>
                <w:i w:val="0"/>
                <w:color w:val="28251D"/>
                <w:sz w:val="18"/>
              </w:rPr>
              <w:t>Yes (CDC, HHS, FEMA as simulators) / No / Optional inject</w:t>
            </w:r>
          </w:p>
        </w:tc>
        <w:tc>
          <w:tcPr>
            <w:tcW w:type="dxa" w:w="792"/>
            <w:shd w:val="clear" w:color="auto" w:fill="FFFFFF"/>
            <w:tcMar>
              <w:top w:w="60" w:type="dxa"/>
              <w:bottom w:w="60" w:type="dxa"/>
              <w:left w:w="80" w:type="dxa"/>
              <w:right w:w="80" w:type="dxa"/>
            </w:tcMar>
            <w:vAlign w:val="top"/>
          </w:tcPr>
          <w:p>
            <w:r>
              <w:rPr>
                <w:rFonts w:ascii="Calibri" w:hAnsi="Calibri"/>
                <w:b w:val="0"/>
                <w:i w:val="0"/>
                <w:color w:val="28251D"/>
                <w:sz w:val="18"/>
              </w:rPr>
              <w:t>MEDIUM</w:t>
            </w:r>
          </w:p>
        </w:tc>
      </w:tr>
      <w:tr>
        <w:tc>
          <w:tcPr>
            <w:tcW w:type="dxa" w:w="504"/>
            <w:shd w:val="clear" w:color="auto" w:fill="F2F6F6"/>
            <w:tcMar>
              <w:top w:w="60" w:type="dxa"/>
              <w:bottom w:w="60" w:type="dxa"/>
              <w:left w:w="80" w:type="dxa"/>
              <w:right w:w="80" w:type="dxa"/>
            </w:tcMar>
            <w:vAlign w:val="top"/>
          </w:tcPr>
          <w:p>
            <w:r>
              <w:rPr>
                <w:rFonts w:ascii="Calibri" w:hAnsi="Calibri"/>
                <w:b w:val="0"/>
                <w:i w:val="0"/>
                <w:color w:val="28251D"/>
                <w:sz w:val="18"/>
              </w:rPr>
              <w:t>Q10</w:t>
            </w:r>
          </w:p>
        </w:tc>
        <w:tc>
          <w:tcPr>
            <w:tcW w:type="dxa" w:w="2592"/>
            <w:shd w:val="clear" w:color="auto" w:fill="F2F6F6"/>
            <w:tcMar>
              <w:top w:w="60" w:type="dxa"/>
              <w:bottom w:w="60" w:type="dxa"/>
              <w:left w:w="80" w:type="dxa"/>
              <w:right w:w="80" w:type="dxa"/>
            </w:tcMar>
            <w:vAlign w:val="top"/>
          </w:tcPr>
          <w:p>
            <w:r>
              <w:rPr>
                <w:rFonts w:ascii="Calibri" w:hAnsi="Calibri"/>
                <w:b w:val="0"/>
                <w:i w:val="0"/>
                <w:color w:val="28251D"/>
                <w:sz w:val="18"/>
              </w:rPr>
              <w:t>Exercise duration?</w:t>
            </w:r>
          </w:p>
        </w:tc>
        <w:tc>
          <w:tcPr>
            <w:tcW w:type="dxa" w:w="4032"/>
            <w:shd w:val="clear" w:color="auto" w:fill="F2F6F6"/>
            <w:tcMar>
              <w:top w:w="60" w:type="dxa"/>
              <w:bottom w:w="60" w:type="dxa"/>
              <w:left w:w="80" w:type="dxa"/>
              <w:right w:w="80" w:type="dxa"/>
            </w:tcMar>
            <w:vAlign w:val="top"/>
          </w:tcPr>
          <w:p>
            <w:r>
              <w:rPr>
                <w:rFonts w:ascii="Calibri" w:hAnsi="Calibri"/>
                <w:b w:val="0"/>
                <w:i w:val="0"/>
                <w:color w:val="28251D"/>
                <w:sz w:val="18"/>
              </w:rPr>
              <w:t>Half-day (4 hours) / Full day (8 hours) / Multi-day / Series of shorter sessions</w:t>
            </w:r>
          </w:p>
        </w:tc>
        <w:tc>
          <w:tcPr>
            <w:tcW w:type="dxa" w:w="792"/>
            <w:shd w:val="clear" w:color="auto" w:fill="F2F6F6"/>
            <w:tcMar>
              <w:top w:w="60" w:type="dxa"/>
              <w:bottom w:w="60" w:type="dxa"/>
              <w:left w:w="80" w:type="dxa"/>
              <w:right w:w="80" w:type="dxa"/>
            </w:tcMar>
            <w:vAlign w:val="top"/>
          </w:tcPr>
          <w:p>
            <w:r>
              <w:rPr>
                <w:rFonts w:ascii="Calibri" w:hAnsi="Calibri"/>
                <w:b w:val="0"/>
                <w:i w:val="0"/>
                <w:color w:val="28251D"/>
                <w:sz w:val="18"/>
              </w:rPr>
              <w:t>MEDIUM</w:t>
            </w:r>
          </w:p>
        </w:tc>
      </w:tr>
    </w:tbl>
    <w:p/>
    <w:p>
      <w:pPr>
        <w:spacing w:after="120" w:before="0"/>
      </w:pPr>
    </w:p>
    <w:p>
      <w:pPr>
        <w:spacing w:before="240" w:after="60"/>
        <w:jc w:val="left"/>
      </w:pPr>
      <w:r>
        <w:rPr>
          <w:rFonts w:ascii="Calibri" w:hAnsi="Calibri"/>
          <w:b/>
          <w:i w:val="0"/>
          <w:color w:val="0C4E54"/>
          <w:sz w:val="26"/>
        </w:rPr>
        <w:t>Category 3 — Objectives &amp; Testing</w:t>
      </w: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268"/>
        <w:gridCol w:w="2268"/>
        <w:gridCol w:w="2268"/>
        <w:gridCol w:w="2268"/>
      </w:tblGrid>
      <w:tr>
        <w:tc>
          <w:tcPr>
            <w:tcW w:type="dxa" w:w="504"/>
            <w:shd w:val="clear" w:color="auto" w:fill="01696F"/>
            <w:tcMar>
              <w:top w:w="60" w:type="dxa"/>
              <w:bottom w:w="60" w:type="dxa"/>
              <w:left w:w="80" w:type="dxa"/>
              <w:right w:w="80" w:type="dxa"/>
            </w:tcMar>
          </w:tcPr>
          <w:p>
            <w:pPr>
              <w:jc w:val="center"/>
            </w:pPr>
            <w:r>
              <w:rPr>
                <w:rFonts w:ascii="Calibri" w:hAnsi="Calibri"/>
                <w:b/>
                <w:i w:val="0"/>
                <w:color w:val="FFFFFF"/>
                <w:sz w:val="18"/>
              </w:rPr>
              <w:t>#</w:t>
            </w:r>
          </w:p>
        </w:tc>
        <w:tc>
          <w:tcPr>
            <w:tcW w:type="dxa" w:w="2592"/>
            <w:shd w:val="clear" w:color="auto" w:fill="01696F"/>
            <w:tcMar>
              <w:top w:w="60" w:type="dxa"/>
              <w:bottom w:w="60" w:type="dxa"/>
              <w:left w:w="80" w:type="dxa"/>
              <w:right w:w="80" w:type="dxa"/>
            </w:tcMar>
          </w:tcPr>
          <w:p>
            <w:pPr>
              <w:jc w:val="center"/>
            </w:pPr>
            <w:r>
              <w:rPr>
                <w:rFonts w:ascii="Calibri" w:hAnsi="Calibri"/>
                <w:b/>
                <w:i w:val="0"/>
                <w:color w:val="FFFFFF"/>
                <w:sz w:val="18"/>
              </w:rPr>
              <w:t>Question</w:t>
            </w:r>
          </w:p>
        </w:tc>
        <w:tc>
          <w:tcPr>
            <w:tcW w:type="dxa" w:w="4032"/>
            <w:shd w:val="clear" w:color="auto" w:fill="01696F"/>
            <w:tcMar>
              <w:top w:w="60" w:type="dxa"/>
              <w:bottom w:w="60" w:type="dxa"/>
              <w:left w:w="80" w:type="dxa"/>
              <w:right w:w="80" w:type="dxa"/>
            </w:tcMar>
          </w:tcPr>
          <w:p>
            <w:pPr>
              <w:jc w:val="center"/>
            </w:pPr>
            <w:r>
              <w:rPr>
                <w:rFonts w:ascii="Calibri" w:hAnsi="Calibri"/>
                <w:b/>
                <w:i w:val="0"/>
                <w:color w:val="FFFFFF"/>
                <w:sz w:val="18"/>
              </w:rPr>
              <w:t>Options</w:t>
            </w:r>
          </w:p>
        </w:tc>
        <w:tc>
          <w:tcPr>
            <w:tcW w:type="dxa" w:w="792"/>
            <w:shd w:val="clear" w:color="auto" w:fill="01696F"/>
            <w:tcMar>
              <w:top w:w="60" w:type="dxa"/>
              <w:bottom w:w="60" w:type="dxa"/>
              <w:left w:w="80" w:type="dxa"/>
              <w:right w:w="80" w:type="dxa"/>
            </w:tcMar>
          </w:tcPr>
          <w:p>
            <w:pPr>
              <w:jc w:val="center"/>
            </w:pPr>
            <w:r>
              <w:rPr>
                <w:rFonts w:ascii="Calibri" w:hAnsi="Calibri"/>
                <w:b/>
                <w:i w:val="0"/>
                <w:color w:val="FFFFFF"/>
                <w:sz w:val="18"/>
              </w:rPr>
              <w:t>Priority</w:t>
            </w:r>
          </w:p>
        </w:tc>
      </w:tr>
      <w:tr>
        <w:tc>
          <w:tcPr>
            <w:tcW w:type="dxa" w:w="504"/>
            <w:shd w:val="clear" w:color="auto" w:fill="FFFFFF"/>
            <w:tcMar>
              <w:top w:w="60" w:type="dxa"/>
              <w:bottom w:w="60" w:type="dxa"/>
              <w:left w:w="80" w:type="dxa"/>
              <w:right w:w="80" w:type="dxa"/>
            </w:tcMar>
            <w:vAlign w:val="top"/>
          </w:tcPr>
          <w:p>
            <w:r>
              <w:rPr>
                <w:rFonts w:ascii="Calibri" w:hAnsi="Calibri"/>
                <w:b w:val="0"/>
                <w:i w:val="0"/>
                <w:color w:val="28251D"/>
                <w:sz w:val="18"/>
              </w:rPr>
              <w:t>Q11</w:t>
            </w:r>
          </w:p>
        </w:tc>
        <w:tc>
          <w:tcPr>
            <w:tcW w:type="dxa" w:w="2592"/>
            <w:shd w:val="clear" w:color="auto" w:fill="FFFFFF"/>
            <w:tcMar>
              <w:top w:w="60" w:type="dxa"/>
              <w:bottom w:w="60" w:type="dxa"/>
              <w:left w:w="80" w:type="dxa"/>
              <w:right w:w="80" w:type="dxa"/>
            </w:tcMar>
            <w:vAlign w:val="top"/>
          </w:tcPr>
          <w:p>
            <w:r>
              <w:rPr>
                <w:rFonts w:ascii="Calibri" w:hAnsi="Calibri"/>
                <w:b w:val="0"/>
                <w:i w:val="0"/>
                <w:color w:val="28251D"/>
                <w:sz w:val="18"/>
              </w:rPr>
              <w:t>Primary objective (one sentence)?</w:t>
            </w:r>
          </w:p>
        </w:tc>
        <w:tc>
          <w:tcPr>
            <w:tcW w:type="dxa" w:w="4032"/>
            <w:shd w:val="clear" w:color="auto" w:fill="FFFFFF"/>
            <w:tcMar>
              <w:top w:w="60" w:type="dxa"/>
              <w:bottom w:w="60" w:type="dxa"/>
              <w:left w:w="80" w:type="dxa"/>
              <w:right w:w="80" w:type="dxa"/>
            </w:tcMar>
            <w:vAlign w:val="top"/>
          </w:tcPr>
          <w:p>
            <w:r>
              <w:rPr>
                <w:rFonts w:ascii="Calibri" w:hAnsi="Calibri"/>
                <w:b w:val="0"/>
                <w:i w:val="0"/>
                <w:color w:val="28251D"/>
                <w:sz w:val="18"/>
              </w:rPr>
              <w:t>Author to define — see Section 8.1 for recommended draft</w:t>
            </w:r>
          </w:p>
        </w:tc>
        <w:tc>
          <w:tcPr>
            <w:tcW w:type="dxa" w:w="792"/>
            <w:shd w:val="clear" w:color="auto" w:fill="FFFFFF"/>
            <w:tcMar>
              <w:top w:w="60" w:type="dxa"/>
              <w:bottom w:w="60" w:type="dxa"/>
              <w:left w:w="80" w:type="dxa"/>
              <w:right w:w="80" w:type="dxa"/>
            </w:tcMar>
            <w:vAlign w:val="top"/>
          </w:tcPr>
          <w:p>
            <w:r>
              <w:rPr>
                <w:rFonts w:ascii="Calibri" w:hAnsi="Calibri"/>
                <w:b w:val="0"/>
                <w:i w:val="0"/>
                <w:color w:val="28251D"/>
                <w:sz w:val="18"/>
              </w:rPr>
              <w:t>HIGH</w:t>
            </w:r>
          </w:p>
        </w:tc>
      </w:tr>
      <w:tr>
        <w:tc>
          <w:tcPr>
            <w:tcW w:type="dxa" w:w="504"/>
            <w:shd w:val="clear" w:color="auto" w:fill="F2F6F6"/>
            <w:tcMar>
              <w:top w:w="60" w:type="dxa"/>
              <w:bottom w:w="60" w:type="dxa"/>
              <w:left w:w="80" w:type="dxa"/>
              <w:right w:w="80" w:type="dxa"/>
            </w:tcMar>
            <w:vAlign w:val="top"/>
          </w:tcPr>
          <w:p>
            <w:r>
              <w:rPr>
                <w:rFonts w:ascii="Calibri" w:hAnsi="Calibri"/>
                <w:b w:val="0"/>
                <w:i w:val="0"/>
                <w:color w:val="28251D"/>
                <w:sz w:val="18"/>
              </w:rPr>
              <w:t>Q12</w:t>
            </w:r>
          </w:p>
        </w:tc>
        <w:tc>
          <w:tcPr>
            <w:tcW w:type="dxa" w:w="2592"/>
            <w:shd w:val="clear" w:color="auto" w:fill="F2F6F6"/>
            <w:tcMar>
              <w:top w:w="60" w:type="dxa"/>
              <w:bottom w:w="60" w:type="dxa"/>
              <w:left w:w="80" w:type="dxa"/>
              <w:right w:w="80" w:type="dxa"/>
            </w:tcMar>
            <w:vAlign w:val="top"/>
          </w:tcPr>
          <w:p>
            <w:r>
              <w:rPr>
                <w:rFonts w:ascii="Calibri" w:hAnsi="Calibri"/>
                <w:b w:val="0"/>
                <w:i w:val="0"/>
                <w:color w:val="28251D"/>
                <w:sz w:val="18"/>
              </w:rPr>
              <w:t>Highest-priority capability to test?</w:t>
            </w:r>
          </w:p>
        </w:tc>
        <w:tc>
          <w:tcPr>
            <w:tcW w:type="dxa" w:w="4032"/>
            <w:shd w:val="clear" w:color="auto" w:fill="F2F6F6"/>
            <w:tcMar>
              <w:top w:w="60" w:type="dxa"/>
              <w:bottom w:w="60" w:type="dxa"/>
              <w:left w:w="80" w:type="dxa"/>
              <w:right w:w="80" w:type="dxa"/>
            </w:tcMar>
            <w:vAlign w:val="top"/>
          </w:tcPr>
          <w:p>
            <w:r>
              <w:rPr>
                <w:rFonts w:ascii="Calibri" w:hAnsi="Calibri"/>
                <w:b w:val="0"/>
                <w:i w:val="0"/>
                <w:color w:val="28251D"/>
                <w:sz w:val="18"/>
              </w:rPr>
              <w:t>Clinical detection / PPE &amp; supply chain / Inter-agency coordination / Public communication / All four</w:t>
            </w:r>
          </w:p>
        </w:tc>
        <w:tc>
          <w:tcPr>
            <w:tcW w:type="dxa" w:w="792"/>
            <w:shd w:val="clear" w:color="auto" w:fill="F2F6F6"/>
            <w:tcMar>
              <w:top w:w="60" w:type="dxa"/>
              <w:bottom w:w="60" w:type="dxa"/>
              <w:left w:w="80" w:type="dxa"/>
              <w:right w:w="80" w:type="dxa"/>
            </w:tcMar>
            <w:vAlign w:val="top"/>
          </w:tcPr>
          <w:p>
            <w:r>
              <w:rPr>
                <w:rFonts w:ascii="Calibri" w:hAnsi="Calibri"/>
                <w:b w:val="0"/>
                <w:i w:val="0"/>
                <w:color w:val="28251D"/>
                <w:sz w:val="18"/>
              </w:rPr>
              <w:t>HIGH</w:t>
            </w:r>
          </w:p>
        </w:tc>
      </w:tr>
      <w:tr>
        <w:tc>
          <w:tcPr>
            <w:tcW w:type="dxa" w:w="504"/>
            <w:shd w:val="clear" w:color="auto" w:fill="FFFFFF"/>
            <w:tcMar>
              <w:top w:w="60" w:type="dxa"/>
              <w:bottom w:w="60" w:type="dxa"/>
              <w:left w:w="80" w:type="dxa"/>
              <w:right w:w="80" w:type="dxa"/>
            </w:tcMar>
            <w:vAlign w:val="top"/>
          </w:tcPr>
          <w:p>
            <w:r>
              <w:rPr>
                <w:rFonts w:ascii="Calibri" w:hAnsi="Calibri"/>
                <w:b w:val="0"/>
                <w:i w:val="0"/>
                <w:color w:val="28251D"/>
                <w:sz w:val="18"/>
              </w:rPr>
              <w:t>Q13</w:t>
            </w:r>
          </w:p>
        </w:tc>
        <w:tc>
          <w:tcPr>
            <w:tcW w:type="dxa" w:w="2592"/>
            <w:shd w:val="clear" w:color="auto" w:fill="FFFFFF"/>
            <w:tcMar>
              <w:top w:w="60" w:type="dxa"/>
              <w:bottom w:w="60" w:type="dxa"/>
              <w:left w:w="80" w:type="dxa"/>
              <w:right w:w="80" w:type="dxa"/>
            </w:tcMar>
            <w:vAlign w:val="top"/>
          </w:tcPr>
          <w:p>
            <w:r>
              <w:rPr>
                <w:rFonts w:ascii="Calibri" w:hAnsi="Calibri"/>
                <w:b w:val="0"/>
                <w:i w:val="0"/>
                <w:color w:val="28251D"/>
                <w:sz w:val="18"/>
              </w:rPr>
              <w:t>What specific decisions must participants make?</w:t>
            </w:r>
          </w:p>
        </w:tc>
        <w:tc>
          <w:tcPr>
            <w:tcW w:type="dxa" w:w="4032"/>
            <w:shd w:val="clear" w:color="auto" w:fill="FFFFFF"/>
            <w:tcMar>
              <w:top w:w="60" w:type="dxa"/>
              <w:bottom w:w="60" w:type="dxa"/>
              <w:left w:w="80" w:type="dxa"/>
              <w:right w:w="80" w:type="dxa"/>
            </w:tcMar>
            <w:vAlign w:val="top"/>
          </w:tcPr>
          <w:p>
            <w:r>
              <w:rPr>
                <w:rFonts w:ascii="Calibri" w:hAnsi="Calibri"/>
                <w:b w:val="0"/>
                <w:i w:val="0"/>
                <w:color w:val="28251D"/>
                <w:sz w:val="18"/>
              </w:rPr>
              <w:t>Author to define — see Section 8.4 for recommended decision points</w:t>
            </w:r>
          </w:p>
        </w:tc>
        <w:tc>
          <w:tcPr>
            <w:tcW w:type="dxa" w:w="792"/>
            <w:shd w:val="clear" w:color="auto" w:fill="FFFFFF"/>
            <w:tcMar>
              <w:top w:w="60" w:type="dxa"/>
              <w:bottom w:w="60" w:type="dxa"/>
              <w:left w:w="80" w:type="dxa"/>
              <w:right w:w="80" w:type="dxa"/>
            </w:tcMar>
            <w:vAlign w:val="top"/>
          </w:tcPr>
          <w:p>
            <w:r>
              <w:rPr>
                <w:rFonts w:ascii="Calibri" w:hAnsi="Calibri"/>
                <w:b w:val="0"/>
                <w:i w:val="0"/>
                <w:color w:val="28251D"/>
                <w:sz w:val="18"/>
              </w:rPr>
              <w:t>HIGH</w:t>
            </w:r>
          </w:p>
        </w:tc>
      </w:tr>
      <w:tr>
        <w:tc>
          <w:tcPr>
            <w:tcW w:type="dxa" w:w="504"/>
            <w:shd w:val="clear" w:color="auto" w:fill="F2F6F6"/>
            <w:tcMar>
              <w:top w:w="60" w:type="dxa"/>
              <w:bottom w:w="60" w:type="dxa"/>
              <w:left w:w="80" w:type="dxa"/>
              <w:right w:w="80" w:type="dxa"/>
            </w:tcMar>
            <w:vAlign w:val="top"/>
          </w:tcPr>
          <w:p>
            <w:r>
              <w:rPr>
                <w:rFonts w:ascii="Calibri" w:hAnsi="Calibri"/>
                <w:b w:val="0"/>
                <w:i w:val="0"/>
                <w:color w:val="28251D"/>
                <w:sz w:val="18"/>
              </w:rPr>
              <w:t>Q14</w:t>
            </w:r>
          </w:p>
        </w:tc>
        <w:tc>
          <w:tcPr>
            <w:tcW w:type="dxa" w:w="2592"/>
            <w:shd w:val="clear" w:color="auto" w:fill="F2F6F6"/>
            <w:tcMar>
              <w:top w:w="60" w:type="dxa"/>
              <w:bottom w:w="60" w:type="dxa"/>
              <w:left w:w="80" w:type="dxa"/>
              <w:right w:w="80" w:type="dxa"/>
            </w:tcMar>
            <w:vAlign w:val="top"/>
          </w:tcPr>
          <w:p>
            <w:r>
              <w:rPr>
                <w:rFonts w:ascii="Calibri" w:hAnsi="Calibri"/>
                <w:b w:val="0"/>
                <w:i w:val="0"/>
                <w:color w:val="28251D"/>
                <w:sz w:val="18"/>
              </w:rPr>
              <w:t>What does "success" look like in measurable terms?</w:t>
            </w:r>
          </w:p>
        </w:tc>
        <w:tc>
          <w:tcPr>
            <w:tcW w:type="dxa" w:w="4032"/>
            <w:shd w:val="clear" w:color="auto" w:fill="F2F6F6"/>
            <w:tcMar>
              <w:top w:w="60" w:type="dxa"/>
              <w:bottom w:w="60" w:type="dxa"/>
              <w:left w:w="80" w:type="dxa"/>
              <w:right w:w="80" w:type="dxa"/>
            </w:tcMar>
            <w:vAlign w:val="top"/>
          </w:tcPr>
          <w:p>
            <w:r>
              <w:rPr>
                <w:rFonts w:ascii="Calibri" w:hAnsi="Calibri"/>
                <w:b w:val="0"/>
                <w:i w:val="0"/>
                <w:color w:val="28251D"/>
                <w:sz w:val="18"/>
              </w:rPr>
              <w:t>Author to define — see Section 8.6 for recommended metrics framework</w:t>
            </w:r>
          </w:p>
        </w:tc>
        <w:tc>
          <w:tcPr>
            <w:tcW w:type="dxa" w:w="792"/>
            <w:shd w:val="clear" w:color="auto" w:fill="F2F6F6"/>
            <w:tcMar>
              <w:top w:w="60" w:type="dxa"/>
              <w:bottom w:w="60" w:type="dxa"/>
              <w:left w:w="80" w:type="dxa"/>
              <w:right w:w="80" w:type="dxa"/>
            </w:tcMar>
            <w:vAlign w:val="top"/>
          </w:tcPr>
          <w:p>
            <w:r>
              <w:rPr>
                <w:rFonts w:ascii="Calibri" w:hAnsi="Calibri"/>
                <w:b w:val="0"/>
                <w:i w:val="0"/>
                <w:color w:val="28251D"/>
                <w:sz w:val="18"/>
              </w:rPr>
              <w:t>HIGH</w:t>
            </w:r>
          </w:p>
        </w:tc>
      </w:tr>
    </w:tbl>
    <w:p/>
    <w:p>
      <w:pPr>
        <w:spacing w:after="120" w:before="0"/>
      </w:pPr>
    </w:p>
    <w:p>
      <w:pPr>
        <w:spacing w:before="240" w:after="60"/>
        <w:jc w:val="left"/>
      </w:pPr>
      <w:r>
        <w:rPr>
          <w:rFonts w:ascii="Calibri" w:hAnsi="Calibri"/>
          <w:b/>
          <w:i w:val="0"/>
          <w:color w:val="0C4E54"/>
          <w:sz w:val="26"/>
        </w:rPr>
        <w:t>Category 4 — Clinical Design</w:t>
      </w: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268"/>
        <w:gridCol w:w="2268"/>
        <w:gridCol w:w="2268"/>
        <w:gridCol w:w="2268"/>
      </w:tblGrid>
      <w:tr>
        <w:tc>
          <w:tcPr>
            <w:tcW w:type="dxa" w:w="504"/>
            <w:shd w:val="clear" w:color="auto" w:fill="01696F"/>
            <w:tcMar>
              <w:top w:w="60" w:type="dxa"/>
              <w:bottom w:w="60" w:type="dxa"/>
              <w:left w:w="80" w:type="dxa"/>
              <w:right w:w="80" w:type="dxa"/>
            </w:tcMar>
          </w:tcPr>
          <w:p>
            <w:pPr>
              <w:jc w:val="center"/>
            </w:pPr>
            <w:r>
              <w:rPr>
                <w:rFonts w:ascii="Calibri" w:hAnsi="Calibri"/>
                <w:b/>
                <w:i w:val="0"/>
                <w:color w:val="FFFFFF"/>
                <w:sz w:val="18"/>
              </w:rPr>
              <w:t>#</w:t>
            </w:r>
          </w:p>
        </w:tc>
        <w:tc>
          <w:tcPr>
            <w:tcW w:type="dxa" w:w="2592"/>
            <w:shd w:val="clear" w:color="auto" w:fill="01696F"/>
            <w:tcMar>
              <w:top w:w="60" w:type="dxa"/>
              <w:bottom w:w="60" w:type="dxa"/>
              <w:left w:w="80" w:type="dxa"/>
              <w:right w:w="80" w:type="dxa"/>
            </w:tcMar>
          </w:tcPr>
          <w:p>
            <w:pPr>
              <w:jc w:val="center"/>
            </w:pPr>
            <w:r>
              <w:rPr>
                <w:rFonts w:ascii="Calibri" w:hAnsi="Calibri"/>
                <w:b/>
                <w:i w:val="0"/>
                <w:color w:val="FFFFFF"/>
                <w:sz w:val="18"/>
              </w:rPr>
              <w:t>Question</w:t>
            </w:r>
          </w:p>
        </w:tc>
        <w:tc>
          <w:tcPr>
            <w:tcW w:type="dxa" w:w="4032"/>
            <w:shd w:val="clear" w:color="auto" w:fill="01696F"/>
            <w:tcMar>
              <w:top w:w="60" w:type="dxa"/>
              <w:bottom w:w="60" w:type="dxa"/>
              <w:left w:w="80" w:type="dxa"/>
              <w:right w:w="80" w:type="dxa"/>
            </w:tcMar>
          </w:tcPr>
          <w:p>
            <w:pPr>
              <w:jc w:val="center"/>
            </w:pPr>
            <w:r>
              <w:rPr>
                <w:rFonts w:ascii="Calibri" w:hAnsi="Calibri"/>
                <w:b/>
                <w:i w:val="0"/>
                <w:color w:val="FFFFFF"/>
                <w:sz w:val="18"/>
              </w:rPr>
              <w:t>Options</w:t>
            </w:r>
          </w:p>
        </w:tc>
        <w:tc>
          <w:tcPr>
            <w:tcW w:type="dxa" w:w="792"/>
            <w:shd w:val="clear" w:color="auto" w:fill="01696F"/>
            <w:tcMar>
              <w:top w:w="60" w:type="dxa"/>
              <w:bottom w:w="60" w:type="dxa"/>
              <w:left w:w="80" w:type="dxa"/>
              <w:right w:w="80" w:type="dxa"/>
            </w:tcMar>
          </w:tcPr>
          <w:p>
            <w:pPr>
              <w:jc w:val="center"/>
            </w:pPr>
            <w:r>
              <w:rPr>
                <w:rFonts w:ascii="Calibri" w:hAnsi="Calibri"/>
                <w:b/>
                <w:i w:val="0"/>
                <w:color w:val="FFFFFF"/>
                <w:sz w:val="18"/>
              </w:rPr>
              <w:t>Priority</w:t>
            </w:r>
          </w:p>
        </w:tc>
      </w:tr>
      <w:tr>
        <w:tc>
          <w:tcPr>
            <w:tcW w:type="dxa" w:w="504"/>
            <w:shd w:val="clear" w:color="auto" w:fill="FFFFFF"/>
            <w:tcMar>
              <w:top w:w="60" w:type="dxa"/>
              <w:bottom w:w="60" w:type="dxa"/>
              <w:left w:w="80" w:type="dxa"/>
              <w:right w:w="80" w:type="dxa"/>
            </w:tcMar>
            <w:vAlign w:val="top"/>
          </w:tcPr>
          <w:p>
            <w:r>
              <w:rPr>
                <w:rFonts w:ascii="Calibri" w:hAnsi="Calibri"/>
                <w:b w:val="0"/>
                <w:i w:val="0"/>
                <w:color w:val="28251D"/>
                <w:sz w:val="18"/>
              </w:rPr>
              <w:t>Q15</w:t>
            </w:r>
          </w:p>
        </w:tc>
        <w:tc>
          <w:tcPr>
            <w:tcW w:type="dxa" w:w="2592"/>
            <w:shd w:val="clear" w:color="auto" w:fill="FFFFFF"/>
            <w:tcMar>
              <w:top w:w="60" w:type="dxa"/>
              <w:bottom w:w="60" w:type="dxa"/>
              <w:left w:w="80" w:type="dxa"/>
              <w:right w:w="80" w:type="dxa"/>
            </w:tcMar>
            <w:vAlign w:val="top"/>
          </w:tcPr>
          <w:p>
            <w:r>
              <w:rPr>
                <w:rFonts w:ascii="Calibri" w:hAnsi="Calibri"/>
                <w:b w:val="0"/>
                <w:i w:val="0"/>
                <w:color w:val="28251D"/>
                <w:sz w:val="18"/>
              </w:rPr>
              <w:t>What symptoms do first patients present with?</w:t>
            </w:r>
          </w:p>
        </w:tc>
        <w:tc>
          <w:tcPr>
            <w:tcW w:type="dxa" w:w="4032"/>
            <w:shd w:val="clear" w:color="auto" w:fill="FFFFFF"/>
            <w:tcMar>
              <w:top w:w="60" w:type="dxa"/>
              <w:bottom w:w="60" w:type="dxa"/>
              <w:left w:w="80" w:type="dxa"/>
              <w:right w:w="80" w:type="dxa"/>
            </w:tcMar>
            <w:vAlign w:val="top"/>
          </w:tcPr>
          <w:p>
            <w:r>
              <w:rPr>
                <w:rFonts w:ascii="Calibri" w:hAnsi="Calibri"/>
                <w:b w:val="0"/>
                <w:i w:val="0"/>
                <w:color w:val="28251D"/>
                <w:sz w:val="18"/>
              </w:rPr>
              <w:t>Author to define (general characteristics; no real pathogen protocols required)</w:t>
            </w:r>
          </w:p>
        </w:tc>
        <w:tc>
          <w:tcPr>
            <w:tcW w:type="dxa" w:w="792"/>
            <w:shd w:val="clear" w:color="auto" w:fill="FFFFFF"/>
            <w:tcMar>
              <w:top w:w="60" w:type="dxa"/>
              <w:bottom w:w="60" w:type="dxa"/>
              <w:left w:w="80" w:type="dxa"/>
              <w:right w:w="80" w:type="dxa"/>
            </w:tcMar>
            <w:vAlign w:val="top"/>
          </w:tcPr>
          <w:p>
            <w:r>
              <w:rPr>
                <w:rFonts w:ascii="Calibri" w:hAnsi="Calibri"/>
                <w:b w:val="0"/>
                <w:i w:val="0"/>
                <w:color w:val="28251D"/>
                <w:sz w:val="18"/>
              </w:rPr>
              <w:t>HIGH</w:t>
            </w:r>
          </w:p>
        </w:tc>
      </w:tr>
      <w:tr>
        <w:tc>
          <w:tcPr>
            <w:tcW w:type="dxa" w:w="504"/>
            <w:shd w:val="clear" w:color="auto" w:fill="F2F6F6"/>
            <w:tcMar>
              <w:top w:w="60" w:type="dxa"/>
              <w:bottom w:w="60" w:type="dxa"/>
              <w:left w:w="80" w:type="dxa"/>
              <w:right w:w="80" w:type="dxa"/>
            </w:tcMar>
            <w:vAlign w:val="top"/>
          </w:tcPr>
          <w:p>
            <w:r>
              <w:rPr>
                <w:rFonts w:ascii="Calibri" w:hAnsi="Calibri"/>
                <w:b w:val="0"/>
                <w:i w:val="0"/>
                <w:color w:val="28251D"/>
                <w:sz w:val="18"/>
              </w:rPr>
              <w:t>Q16</w:t>
            </w:r>
          </w:p>
        </w:tc>
        <w:tc>
          <w:tcPr>
            <w:tcW w:type="dxa" w:w="2592"/>
            <w:shd w:val="clear" w:color="auto" w:fill="F2F6F6"/>
            <w:tcMar>
              <w:top w:w="60" w:type="dxa"/>
              <w:bottom w:w="60" w:type="dxa"/>
              <w:left w:w="80" w:type="dxa"/>
              <w:right w:w="80" w:type="dxa"/>
            </w:tcMar>
            <w:vAlign w:val="top"/>
          </w:tcPr>
          <w:p>
            <w:r>
              <w:rPr>
                <w:rFonts w:ascii="Calibri" w:hAnsi="Calibri"/>
                <w:b w:val="0"/>
                <w:i w:val="0"/>
                <w:color w:val="28251D"/>
                <w:sz w:val="18"/>
              </w:rPr>
              <w:t>Initial diagnostic dead end?</w:t>
            </w:r>
          </w:p>
        </w:tc>
        <w:tc>
          <w:tcPr>
            <w:tcW w:type="dxa" w:w="4032"/>
            <w:shd w:val="clear" w:color="auto" w:fill="F2F6F6"/>
            <w:tcMar>
              <w:top w:w="60" w:type="dxa"/>
              <w:bottom w:w="60" w:type="dxa"/>
              <w:left w:w="80" w:type="dxa"/>
              <w:right w:w="80" w:type="dxa"/>
            </w:tcMar>
            <w:vAlign w:val="top"/>
          </w:tcPr>
          <w:p>
            <w:r>
              <w:rPr>
                <w:rFonts w:ascii="Calibri" w:hAnsi="Calibri"/>
                <w:b w:val="0"/>
                <w:i w:val="0"/>
                <w:color w:val="28251D"/>
                <w:sz w:val="18"/>
              </w:rPr>
              <w:t>Flu (negative) / COVID (negative) / Atypical pneumonia / Undifferentiated systemic illness</w:t>
            </w:r>
          </w:p>
        </w:tc>
        <w:tc>
          <w:tcPr>
            <w:tcW w:type="dxa" w:w="792"/>
            <w:shd w:val="clear" w:color="auto" w:fill="F2F6F6"/>
            <w:tcMar>
              <w:top w:w="60" w:type="dxa"/>
              <w:bottom w:w="60" w:type="dxa"/>
              <w:left w:w="80" w:type="dxa"/>
              <w:right w:w="80" w:type="dxa"/>
            </w:tcMar>
            <w:vAlign w:val="top"/>
          </w:tcPr>
          <w:p>
            <w:r>
              <w:rPr>
                <w:rFonts w:ascii="Calibri" w:hAnsi="Calibri"/>
                <w:b w:val="0"/>
                <w:i w:val="0"/>
                <w:color w:val="28251D"/>
                <w:sz w:val="18"/>
              </w:rPr>
              <w:t>HIGH</w:t>
            </w:r>
          </w:p>
        </w:tc>
      </w:tr>
      <w:tr>
        <w:tc>
          <w:tcPr>
            <w:tcW w:type="dxa" w:w="504"/>
            <w:shd w:val="clear" w:color="auto" w:fill="FFFFFF"/>
            <w:tcMar>
              <w:top w:w="60" w:type="dxa"/>
              <w:bottom w:w="60" w:type="dxa"/>
              <w:left w:w="80" w:type="dxa"/>
              <w:right w:w="80" w:type="dxa"/>
            </w:tcMar>
            <w:vAlign w:val="top"/>
          </w:tcPr>
          <w:p>
            <w:r>
              <w:rPr>
                <w:rFonts w:ascii="Calibri" w:hAnsi="Calibri"/>
                <w:b w:val="0"/>
                <w:i w:val="0"/>
                <w:color w:val="28251D"/>
                <w:sz w:val="18"/>
              </w:rPr>
              <w:t>Q17</w:t>
            </w:r>
          </w:p>
        </w:tc>
        <w:tc>
          <w:tcPr>
            <w:tcW w:type="dxa" w:w="2592"/>
            <w:shd w:val="clear" w:color="auto" w:fill="FFFFFF"/>
            <w:tcMar>
              <w:top w:w="60" w:type="dxa"/>
              <w:bottom w:w="60" w:type="dxa"/>
              <w:left w:w="80" w:type="dxa"/>
              <w:right w:w="80" w:type="dxa"/>
            </w:tcMar>
            <w:vAlign w:val="top"/>
          </w:tcPr>
          <w:p>
            <w:r>
              <w:rPr>
                <w:rFonts w:ascii="Calibri" w:hAnsi="Calibri"/>
                <w:b w:val="0"/>
                <w:i w:val="0"/>
                <w:color w:val="28251D"/>
                <w:sz w:val="18"/>
              </w:rPr>
              <w:t>Speed of clinical deterioration in early cases?</w:t>
            </w:r>
          </w:p>
        </w:tc>
        <w:tc>
          <w:tcPr>
            <w:tcW w:type="dxa" w:w="4032"/>
            <w:shd w:val="clear" w:color="auto" w:fill="FFFFFF"/>
            <w:tcMar>
              <w:top w:w="60" w:type="dxa"/>
              <w:bottom w:w="60" w:type="dxa"/>
              <w:left w:w="80" w:type="dxa"/>
              <w:right w:w="80" w:type="dxa"/>
            </w:tcMar>
            <w:vAlign w:val="top"/>
          </w:tcPr>
          <w:p>
            <w:r>
              <w:rPr>
                <w:rFonts w:ascii="Calibri" w:hAnsi="Calibri"/>
                <w:b w:val="0"/>
                <w:i w:val="0"/>
                <w:color w:val="28251D"/>
                <w:sz w:val="18"/>
              </w:rPr>
              <w:t>Unexpectedly rapid / Standard / Variable and misleading</w:t>
            </w:r>
          </w:p>
        </w:tc>
        <w:tc>
          <w:tcPr>
            <w:tcW w:type="dxa" w:w="792"/>
            <w:shd w:val="clear" w:color="auto" w:fill="FFFFFF"/>
            <w:tcMar>
              <w:top w:w="60" w:type="dxa"/>
              <w:bottom w:w="60" w:type="dxa"/>
              <w:left w:w="80" w:type="dxa"/>
              <w:right w:w="80" w:type="dxa"/>
            </w:tcMar>
            <w:vAlign w:val="top"/>
          </w:tcPr>
          <w:p>
            <w:r>
              <w:rPr>
                <w:rFonts w:ascii="Calibri" w:hAnsi="Calibri"/>
                <w:b w:val="0"/>
                <w:i w:val="0"/>
                <w:color w:val="28251D"/>
                <w:sz w:val="18"/>
              </w:rPr>
              <w:t>HIGH</w:t>
            </w:r>
          </w:p>
        </w:tc>
      </w:tr>
      <w:tr>
        <w:tc>
          <w:tcPr>
            <w:tcW w:type="dxa" w:w="504"/>
            <w:shd w:val="clear" w:color="auto" w:fill="F2F6F6"/>
            <w:tcMar>
              <w:top w:w="60" w:type="dxa"/>
              <w:bottom w:w="60" w:type="dxa"/>
              <w:left w:w="80" w:type="dxa"/>
              <w:right w:w="80" w:type="dxa"/>
            </w:tcMar>
            <w:vAlign w:val="top"/>
          </w:tcPr>
          <w:p>
            <w:r>
              <w:rPr>
                <w:rFonts w:ascii="Calibri" w:hAnsi="Calibri"/>
                <w:b w:val="0"/>
                <w:i w:val="0"/>
                <w:color w:val="28251D"/>
                <w:sz w:val="18"/>
              </w:rPr>
              <w:t>Q18</w:t>
            </w:r>
          </w:p>
        </w:tc>
        <w:tc>
          <w:tcPr>
            <w:tcW w:type="dxa" w:w="2592"/>
            <w:shd w:val="clear" w:color="auto" w:fill="F2F6F6"/>
            <w:tcMar>
              <w:top w:w="60" w:type="dxa"/>
              <w:bottom w:w="60" w:type="dxa"/>
              <w:left w:w="80" w:type="dxa"/>
              <w:right w:w="80" w:type="dxa"/>
            </w:tcMar>
            <w:vAlign w:val="top"/>
          </w:tcPr>
          <w:p>
            <w:r>
              <w:rPr>
                <w:rFonts w:ascii="Calibri" w:hAnsi="Calibri"/>
                <w:b w:val="0"/>
                <w:i w:val="0"/>
                <w:color w:val="28251D"/>
                <w:sz w:val="18"/>
              </w:rPr>
              <w:t>Specific population disproportionately affected?</w:t>
            </w:r>
          </w:p>
        </w:tc>
        <w:tc>
          <w:tcPr>
            <w:tcW w:type="dxa" w:w="4032"/>
            <w:shd w:val="clear" w:color="auto" w:fill="F2F6F6"/>
            <w:tcMar>
              <w:top w:w="60" w:type="dxa"/>
              <w:bottom w:w="60" w:type="dxa"/>
              <w:left w:w="80" w:type="dxa"/>
              <w:right w:w="80" w:type="dxa"/>
            </w:tcMar>
            <w:vAlign w:val="top"/>
          </w:tcPr>
          <w:p>
            <w:r>
              <w:rPr>
                <w:rFonts w:ascii="Calibri" w:hAnsi="Calibri"/>
                <w:b w:val="0"/>
                <w:i w:val="0"/>
                <w:color w:val="28251D"/>
                <w:sz w:val="18"/>
              </w:rPr>
              <w:t>Pediatric / Geriatric / Immunocompromised / Non-specific</w:t>
            </w:r>
          </w:p>
        </w:tc>
        <w:tc>
          <w:tcPr>
            <w:tcW w:type="dxa" w:w="792"/>
            <w:shd w:val="clear" w:color="auto" w:fill="F2F6F6"/>
            <w:tcMar>
              <w:top w:w="60" w:type="dxa"/>
              <w:bottom w:w="60" w:type="dxa"/>
              <w:left w:w="80" w:type="dxa"/>
              <w:right w:w="80" w:type="dxa"/>
            </w:tcMar>
            <w:vAlign w:val="top"/>
          </w:tcPr>
          <w:p>
            <w:r>
              <w:rPr>
                <w:rFonts w:ascii="Calibri" w:hAnsi="Calibri"/>
                <w:b w:val="0"/>
                <w:i w:val="0"/>
                <w:color w:val="28251D"/>
                <w:sz w:val="18"/>
              </w:rPr>
              <w:t>MEDIUM</w:t>
            </w:r>
          </w:p>
        </w:tc>
      </w:tr>
    </w:tbl>
    <w:p/>
    <w:p>
      <w:pPr>
        <w:spacing w:after="120" w:before="0"/>
      </w:pPr>
    </w:p>
    <w:p>
      <w:pPr>
        <w:spacing w:before="240" w:after="60"/>
        <w:jc w:val="left"/>
      </w:pPr>
      <w:r>
        <w:rPr>
          <w:rFonts w:ascii="Calibri" w:hAnsi="Calibri"/>
          <w:b/>
          <w:i w:val="0"/>
          <w:color w:val="0C4E54"/>
          <w:sz w:val="26"/>
        </w:rPr>
        <w:t>Category 5 — Authority, Ethics &amp; Legal</w:t>
      </w: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268"/>
        <w:gridCol w:w="2268"/>
        <w:gridCol w:w="2268"/>
        <w:gridCol w:w="2268"/>
      </w:tblGrid>
      <w:tr>
        <w:tc>
          <w:tcPr>
            <w:tcW w:type="dxa" w:w="504"/>
            <w:shd w:val="clear" w:color="auto" w:fill="01696F"/>
            <w:tcMar>
              <w:top w:w="60" w:type="dxa"/>
              <w:bottom w:w="60" w:type="dxa"/>
              <w:left w:w="80" w:type="dxa"/>
              <w:right w:w="80" w:type="dxa"/>
            </w:tcMar>
          </w:tcPr>
          <w:p>
            <w:pPr>
              <w:jc w:val="center"/>
            </w:pPr>
            <w:r>
              <w:rPr>
                <w:rFonts w:ascii="Calibri" w:hAnsi="Calibri"/>
                <w:b/>
                <w:i w:val="0"/>
                <w:color w:val="FFFFFF"/>
                <w:sz w:val="18"/>
              </w:rPr>
              <w:t>#</w:t>
            </w:r>
          </w:p>
        </w:tc>
        <w:tc>
          <w:tcPr>
            <w:tcW w:type="dxa" w:w="2592"/>
            <w:shd w:val="clear" w:color="auto" w:fill="01696F"/>
            <w:tcMar>
              <w:top w:w="60" w:type="dxa"/>
              <w:bottom w:w="60" w:type="dxa"/>
              <w:left w:w="80" w:type="dxa"/>
              <w:right w:w="80" w:type="dxa"/>
            </w:tcMar>
          </w:tcPr>
          <w:p>
            <w:pPr>
              <w:jc w:val="center"/>
            </w:pPr>
            <w:r>
              <w:rPr>
                <w:rFonts w:ascii="Calibri" w:hAnsi="Calibri"/>
                <w:b/>
                <w:i w:val="0"/>
                <w:color w:val="FFFFFF"/>
                <w:sz w:val="18"/>
              </w:rPr>
              <w:t>Question</w:t>
            </w:r>
          </w:p>
        </w:tc>
        <w:tc>
          <w:tcPr>
            <w:tcW w:type="dxa" w:w="4032"/>
            <w:shd w:val="clear" w:color="auto" w:fill="01696F"/>
            <w:tcMar>
              <w:top w:w="60" w:type="dxa"/>
              <w:bottom w:w="60" w:type="dxa"/>
              <w:left w:w="80" w:type="dxa"/>
              <w:right w:w="80" w:type="dxa"/>
            </w:tcMar>
          </w:tcPr>
          <w:p>
            <w:pPr>
              <w:jc w:val="center"/>
            </w:pPr>
            <w:r>
              <w:rPr>
                <w:rFonts w:ascii="Calibri" w:hAnsi="Calibri"/>
                <w:b/>
                <w:i w:val="0"/>
                <w:color w:val="FFFFFF"/>
                <w:sz w:val="18"/>
              </w:rPr>
              <w:t>Options</w:t>
            </w:r>
          </w:p>
        </w:tc>
        <w:tc>
          <w:tcPr>
            <w:tcW w:type="dxa" w:w="792"/>
            <w:shd w:val="clear" w:color="auto" w:fill="01696F"/>
            <w:tcMar>
              <w:top w:w="60" w:type="dxa"/>
              <w:bottom w:w="60" w:type="dxa"/>
              <w:left w:w="80" w:type="dxa"/>
              <w:right w:w="80" w:type="dxa"/>
            </w:tcMar>
          </w:tcPr>
          <w:p>
            <w:pPr>
              <w:jc w:val="center"/>
            </w:pPr>
            <w:r>
              <w:rPr>
                <w:rFonts w:ascii="Calibri" w:hAnsi="Calibri"/>
                <w:b/>
                <w:i w:val="0"/>
                <w:color w:val="FFFFFF"/>
                <w:sz w:val="18"/>
              </w:rPr>
              <w:t>Priority</w:t>
            </w:r>
          </w:p>
        </w:tc>
      </w:tr>
      <w:tr>
        <w:tc>
          <w:tcPr>
            <w:tcW w:type="dxa" w:w="504"/>
            <w:shd w:val="clear" w:color="auto" w:fill="FFFFFF"/>
            <w:tcMar>
              <w:top w:w="60" w:type="dxa"/>
              <w:bottom w:w="60" w:type="dxa"/>
              <w:left w:w="80" w:type="dxa"/>
              <w:right w:w="80" w:type="dxa"/>
            </w:tcMar>
            <w:vAlign w:val="top"/>
          </w:tcPr>
          <w:p>
            <w:r>
              <w:rPr>
                <w:rFonts w:ascii="Calibri" w:hAnsi="Calibri"/>
                <w:b w:val="0"/>
                <w:i w:val="0"/>
                <w:color w:val="28251D"/>
                <w:sz w:val="18"/>
              </w:rPr>
              <w:t>Q19</w:t>
            </w:r>
          </w:p>
        </w:tc>
        <w:tc>
          <w:tcPr>
            <w:tcW w:type="dxa" w:w="2592"/>
            <w:shd w:val="clear" w:color="auto" w:fill="FFFFFF"/>
            <w:tcMar>
              <w:top w:w="60" w:type="dxa"/>
              <w:bottom w:w="60" w:type="dxa"/>
              <w:left w:w="80" w:type="dxa"/>
              <w:right w:w="80" w:type="dxa"/>
            </w:tcMar>
            <w:vAlign w:val="top"/>
          </w:tcPr>
          <w:p>
            <w:r>
              <w:rPr>
                <w:rFonts w:ascii="Calibri" w:hAnsi="Calibri"/>
                <w:b w:val="0"/>
                <w:i w:val="0"/>
                <w:color w:val="28251D"/>
                <w:sz w:val="18"/>
              </w:rPr>
              <w:t>Is the facilitator authorized to let failure occur on record?</w:t>
            </w:r>
          </w:p>
        </w:tc>
        <w:tc>
          <w:tcPr>
            <w:tcW w:type="dxa" w:w="4032"/>
            <w:shd w:val="clear" w:color="auto" w:fill="FFFFFF"/>
            <w:tcMar>
              <w:top w:w="60" w:type="dxa"/>
              <w:bottom w:w="60" w:type="dxa"/>
              <w:left w:w="80" w:type="dxa"/>
              <w:right w:w="80" w:type="dxa"/>
            </w:tcMar>
            <w:vAlign w:val="top"/>
          </w:tcPr>
          <w:p>
            <w:r>
              <w:rPr>
                <w:rFonts w:ascii="Calibri" w:hAnsi="Calibri"/>
                <w:b w:val="0"/>
                <w:i w:val="0"/>
                <w:color w:val="28251D"/>
                <w:sz w:val="18"/>
              </w:rPr>
              <w:t>Yes (required for valid findings) / Partially / Author to define limits</w:t>
            </w:r>
          </w:p>
        </w:tc>
        <w:tc>
          <w:tcPr>
            <w:tcW w:type="dxa" w:w="792"/>
            <w:shd w:val="clear" w:color="auto" w:fill="FFFFFF"/>
            <w:tcMar>
              <w:top w:w="60" w:type="dxa"/>
              <w:bottom w:w="60" w:type="dxa"/>
              <w:left w:w="80" w:type="dxa"/>
              <w:right w:w="80" w:type="dxa"/>
            </w:tcMar>
            <w:vAlign w:val="top"/>
          </w:tcPr>
          <w:p>
            <w:r>
              <w:rPr>
                <w:rFonts w:ascii="Calibri" w:hAnsi="Calibri"/>
                <w:b w:val="0"/>
                <w:i w:val="0"/>
                <w:color w:val="28251D"/>
                <w:sz w:val="18"/>
              </w:rPr>
              <w:t>HIGH</w:t>
            </w:r>
          </w:p>
        </w:tc>
      </w:tr>
      <w:tr>
        <w:tc>
          <w:tcPr>
            <w:tcW w:type="dxa" w:w="504"/>
            <w:shd w:val="clear" w:color="auto" w:fill="F2F6F6"/>
            <w:tcMar>
              <w:top w:w="60" w:type="dxa"/>
              <w:bottom w:w="60" w:type="dxa"/>
              <w:left w:w="80" w:type="dxa"/>
              <w:right w:w="80" w:type="dxa"/>
            </w:tcMar>
            <w:vAlign w:val="top"/>
          </w:tcPr>
          <w:p>
            <w:r>
              <w:rPr>
                <w:rFonts w:ascii="Calibri" w:hAnsi="Calibri"/>
                <w:b w:val="0"/>
                <w:i w:val="0"/>
                <w:color w:val="28251D"/>
                <w:sz w:val="18"/>
              </w:rPr>
              <w:t>Q20</w:t>
            </w:r>
          </w:p>
        </w:tc>
        <w:tc>
          <w:tcPr>
            <w:tcW w:type="dxa" w:w="2592"/>
            <w:shd w:val="clear" w:color="auto" w:fill="F2F6F6"/>
            <w:tcMar>
              <w:top w:w="60" w:type="dxa"/>
              <w:bottom w:w="60" w:type="dxa"/>
              <w:left w:w="80" w:type="dxa"/>
              <w:right w:w="80" w:type="dxa"/>
            </w:tcMar>
            <w:vAlign w:val="top"/>
          </w:tcPr>
          <w:p>
            <w:r>
              <w:rPr>
                <w:rFonts w:ascii="Calibri" w:hAnsi="Calibri"/>
                <w:b w:val="0"/>
                <w:i w:val="0"/>
                <w:color w:val="28251D"/>
                <w:sz w:val="18"/>
              </w:rPr>
              <w:t>Legal and privacy constraints on exercise discussion?</w:t>
            </w:r>
          </w:p>
        </w:tc>
        <w:tc>
          <w:tcPr>
            <w:tcW w:type="dxa" w:w="4032"/>
            <w:shd w:val="clear" w:color="auto" w:fill="F2F6F6"/>
            <w:tcMar>
              <w:top w:w="60" w:type="dxa"/>
              <w:bottom w:w="60" w:type="dxa"/>
              <w:left w:w="80" w:type="dxa"/>
              <w:right w:w="80" w:type="dxa"/>
            </w:tcMar>
            <w:vAlign w:val="top"/>
          </w:tcPr>
          <w:p>
            <w:r>
              <w:rPr>
                <w:rFonts w:ascii="Calibri" w:hAnsi="Calibri"/>
                <w:b w:val="0"/>
                <w:i w:val="0"/>
                <w:color w:val="28251D"/>
                <w:sz w:val="18"/>
              </w:rPr>
              <w:t>Author to define before exercise design proceeds</w:t>
            </w:r>
          </w:p>
        </w:tc>
        <w:tc>
          <w:tcPr>
            <w:tcW w:type="dxa" w:w="792"/>
            <w:shd w:val="clear" w:color="auto" w:fill="F2F6F6"/>
            <w:tcMar>
              <w:top w:w="60" w:type="dxa"/>
              <w:bottom w:w="60" w:type="dxa"/>
              <w:left w:w="80" w:type="dxa"/>
              <w:right w:w="80" w:type="dxa"/>
            </w:tcMar>
            <w:vAlign w:val="top"/>
          </w:tcPr>
          <w:p>
            <w:r>
              <w:rPr>
                <w:rFonts w:ascii="Calibri" w:hAnsi="Calibri"/>
                <w:b w:val="0"/>
                <w:i w:val="0"/>
                <w:color w:val="28251D"/>
                <w:sz w:val="18"/>
              </w:rPr>
              <w:t>HIGH</w:t>
            </w:r>
          </w:p>
        </w:tc>
      </w:tr>
      <w:tr>
        <w:tc>
          <w:tcPr>
            <w:tcW w:type="dxa" w:w="504"/>
            <w:shd w:val="clear" w:color="auto" w:fill="FFFFFF"/>
            <w:tcMar>
              <w:top w:w="60" w:type="dxa"/>
              <w:bottom w:w="60" w:type="dxa"/>
              <w:left w:w="80" w:type="dxa"/>
              <w:right w:w="80" w:type="dxa"/>
            </w:tcMar>
            <w:vAlign w:val="top"/>
          </w:tcPr>
          <w:p>
            <w:r>
              <w:rPr>
                <w:rFonts w:ascii="Calibri" w:hAnsi="Calibri"/>
                <w:b w:val="0"/>
                <w:i w:val="0"/>
                <w:color w:val="28251D"/>
                <w:sz w:val="18"/>
              </w:rPr>
              <w:t>Q21</w:t>
            </w:r>
          </w:p>
        </w:tc>
        <w:tc>
          <w:tcPr>
            <w:tcW w:type="dxa" w:w="2592"/>
            <w:shd w:val="clear" w:color="auto" w:fill="FFFFFF"/>
            <w:tcMar>
              <w:top w:w="60" w:type="dxa"/>
              <w:bottom w:w="60" w:type="dxa"/>
              <w:left w:w="80" w:type="dxa"/>
              <w:right w:w="80" w:type="dxa"/>
            </w:tcMar>
            <w:vAlign w:val="top"/>
          </w:tcPr>
          <w:p>
            <w:r>
              <w:rPr>
                <w:rFonts w:ascii="Calibri" w:hAnsi="Calibri"/>
                <w:b w:val="0"/>
                <w:i w:val="0"/>
                <w:color w:val="28251D"/>
                <w:sz w:val="18"/>
              </w:rPr>
              <w:t>Who owns the After-Action Improvement Plan?</w:t>
            </w:r>
          </w:p>
        </w:tc>
        <w:tc>
          <w:tcPr>
            <w:tcW w:type="dxa" w:w="4032"/>
            <w:shd w:val="clear" w:color="auto" w:fill="FFFFFF"/>
            <w:tcMar>
              <w:top w:w="60" w:type="dxa"/>
              <w:bottom w:w="60" w:type="dxa"/>
              <w:left w:w="80" w:type="dxa"/>
              <w:right w:w="80" w:type="dxa"/>
            </w:tcMar>
            <w:vAlign w:val="top"/>
          </w:tcPr>
          <w:p>
            <w:r>
              <w:rPr>
                <w:rFonts w:ascii="Calibri" w:hAnsi="Calibri"/>
                <w:b w:val="0"/>
                <w:i w:val="0"/>
                <w:color w:val="28251D"/>
                <w:sz w:val="18"/>
              </w:rPr>
              <w:t>Named organization / Named individual / Author to assign</w:t>
            </w:r>
          </w:p>
        </w:tc>
        <w:tc>
          <w:tcPr>
            <w:tcW w:type="dxa" w:w="792"/>
            <w:shd w:val="clear" w:color="auto" w:fill="FFFFFF"/>
            <w:tcMar>
              <w:top w:w="60" w:type="dxa"/>
              <w:bottom w:w="60" w:type="dxa"/>
              <w:left w:w="80" w:type="dxa"/>
              <w:right w:w="80" w:type="dxa"/>
            </w:tcMar>
            <w:vAlign w:val="top"/>
          </w:tcPr>
          <w:p>
            <w:r>
              <w:rPr>
                <w:rFonts w:ascii="Calibri" w:hAnsi="Calibri"/>
                <w:b w:val="0"/>
                <w:i w:val="0"/>
                <w:color w:val="28251D"/>
                <w:sz w:val="18"/>
              </w:rPr>
              <w:t>HIGH</w:t>
            </w:r>
          </w:p>
        </w:tc>
      </w:tr>
      <w:tr>
        <w:tc>
          <w:tcPr>
            <w:tcW w:type="dxa" w:w="504"/>
            <w:shd w:val="clear" w:color="auto" w:fill="F2F6F6"/>
            <w:tcMar>
              <w:top w:w="60" w:type="dxa"/>
              <w:bottom w:w="60" w:type="dxa"/>
              <w:left w:w="80" w:type="dxa"/>
              <w:right w:w="80" w:type="dxa"/>
            </w:tcMar>
            <w:vAlign w:val="top"/>
          </w:tcPr>
          <w:p>
            <w:r>
              <w:rPr>
                <w:rFonts w:ascii="Calibri" w:hAnsi="Calibri"/>
                <w:b w:val="0"/>
                <w:i w:val="0"/>
                <w:color w:val="28251D"/>
                <w:sz w:val="18"/>
              </w:rPr>
              <w:t>Q22</w:t>
            </w:r>
          </w:p>
        </w:tc>
        <w:tc>
          <w:tcPr>
            <w:tcW w:type="dxa" w:w="2592"/>
            <w:shd w:val="clear" w:color="auto" w:fill="F2F6F6"/>
            <w:tcMar>
              <w:top w:w="60" w:type="dxa"/>
              <w:bottom w:w="60" w:type="dxa"/>
              <w:left w:w="80" w:type="dxa"/>
              <w:right w:w="80" w:type="dxa"/>
            </w:tcMar>
            <w:vAlign w:val="top"/>
          </w:tcPr>
          <w:p>
            <w:r>
              <w:rPr>
                <w:rFonts w:ascii="Calibri" w:hAnsi="Calibri"/>
                <w:b w:val="0"/>
                <w:i w:val="0"/>
                <w:color w:val="28251D"/>
                <w:sz w:val="18"/>
              </w:rPr>
              <w:t>Will TTX include no-fault and confidentiality ground rules?</w:t>
            </w:r>
          </w:p>
        </w:tc>
        <w:tc>
          <w:tcPr>
            <w:tcW w:type="dxa" w:w="4032"/>
            <w:shd w:val="clear" w:color="auto" w:fill="F2F6F6"/>
            <w:tcMar>
              <w:top w:w="60" w:type="dxa"/>
              <w:bottom w:w="60" w:type="dxa"/>
              <w:left w:w="80" w:type="dxa"/>
              <w:right w:w="80" w:type="dxa"/>
            </w:tcMar>
            <w:vAlign w:val="top"/>
          </w:tcPr>
          <w:p>
            <w:r>
              <w:rPr>
                <w:rFonts w:ascii="Calibri" w:hAnsi="Calibri"/>
                <w:b w:val="0"/>
                <w:i w:val="0"/>
                <w:color w:val="28251D"/>
                <w:sz w:val="18"/>
              </w:rPr>
              <w:t>Yes (required) / Scope to be defined by author</w:t>
            </w:r>
          </w:p>
        </w:tc>
        <w:tc>
          <w:tcPr>
            <w:tcW w:type="dxa" w:w="792"/>
            <w:shd w:val="clear" w:color="auto" w:fill="F2F6F6"/>
            <w:tcMar>
              <w:top w:w="60" w:type="dxa"/>
              <w:bottom w:w="60" w:type="dxa"/>
              <w:left w:w="80" w:type="dxa"/>
              <w:right w:w="80" w:type="dxa"/>
            </w:tcMar>
            <w:vAlign w:val="top"/>
          </w:tcPr>
          <w:p>
            <w:r>
              <w:rPr>
                <w:rFonts w:ascii="Calibri" w:hAnsi="Calibri"/>
                <w:b w:val="0"/>
                <w:i w:val="0"/>
                <w:color w:val="28251D"/>
                <w:sz w:val="18"/>
              </w:rPr>
              <w:t>HIGH</w:t>
            </w:r>
          </w:p>
        </w:tc>
      </w:tr>
    </w:tbl>
    <w:p/>
    <w:p>
      <w:r>
        <w:br w:type="page"/>
      </w:r>
    </w:p>
    <w:p>
      <w:pPr>
        <w:spacing w:before="280" w:after="80"/>
        <w:jc w:val="left"/>
        <w:pBdr>
          <w:bottom w:val="single" w:sz="8" w:space="1" w:color="01696F"/>
        </w:pBdr>
      </w:pPr>
      <w:r>
        <w:rPr>
          <w:rFonts w:ascii="Calibri" w:hAnsi="Calibri"/>
          <w:b/>
          <w:i w:val="0"/>
          <w:color w:val="01696F"/>
          <w:sz w:val="32"/>
        </w:rPr>
        <w:t>8. Recommended Exercise Architecture</w:t>
      </w:r>
    </w:p>
    <w:p>
      <w:pPr>
        <w:spacing w:before="0" w:after="100"/>
        <w:jc w:val="left"/>
      </w:pPr>
      <w:r>
        <w:rPr>
          <w:rFonts w:ascii="Calibri" w:hAnsi="Calibri"/>
          <w:b w:val="0"/>
          <w:i w:val="0"/>
          <w:color w:val="28251D"/>
          <w:sz w:val="20"/>
        </w:rPr>
        <w:t>All elements below are DRAFT — pending author decisions from Section 7.</w:t>
      </w:r>
    </w:p>
    <w:p>
      <w:pPr>
        <w:spacing w:after="80" w:before="0"/>
      </w:pPr>
    </w:p>
    <w:p>
      <w:pPr>
        <w:spacing w:before="240" w:after="60"/>
        <w:jc w:val="left"/>
      </w:pPr>
      <w:r>
        <w:rPr>
          <w:rFonts w:ascii="Calibri" w:hAnsi="Calibri"/>
          <w:b/>
          <w:i w:val="0"/>
          <w:color w:val="0C4E54"/>
          <w:sz w:val="26"/>
        </w:rPr>
        <w:t>8.1 Purpose &amp; Primary Objective</w:t>
      </w:r>
    </w:p>
    <w:p>
      <w:pPr>
        <w:spacing w:before="160" w:after="60"/>
        <w:jc w:val="left"/>
      </w:pPr>
      <w:r>
        <w:rPr>
          <w:rFonts w:ascii="Calibri" w:hAnsi="Calibri"/>
          <w:b/>
          <w:i w:val="0"/>
          <w:color w:val="28251D"/>
          <w:sz w:val="22"/>
        </w:rPr>
        <w:t>Primary Purpose (recommended — pending author approval)</w:t>
      </w:r>
    </w:p>
    <w:p>
      <w:pPr>
        <w:spacing w:before="0" w:after="100"/>
        <w:jc w:val="left"/>
      </w:pPr>
      <w:r>
        <w:rPr>
          <w:rFonts w:ascii="Calibri" w:hAnsi="Calibri"/>
          <w:b w:val="0"/>
          <w:i w:val="0"/>
          <w:color w:val="28251D"/>
          <w:sz w:val="20"/>
        </w:rPr>
        <w:t>To stress-test the earliest, most ambiguous phase of a novel pathogen outbreak — specifically the pre-recognition window where no protocol exists, no supplies are staged, and clinical decision-making operates entirely on provider judgment under uncertainty.</w:t>
      </w:r>
    </w:p>
    <w:p>
      <w:pPr>
        <w:spacing w:before="160" w:after="60"/>
        <w:jc w:val="left"/>
      </w:pPr>
      <w:r>
        <w:rPr>
          <w:rFonts w:ascii="Calibri" w:hAnsi="Calibri"/>
          <w:b/>
          <w:i w:val="0"/>
          <w:color w:val="28251D"/>
          <w:sz w:val="22"/>
        </w:rPr>
        <w:t>Primary Objective (recommended — pending author approval)</w:t>
      </w:r>
    </w:p>
    <w:p>
      <w:pPr>
        <w:spacing w:before="0" w:after="100"/>
        <w:jc w:val="left"/>
      </w:pPr>
      <w:r>
        <w:rPr>
          <w:rFonts w:ascii="Calibri" w:hAnsi="Calibri"/>
          <w:b w:val="0"/>
          <w:i w:val="0"/>
          <w:color w:val="28251D"/>
          <w:sz w:val="20"/>
        </w:rPr>
        <w:t>Evaluate how frontline clinical teams detect, escalate, and make containment decisions during the first 72 hours of an uncharacterized pathogen outbreak, before any formal guidance or diagnostic confirmation exists.</w:t>
      </w:r>
    </w:p>
    <w:p>
      <w:pPr>
        <w:spacing w:before="160" w:after="60"/>
        <w:jc w:val="left"/>
      </w:pPr>
      <w:r>
        <w:rPr>
          <w:rFonts w:ascii="Calibri" w:hAnsi="Calibri"/>
          <w:b/>
          <w:i w:val="0"/>
          <w:color w:val="28251D"/>
          <w:sz w:val="22"/>
        </w:rPr>
        <w:t>Supporting Objectives</w:t>
      </w:r>
    </w:p>
    <w:p>
      <w:pPr>
        <w:spacing w:before="0" w:after="60"/>
        <w:ind w:left="360" w:hanging="288"/>
      </w:pPr>
      <w:r>
        <w:rPr>
          <w:rFonts w:ascii="Calibri" w:hAnsi="Calibri"/>
          <w:b w:val="0"/>
          <w:i w:val="0"/>
          <w:color w:val="28251D"/>
          <w:sz w:val="20"/>
        </w:rPr>
        <w:t>•  Test internal hospital communication pathways under diagnostic uncertainty</w:t>
      </w:r>
    </w:p>
    <w:p>
      <w:pPr>
        <w:spacing w:before="0" w:after="60"/>
        <w:ind w:left="360" w:hanging="288"/>
      </w:pPr>
      <w:r>
        <w:rPr>
          <w:rFonts w:ascii="Calibri" w:hAnsi="Calibri"/>
          <w:b w:val="0"/>
          <w:i w:val="0"/>
          <w:color w:val="28251D"/>
          <w:sz w:val="20"/>
        </w:rPr>
        <w:t>•  Evaluate PPE and isolation resource decision-making under scarcity conditions</w:t>
      </w:r>
    </w:p>
    <w:p>
      <w:pPr>
        <w:spacing w:before="0" w:after="60"/>
        <w:ind w:left="360" w:hanging="288"/>
      </w:pPr>
      <w:r>
        <w:rPr>
          <w:rFonts w:ascii="Calibri" w:hAnsi="Calibri"/>
          <w:b w:val="0"/>
          <w:i w:val="0"/>
          <w:color w:val="28251D"/>
          <w:sz w:val="20"/>
        </w:rPr>
        <w:t>•  Identify escalation thresholds — at what point do providers alert Infection Prevention, administration, and public health</w:t>
      </w:r>
    </w:p>
    <w:p>
      <w:pPr>
        <w:spacing w:before="0" w:after="60"/>
        <w:ind w:left="360" w:hanging="288"/>
      </w:pPr>
      <w:r>
        <w:rPr>
          <w:rFonts w:ascii="Calibri" w:hAnsi="Calibri"/>
          <w:b w:val="0"/>
          <w:i w:val="0"/>
          <w:color w:val="28251D"/>
          <w:sz w:val="20"/>
        </w:rPr>
        <w:t>•  Assess provider cognitive and operational load during sustained uncertainty</w:t>
      </w:r>
    </w:p>
    <w:p>
      <w:pPr>
        <w:spacing w:before="0" w:after="60"/>
        <w:ind w:left="360" w:hanging="288"/>
      </w:pPr>
      <w:r>
        <w:rPr>
          <w:rFonts w:ascii="Calibri" w:hAnsi="Calibri"/>
          <w:b w:val="0"/>
          <w:i w:val="0"/>
          <w:color w:val="28251D"/>
          <w:sz w:val="20"/>
        </w:rPr>
        <w:t>•  Evaluate inter-agency handoff protocols between hospital and public health systems</w:t>
      </w:r>
    </w:p>
    <w:p>
      <w:pPr>
        <w:spacing w:before="0" w:after="60"/>
        <w:ind w:left="360" w:hanging="288"/>
      </w:pPr>
      <w:r>
        <w:rPr>
          <w:rFonts w:ascii="Calibri" w:hAnsi="Calibri"/>
          <w:b w:val="0"/>
          <w:i w:val="0"/>
          <w:color w:val="28251D"/>
          <w:sz w:val="20"/>
        </w:rPr>
        <w:t>•  Test communication and public messaging preparedness before institutional guidance is ready</w:t>
      </w:r>
    </w:p>
    <w:p>
      <w:pPr>
        <w:spacing w:after="160" w:before="0"/>
      </w:pPr>
    </w:p>
    <w:p>
      <w:pPr>
        <w:spacing w:before="240" w:after="60"/>
        <w:jc w:val="left"/>
      </w:pPr>
      <w:r>
        <w:rPr>
          <w:rFonts w:ascii="Calibri" w:hAnsi="Calibri"/>
          <w:b/>
          <w:i w:val="0"/>
          <w:color w:val="0C4E54"/>
          <w:sz w:val="26"/>
        </w:rPr>
        <w:t>8.2 Recommended Pathogen Archetype</w:t>
      </w:r>
    </w:p>
    <w:p>
      <w:pPr>
        <w:spacing w:before="0" w:after="100"/>
        <w:jc w:val="left"/>
      </w:pPr>
      <w:r>
        <w:rPr>
          <w:rFonts w:ascii="Calibri" w:hAnsi="Calibri"/>
          <w:b w:val="0"/>
          <w:i w:val="0"/>
          <w:color w:val="28251D"/>
          <w:sz w:val="20"/>
        </w:rPr>
        <w:t>Pending author selection from Q1-Q6. The following is the cross-AI recommended default.</w:t>
      </w:r>
    </w:p>
    <w:p>
      <w:pPr>
        <w:spacing w:after="80" w:before="0"/>
      </w:pP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536"/>
        <w:gridCol w:w="4536"/>
      </w:tblGrid>
      <w:tr>
        <w:tc>
          <w:tcPr>
            <w:tcW w:type="dxa" w:w="2880"/>
            <w:shd w:val="clear" w:color="auto" w:fill="01696F"/>
            <w:tcMar>
              <w:top w:w="60" w:type="dxa"/>
              <w:bottom w:w="60" w:type="dxa"/>
              <w:left w:w="80" w:type="dxa"/>
              <w:right w:w="80" w:type="dxa"/>
            </w:tcMar>
          </w:tcPr>
          <w:p>
            <w:pPr>
              <w:jc w:val="center"/>
            </w:pPr>
            <w:r>
              <w:rPr>
                <w:rFonts w:ascii="Calibri" w:hAnsi="Calibri"/>
                <w:b/>
                <w:i w:val="0"/>
                <w:color w:val="FFFFFF"/>
                <w:sz w:val="18"/>
              </w:rPr>
              <w:t>Characteristic</w:t>
            </w:r>
          </w:p>
        </w:tc>
        <w:tc>
          <w:tcPr>
            <w:tcW w:type="dxa" w:w="6480"/>
            <w:shd w:val="clear" w:color="auto" w:fill="01696F"/>
            <w:tcMar>
              <w:top w:w="60" w:type="dxa"/>
              <w:bottom w:w="60" w:type="dxa"/>
              <w:left w:w="80" w:type="dxa"/>
              <w:right w:w="80" w:type="dxa"/>
            </w:tcMar>
          </w:tcPr>
          <w:p>
            <w:pPr>
              <w:jc w:val="center"/>
            </w:pPr>
            <w:r>
              <w:rPr>
                <w:rFonts w:ascii="Calibri" w:hAnsi="Calibri"/>
                <w:b/>
                <w:i w:val="0"/>
                <w:color w:val="FFFFFF"/>
                <w:sz w:val="18"/>
              </w:rPr>
              <w:t>Working Value</w:t>
            </w:r>
          </w:p>
        </w:tc>
      </w:tr>
      <w:tr>
        <w:tc>
          <w:tcPr>
            <w:tcW w:type="dxa" w:w="2880"/>
            <w:shd w:val="clear" w:color="auto" w:fill="FFFFFF"/>
            <w:tcMar>
              <w:top w:w="60" w:type="dxa"/>
              <w:bottom w:w="60" w:type="dxa"/>
              <w:left w:w="80" w:type="dxa"/>
              <w:right w:w="80" w:type="dxa"/>
            </w:tcMar>
            <w:vAlign w:val="top"/>
          </w:tcPr>
          <w:p>
            <w:r>
              <w:rPr>
                <w:rFonts w:ascii="Calibri" w:hAnsi="Calibri"/>
                <w:b w:val="0"/>
                <w:i w:val="0"/>
                <w:color w:val="28251D"/>
                <w:sz w:val="18"/>
              </w:rPr>
              <w:t>Transmission</w:t>
            </w:r>
          </w:p>
        </w:tc>
        <w:tc>
          <w:tcPr>
            <w:tcW w:type="dxa" w:w="6480"/>
            <w:shd w:val="clear" w:color="auto" w:fill="FFFFFF"/>
            <w:tcMar>
              <w:top w:w="60" w:type="dxa"/>
              <w:bottom w:w="60" w:type="dxa"/>
              <w:left w:w="80" w:type="dxa"/>
              <w:right w:w="80" w:type="dxa"/>
            </w:tcMar>
            <w:vAlign w:val="top"/>
          </w:tcPr>
          <w:p>
            <w:r>
              <w:rPr>
                <w:rFonts w:ascii="Calibri" w:hAnsi="Calibri"/>
                <w:b w:val="0"/>
                <w:i w:val="0"/>
                <w:color w:val="28251D"/>
                <w:sz w:val="18"/>
              </w:rPr>
              <w:t>Airborne and droplet — moderate-to-high transmissibility</w:t>
            </w:r>
          </w:p>
        </w:tc>
      </w:tr>
      <w:tr>
        <w:tc>
          <w:tcPr>
            <w:tcW w:type="dxa" w:w="2880"/>
            <w:shd w:val="clear" w:color="auto" w:fill="F2F6F6"/>
            <w:tcMar>
              <w:top w:w="60" w:type="dxa"/>
              <w:bottom w:w="60" w:type="dxa"/>
              <w:left w:w="80" w:type="dxa"/>
              <w:right w:w="80" w:type="dxa"/>
            </w:tcMar>
            <w:vAlign w:val="top"/>
          </w:tcPr>
          <w:p>
            <w:r>
              <w:rPr>
                <w:rFonts w:ascii="Calibri" w:hAnsi="Calibri"/>
                <w:b w:val="0"/>
                <w:i w:val="0"/>
                <w:color w:val="28251D"/>
                <w:sz w:val="18"/>
              </w:rPr>
              <w:t>Incubation period</w:t>
            </w:r>
          </w:p>
        </w:tc>
        <w:tc>
          <w:tcPr>
            <w:tcW w:type="dxa" w:w="6480"/>
            <w:shd w:val="clear" w:color="auto" w:fill="F2F6F6"/>
            <w:tcMar>
              <w:top w:w="60" w:type="dxa"/>
              <w:bottom w:w="60" w:type="dxa"/>
              <w:left w:w="80" w:type="dxa"/>
              <w:right w:w="80" w:type="dxa"/>
            </w:tcMar>
            <w:vAlign w:val="top"/>
          </w:tcPr>
          <w:p>
            <w:r>
              <w:rPr>
                <w:rFonts w:ascii="Calibri" w:hAnsi="Calibri"/>
                <w:b w:val="0"/>
                <w:i w:val="0"/>
                <w:color w:val="28251D"/>
                <w:sz w:val="18"/>
              </w:rPr>
              <w:t>Variable: 2-10 days — defeats early contact tracing</w:t>
            </w:r>
          </w:p>
        </w:tc>
      </w:tr>
      <w:tr>
        <w:tc>
          <w:tcPr>
            <w:tcW w:type="dxa" w:w="2880"/>
            <w:shd w:val="clear" w:color="auto" w:fill="FFFFFF"/>
            <w:tcMar>
              <w:top w:w="60" w:type="dxa"/>
              <w:bottom w:w="60" w:type="dxa"/>
              <w:left w:w="80" w:type="dxa"/>
              <w:right w:w="80" w:type="dxa"/>
            </w:tcMar>
            <w:vAlign w:val="top"/>
          </w:tcPr>
          <w:p>
            <w:r>
              <w:rPr>
                <w:rFonts w:ascii="Calibri" w:hAnsi="Calibri"/>
                <w:b w:val="0"/>
                <w:i w:val="0"/>
                <w:color w:val="28251D"/>
                <w:sz w:val="18"/>
              </w:rPr>
              <w:t>Initial symptoms</w:t>
            </w:r>
          </w:p>
        </w:tc>
        <w:tc>
          <w:tcPr>
            <w:tcW w:type="dxa" w:w="6480"/>
            <w:shd w:val="clear" w:color="auto" w:fill="FFFFFF"/>
            <w:tcMar>
              <w:top w:w="60" w:type="dxa"/>
              <w:bottom w:w="60" w:type="dxa"/>
              <w:left w:w="80" w:type="dxa"/>
              <w:right w:w="80" w:type="dxa"/>
            </w:tcMar>
            <w:vAlign w:val="top"/>
          </w:tcPr>
          <w:p>
            <w:r>
              <w:rPr>
                <w:rFonts w:ascii="Calibri" w:hAnsi="Calibri"/>
                <w:b w:val="0"/>
                <w:i w:val="0"/>
                <w:color w:val="28251D"/>
                <w:sz w:val="18"/>
              </w:rPr>
              <w:t>Non-specific: fever, myalgia, atypical respiratory symptoms, occasional dermatological manifestations</w:t>
            </w:r>
          </w:p>
        </w:tc>
      </w:tr>
      <w:tr>
        <w:tc>
          <w:tcPr>
            <w:tcW w:type="dxa" w:w="2880"/>
            <w:shd w:val="clear" w:color="auto" w:fill="F2F6F6"/>
            <w:tcMar>
              <w:top w:w="60" w:type="dxa"/>
              <w:bottom w:w="60" w:type="dxa"/>
              <w:left w:w="80" w:type="dxa"/>
              <w:right w:w="80" w:type="dxa"/>
            </w:tcMar>
            <w:vAlign w:val="top"/>
          </w:tcPr>
          <w:p>
            <w:r>
              <w:rPr>
                <w:rFonts w:ascii="Calibri" w:hAnsi="Calibri"/>
                <w:b w:val="0"/>
                <w:i w:val="0"/>
                <w:color w:val="28251D"/>
                <w:sz w:val="18"/>
              </w:rPr>
              <w:t>Rapid diagnostic result</w:t>
            </w:r>
          </w:p>
        </w:tc>
        <w:tc>
          <w:tcPr>
            <w:tcW w:type="dxa" w:w="6480"/>
            <w:shd w:val="clear" w:color="auto" w:fill="F2F6F6"/>
            <w:tcMar>
              <w:top w:w="60" w:type="dxa"/>
              <w:bottom w:w="60" w:type="dxa"/>
              <w:left w:w="80" w:type="dxa"/>
              <w:right w:w="80" w:type="dxa"/>
            </w:tcMar>
            <w:vAlign w:val="top"/>
          </w:tcPr>
          <w:p>
            <w:r>
              <w:rPr>
                <w:rFonts w:ascii="Calibri" w:hAnsi="Calibri"/>
                <w:b w:val="0"/>
                <w:i w:val="0"/>
                <w:color w:val="28251D"/>
                <w:sz w:val="18"/>
              </w:rPr>
              <w:t>Negative on standard flu, COVID, RSV panels</w:t>
            </w:r>
          </w:p>
        </w:tc>
      </w:tr>
      <w:tr>
        <w:tc>
          <w:tcPr>
            <w:tcW w:type="dxa" w:w="2880"/>
            <w:shd w:val="clear" w:color="auto" w:fill="FFFFFF"/>
            <w:tcMar>
              <w:top w:w="60" w:type="dxa"/>
              <w:bottom w:w="60" w:type="dxa"/>
              <w:left w:w="80" w:type="dxa"/>
              <w:right w:w="80" w:type="dxa"/>
            </w:tcMar>
            <w:vAlign w:val="top"/>
          </w:tcPr>
          <w:p>
            <w:r>
              <w:rPr>
                <w:rFonts w:ascii="Calibri" w:hAnsi="Calibri"/>
                <w:b w:val="0"/>
                <w:i w:val="0"/>
                <w:color w:val="28251D"/>
                <w:sz w:val="18"/>
              </w:rPr>
              <w:t>Severity spectrum</w:t>
            </w:r>
          </w:p>
        </w:tc>
        <w:tc>
          <w:tcPr>
            <w:tcW w:type="dxa" w:w="6480"/>
            <w:shd w:val="clear" w:color="auto" w:fill="FFFFFF"/>
            <w:tcMar>
              <w:top w:w="60" w:type="dxa"/>
              <w:bottom w:w="60" w:type="dxa"/>
              <w:left w:w="80" w:type="dxa"/>
              <w:right w:w="80" w:type="dxa"/>
            </w:tcMar>
            <w:vAlign w:val="top"/>
          </w:tcPr>
          <w:p>
            <w:r>
              <w:rPr>
                <w:rFonts w:ascii="Calibri" w:hAnsi="Calibri"/>
                <w:b w:val="0"/>
                <w:i w:val="0"/>
                <w:color w:val="28251D"/>
                <w:sz w:val="18"/>
              </w:rPr>
              <w:t>Moderate-to-high severity in 15-20% of cases; mild/asymptomatic in remainder — creates misleading early mortality signal</w:t>
            </w:r>
          </w:p>
        </w:tc>
      </w:tr>
      <w:tr>
        <w:tc>
          <w:tcPr>
            <w:tcW w:type="dxa" w:w="2880"/>
            <w:shd w:val="clear" w:color="auto" w:fill="F2F6F6"/>
            <w:tcMar>
              <w:top w:w="60" w:type="dxa"/>
              <w:bottom w:w="60" w:type="dxa"/>
              <w:left w:w="80" w:type="dxa"/>
              <w:right w:w="80" w:type="dxa"/>
            </w:tcMar>
            <w:vAlign w:val="top"/>
          </w:tcPr>
          <w:p>
            <w:r>
              <w:rPr>
                <w:rFonts w:ascii="Calibri" w:hAnsi="Calibri"/>
                <w:b w:val="0"/>
                <w:i w:val="0"/>
                <w:color w:val="28251D"/>
                <w:sz w:val="18"/>
              </w:rPr>
              <w:t>Treatment availability</w:t>
            </w:r>
          </w:p>
        </w:tc>
        <w:tc>
          <w:tcPr>
            <w:tcW w:type="dxa" w:w="6480"/>
            <w:shd w:val="clear" w:color="auto" w:fill="F2F6F6"/>
            <w:tcMar>
              <w:top w:w="60" w:type="dxa"/>
              <w:bottom w:w="60" w:type="dxa"/>
              <w:left w:w="80" w:type="dxa"/>
              <w:right w:w="80" w:type="dxa"/>
            </w:tcMar>
            <w:vAlign w:val="top"/>
          </w:tcPr>
          <w:p>
            <w:r>
              <w:rPr>
                <w:rFonts w:ascii="Calibri" w:hAnsi="Calibri"/>
                <w:b w:val="0"/>
                <w:i w:val="0"/>
                <w:color w:val="28251D"/>
                <w:sz w:val="18"/>
              </w:rPr>
              <w:t>No established protocol; no available vaccine</w:t>
            </w:r>
          </w:p>
        </w:tc>
      </w:tr>
      <w:tr>
        <w:tc>
          <w:tcPr>
            <w:tcW w:type="dxa" w:w="2880"/>
            <w:shd w:val="clear" w:color="auto" w:fill="FFFFFF"/>
            <w:tcMar>
              <w:top w:w="60" w:type="dxa"/>
              <w:bottom w:w="60" w:type="dxa"/>
              <w:left w:w="80" w:type="dxa"/>
              <w:right w:w="80" w:type="dxa"/>
            </w:tcMar>
            <w:vAlign w:val="top"/>
          </w:tcPr>
          <w:p>
            <w:r>
              <w:rPr>
                <w:rFonts w:ascii="Calibri" w:hAnsi="Calibri"/>
                <w:b w:val="0"/>
                <w:i w:val="0"/>
                <w:color w:val="28251D"/>
                <w:sz w:val="18"/>
              </w:rPr>
              <w:t>Lab confirmation</w:t>
            </w:r>
          </w:p>
        </w:tc>
        <w:tc>
          <w:tcPr>
            <w:tcW w:type="dxa" w:w="6480"/>
            <w:shd w:val="clear" w:color="auto" w:fill="FFFFFF"/>
            <w:tcMar>
              <w:top w:w="60" w:type="dxa"/>
              <w:bottom w:w="60" w:type="dxa"/>
              <w:left w:w="80" w:type="dxa"/>
              <w:right w:w="80" w:type="dxa"/>
            </w:tcMar>
            <w:vAlign w:val="top"/>
          </w:tcPr>
          <w:p>
            <w:r>
              <w:rPr>
                <w:rFonts w:ascii="Calibri" w:hAnsi="Calibri"/>
                <w:b w:val="0"/>
                <w:i w:val="0"/>
                <w:color w:val="28251D"/>
                <w:sz w:val="18"/>
              </w:rPr>
              <w:t>48-72 hour turnaround for specialized testing</w:t>
            </w:r>
          </w:p>
        </w:tc>
      </w:tr>
    </w:tbl>
    <w:p/>
    <w:p>
      <w:pPr>
        <w:spacing w:after="160" w:before="0"/>
      </w:pPr>
    </w:p>
    <w:p>
      <w:pPr>
        <w:spacing w:before="240" w:after="60"/>
        <w:jc w:val="left"/>
      </w:pPr>
      <w:r>
        <w:rPr>
          <w:rFonts w:ascii="Calibri" w:hAnsi="Calibri"/>
          <w:b/>
          <w:i w:val="0"/>
          <w:color w:val="0C4E54"/>
          <w:sz w:val="26"/>
        </w:rPr>
        <w:t>8.3 Participant Structure</w:t>
      </w: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536"/>
        <w:gridCol w:w="4536"/>
      </w:tblGrid>
      <w:tr>
        <w:tc>
          <w:tcPr>
            <w:tcW w:type="dxa" w:w="2880"/>
            <w:shd w:val="clear" w:color="auto" w:fill="01696F"/>
            <w:tcMar>
              <w:top w:w="60" w:type="dxa"/>
              <w:bottom w:w="60" w:type="dxa"/>
              <w:left w:w="80" w:type="dxa"/>
              <w:right w:w="80" w:type="dxa"/>
            </w:tcMar>
          </w:tcPr>
          <w:p>
            <w:pPr>
              <w:jc w:val="center"/>
            </w:pPr>
            <w:r>
              <w:rPr>
                <w:rFonts w:ascii="Calibri" w:hAnsi="Calibri"/>
                <w:b/>
                <w:i w:val="0"/>
                <w:color w:val="FFFFFF"/>
                <w:sz w:val="18"/>
              </w:rPr>
              <w:t>Role Category</w:t>
            </w:r>
          </w:p>
        </w:tc>
        <w:tc>
          <w:tcPr>
            <w:tcW w:type="dxa" w:w="6480"/>
            <w:shd w:val="clear" w:color="auto" w:fill="01696F"/>
            <w:tcMar>
              <w:top w:w="60" w:type="dxa"/>
              <w:bottom w:w="60" w:type="dxa"/>
              <w:left w:w="80" w:type="dxa"/>
              <w:right w:w="80" w:type="dxa"/>
            </w:tcMar>
          </w:tcPr>
          <w:p>
            <w:pPr>
              <w:jc w:val="center"/>
            </w:pPr>
            <w:r>
              <w:rPr>
                <w:rFonts w:ascii="Calibri" w:hAnsi="Calibri"/>
                <w:b/>
                <w:i w:val="0"/>
                <w:color w:val="FFFFFF"/>
                <w:sz w:val="18"/>
              </w:rPr>
              <w:t>Participants</w:t>
            </w:r>
          </w:p>
        </w:tc>
      </w:tr>
      <w:tr>
        <w:tc>
          <w:tcPr>
            <w:tcW w:type="dxa" w:w="2880"/>
            <w:shd w:val="clear" w:color="auto" w:fill="FFFFFF"/>
            <w:tcMar>
              <w:top w:w="60" w:type="dxa"/>
              <w:bottom w:w="60" w:type="dxa"/>
              <w:left w:w="80" w:type="dxa"/>
              <w:right w:w="80" w:type="dxa"/>
            </w:tcMar>
            <w:vAlign w:val="top"/>
          </w:tcPr>
          <w:p>
            <w:r>
              <w:rPr>
                <w:rFonts w:ascii="Calibri" w:hAnsi="Calibri"/>
                <w:b w:val="0"/>
                <w:i w:val="0"/>
                <w:color w:val="28251D"/>
                <w:sz w:val="18"/>
              </w:rPr>
              <w:t>Primary Players (active decision-makers)</w:t>
            </w:r>
          </w:p>
        </w:tc>
        <w:tc>
          <w:tcPr>
            <w:tcW w:type="dxa" w:w="6480"/>
            <w:shd w:val="clear" w:color="auto" w:fill="FFFFFF"/>
            <w:tcMar>
              <w:top w:w="60" w:type="dxa"/>
              <w:bottom w:w="60" w:type="dxa"/>
              <w:left w:w="80" w:type="dxa"/>
              <w:right w:w="80" w:type="dxa"/>
            </w:tcMar>
            <w:vAlign w:val="top"/>
          </w:tcPr>
          <w:p>
            <w:r>
              <w:rPr>
                <w:rFonts w:ascii="Calibri" w:hAnsi="Calibri"/>
                <w:b w:val="0"/>
                <w:i w:val="0"/>
                <w:color w:val="28251D"/>
                <w:sz w:val="18"/>
              </w:rPr>
              <w:t>ED physicians and charge nurses · Hospitalists and ICU attending physicians · Infection Prevention and Control officers · Hospital administration (CMO, CNO, COO) · Laboratory directors · Pharmacy leads · Respiratory therapy · Supply chain</w:t>
            </w:r>
          </w:p>
        </w:tc>
      </w:tr>
      <w:tr>
        <w:tc>
          <w:tcPr>
            <w:tcW w:type="dxa" w:w="2880"/>
            <w:shd w:val="clear" w:color="auto" w:fill="F2F6F6"/>
            <w:tcMar>
              <w:top w:w="60" w:type="dxa"/>
              <w:bottom w:w="60" w:type="dxa"/>
              <w:left w:w="80" w:type="dxa"/>
              <w:right w:w="80" w:type="dxa"/>
            </w:tcMar>
            <w:vAlign w:val="top"/>
          </w:tcPr>
          <w:p>
            <w:r>
              <w:rPr>
                <w:rFonts w:ascii="Calibri" w:hAnsi="Calibri"/>
                <w:b w:val="0"/>
                <w:i w:val="0"/>
                <w:color w:val="28251D"/>
                <w:sz w:val="18"/>
              </w:rPr>
              <w:t>Secondary Players (consulted/reactive)</w:t>
            </w:r>
          </w:p>
        </w:tc>
        <w:tc>
          <w:tcPr>
            <w:tcW w:type="dxa" w:w="6480"/>
            <w:shd w:val="clear" w:color="auto" w:fill="F2F6F6"/>
            <w:tcMar>
              <w:top w:w="60" w:type="dxa"/>
              <w:bottom w:w="60" w:type="dxa"/>
              <w:left w:w="80" w:type="dxa"/>
              <w:right w:w="80" w:type="dxa"/>
            </w:tcMar>
            <w:vAlign w:val="top"/>
          </w:tcPr>
          <w:p>
            <w:r>
              <w:rPr>
                <w:rFonts w:ascii="Calibri" w:hAnsi="Calibri"/>
                <w:b w:val="0"/>
                <w:i w:val="0"/>
                <w:color w:val="28251D"/>
                <w:sz w:val="18"/>
              </w:rPr>
              <w:t>Public health liaison (county or state) · Legal counsel · Risk management · Communications/public affairs</w:t>
            </w:r>
          </w:p>
        </w:tc>
      </w:tr>
      <w:tr>
        <w:tc>
          <w:tcPr>
            <w:tcW w:type="dxa" w:w="2880"/>
            <w:shd w:val="clear" w:color="auto" w:fill="FFFFFF"/>
            <w:tcMar>
              <w:top w:w="60" w:type="dxa"/>
              <w:bottom w:w="60" w:type="dxa"/>
              <w:left w:w="80" w:type="dxa"/>
              <w:right w:w="80" w:type="dxa"/>
            </w:tcMar>
            <w:vAlign w:val="top"/>
          </w:tcPr>
          <w:p>
            <w:r>
              <w:rPr>
                <w:rFonts w:ascii="Calibri" w:hAnsi="Calibri"/>
                <w:b w:val="0"/>
                <w:i w:val="0"/>
                <w:color w:val="28251D"/>
                <w:sz w:val="18"/>
              </w:rPr>
              <w:t>Evaluators and Observers</w:t>
            </w:r>
          </w:p>
        </w:tc>
        <w:tc>
          <w:tcPr>
            <w:tcW w:type="dxa" w:w="6480"/>
            <w:shd w:val="clear" w:color="auto" w:fill="FFFFFF"/>
            <w:tcMar>
              <w:top w:w="60" w:type="dxa"/>
              <w:bottom w:w="60" w:type="dxa"/>
              <w:left w:w="80" w:type="dxa"/>
              <w:right w:w="80" w:type="dxa"/>
            </w:tcMar>
            <w:vAlign w:val="top"/>
          </w:tcPr>
          <w:p>
            <w:r>
              <w:rPr>
                <w:rFonts w:ascii="Calibri" w:hAnsi="Calibri"/>
                <w:b w:val="0"/>
                <w:i w:val="0"/>
                <w:color w:val="28251D"/>
                <w:sz w:val="18"/>
              </w:rPr>
              <w:t>Clinical SME (adjudicates inject realism) · Exercise facilitator · Note takers per breakout group · Ethics representative</w:t>
            </w:r>
          </w:p>
        </w:tc>
      </w:tr>
      <w:tr>
        <w:tc>
          <w:tcPr>
            <w:tcW w:type="dxa" w:w="2880"/>
            <w:shd w:val="clear" w:color="auto" w:fill="F2F6F6"/>
            <w:tcMar>
              <w:top w:w="60" w:type="dxa"/>
              <w:bottom w:w="60" w:type="dxa"/>
              <w:left w:w="80" w:type="dxa"/>
              <w:right w:w="80" w:type="dxa"/>
            </w:tcMar>
            <w:vAlign w:val="top"/>
          </w:tcPr>
          <w:p>
            <w:r>
              <w:rPr>
                <w:rFonts w:ascii="Calibri" w:hAnsi="Calibri"/>
                <w:b w:val="0"/>
                <w:i w:val="0"/>
                <w:color w:val="28251D"/>
                <w:sz w:val="18"/>
              </w:rPr>
              <w:t>Simulators (played by control team)</w:t>
            </w:r>
          </w:p>
        </w:tc>
        <w:tc>
          <w:tcPr>
            <w:tcW w:type="dxa" w:w="6480"/>
            <w:shd w:val="clear" w:color="auto" w:fill="F2F6F6"/>
            <w:tcMar>
              <w:top w:w="60" w:type="dxa"/>
              <w:bottom w:w="60" w:type="dxa"/>
              <w:left w:w="80" w:type="dxa"/>
              <w:right w:w="80" w:type="dxa"/>
            </w:tcMar>
            <w:vAlign w:val="top"/>
          </w:tcPr>
          <w:p>
            <w:r>
              <w:rPr>
                <w:rFonts w:ascii="Calibri" w:hAnsi="Calibri"/>
                <w:b w:val="0"/>
                <w:i w:val="0"/>
                <w:color w:val="28251D"/>
                <w:sz w:val="18"/>
              </w:rPr>
              <w:t>Off-site hospitals · State and federal public health agencies · Media inquiries · Specialty consultants · Supply vendors</w:t>
            </w:r>
          </w:p>
        </w:tc>
      </w:tr>
    </w:tbl>
    <w:p/>
    <w:p>
      <w:r>
        <w:br w:type="page"/>
      </w:r>
    </w:p>
    <w:p>
      <w:pPr>
        <w:spacing w:before="240" w:after="60"/>
        <w:jc w:val="left"/>
      </w:pPr>
      <w:r>
        <w:rPr>
          <w:rFonts w:ascii="Calibri" w:hAnsi="Calibri"/>
          <w:b/>
          <w:i w:val="0"/>
          <w:color w:val="0C4E54"/>
          <w:sz w:val="26"/>
        </w:rPr>
        <w:t>8.4 Exercise Timeline &amp; Master Scenario Events List (MSEL)</w:t>
      </w:r>
    </w:p>
    <w:p>
      <w:pPr>
        <w:spacing w:before="160" w:after="60"/>
        <w:jc w:val="left"/>
      </w:pPr>
      <w:r>
        <w:rPr>
          <w:rFonts w:ascii="Calibri" w:hAnsi="Calibri"/>
          <w:b/>
          <w:i w:val="0"/>
          <w:color w:val="28251D"/>
          <w:sz w:val="22"/>
        </w:rPr>
        <w:t>Phase 1: The Anomaly — "Every Day is the First Day" (Hours 0-48)</w:t>
      </w:r>
    </w:p>
    <w:tbl>
      <w:tblPr>
        <w:tblW w:type="auto" w:w="0"/>
        <w:jc w:val="center"/>
        <w:tblLook w:firstColumn="1" w:firstRow="1" w:lastColumn="0" w:lastRow="0" w:noHBand="0" w:noVBand="1" w:val="04A0"/>
        <w:tblBorders>
          <w:top w:val="single" w:sz="4" w:space="0" w:color="01696F"/>
          <w:left w:val="single" w:sz="4" w:space="0" w:color="01696F"/>
          <w:bottom w:val="single" w:sz="4" w:space="0" w:color="01696F"/>
          <w:right w:val="single" w:sz="4" w:space="0" w:color="01696F"/>
          <w:insideH w:val="single" w:sz="4" w:space="0" w:color="01696F"/>
          <w:insideV w:val="single" w:sz="4" w:space="0" w:color="01696F"/>
        </w:tblBorders>
      </w:tblPr>
      <w:tblGrid>
        <w:gridCol w:w="9072"/>
      </w:tblGrid>
      <w:tr>
        <w:tc>
          <w:tcPr>
            <w:tcW w:type="dxa" w:w="9072"/>
            <w:shd w:val="clear" w:color="auto" w:fill="F0F7F7"/>
            <w:tcMar>
              <w:top w:w="80" w:type="dxa"/>
              <w:bottom w:w="80" w:type="dxa"/>
              <w:left w:w="100" w:type="dxa"/>
              <w:right w:w="100" w:type="dxa"/>
            </w:tcMar>
          </w:tcPr>
          <w:p>
            <w:pPr>
              <w:jc w:val="center"/>
            </w:pPr>
            <w:r>
              <w:rPr>
                <w:rFonts w:ascii="Calibri" w:hAnsi="Calibri"/>
                <w:b/>
                <w:i w:val="0"/>
                <w:color w:val="0C4E54"/>
                <w:sz w:val="19"/>
              </w:rPr>
              <w:t>Opening Facilitator Frame: "You are in Week 1. A patient presents. Rapid panels are negative. You don't know what you're looking at. When you did your residency, how many times did a patient present to you and you genuinely didn't know what to do? Every day? That is today — except now it's happening with multiple patients per shift, and you have no playbook, no surge supplies, and no clear guidance yet. That is where we begin."</w:t>
            </w:r>
          </w:p>
        </w:tc>
      </w:tr>
    </w:tbl>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536"/>
        <w:gridCol w:w="4536"/>
      </w:tblGrid>
      <w:tr>
        <w:tc>
          <w:tcPr>
            <w:tcW w:type="dxa" w:w="1296"/>
            <w:shd w:val="clear" w:color="auto" w:fill="01696F"/>
            <w:tcMar>
              <w:top w:w="60" w:type="dxa"/>
              <w:bottom w:w="60" w:type="dxa"/>
              <w:left w:w="80" w:type="dxa"/>
              <w:right w:w="80" w:type="dxa"/>
            </w:tcMar>
          </w:tcPr>
          <w:p>
            <w:pPr>
              <w:jc w:val="center"/>
            </w:pPr>
            <w:r>
              <w:rPr>
                <w:rFonts w:ascii="Calibri" w:hAnsi="Calibri"/>
                <w:b/>
                <w:i w:val="0"/>
                <w:color w:val="FFFFFF"/>
                <w:sz w:val="18"/>
              </w:rPr>
              <w:t>Inject</w:t>
            </w:r>
          </w:p>
        </w:tc>
        <w:tc>
          <w:tcPr>
            <w:tcW w:type="dxa" w:w="8064"/>
            <w:shd w:val="clear" w:color="auto" w:fill="01696F"/>
            <w:tcMar>
              <w:top w:w="60" w:type="dxa"/>
              <w:bottom w:w="60" w:type="dxa"/>
              <w:left w:w="80" w:type="dxa"/>
              <w:right w:w="80" w:type="dxa"/>
            </w:tcMar>
          </w:tcPr>
          <w:p>
            <w:pPr>
              <w:jc w:val="center"/>
            </w:pPr>
            <w:r>
              <w:rPr>
                <w:rFonts w:ascii="Calibri" w:hAnsi="Calibri"/>
                <w:b/>
                <w:i w:val="0"/>
                <w:color w:val="FFFFFF"/>
                <w:sz w:val="18"/>
              </w:rPr>
              <w:t>Event</w:t>
            </w:r>
          </w:p>
        </w:tc>
      </w:tr>
      <w:tr>
        <w:tc>
          <w:tcPr>
            <w:tcW w:type="dxa" w:w="1296"/>
            <w:shd w:val="clear" w:color="auto" w:fill="FFFFFF"/>
            <w:tcMar>
              <w:top w:w="60" w:type="dxa"/>
              <w:bottom w:w="60" w:type="dxa"/>
              <w:left w:w="80" w:type="dxa"/>
              <w:right w:w="80" w:type="dxa"/>
            </w:tcMar>
            <w:vAlign w:val="top"/>
          </w:tcPr>
          <w:p>
            <w:r>
              <w:rPr>
                <w:rFonts w:ascii="Calibri" w:hAnsi="Calibri"/>
                <w:b w:val="0"/>
                <w:i w:val="0"/>
                <w:color w:val="28251D"/>
                <w:sz w:val="18"/>
              </w:rPr>
              <w:t>Inject 1</w:t>
            </w:r>
          </w:p>
        </w:tc>
        <w:tc>
          <w:tcPr>
            <w:tcW w:type="dxa" w:w="8064"/>
            <w:shd w:val="clear" w:color="auto" w:fill="FFFFFF"/>
            <w:tcMar>
              <w:top w:w="60" w:type="dxa"/>
              <w:bottom w:w="60" w:type="dxa"/>
              <w:left w:w="80" w:type="dxa"/>
              <w:right w:w="80" w:type="dxa"/>
            </w:tcMar>
            <w:vAlign w:val="top"/>
          </w:tcPr>
          <w:p>
            <w:r>
              <w:rPr>
                <w:rFonts w:ascii="Calibri" w:hAnsi="Calibri"/>
                <w:b w:val="0"/>
                <w:i w:val="0"/>
                <w:color w:val="28251D"/>
                <w:sz w:val="18"/>
              </w:rPr>
              <w:t>First patient presents — 38-year-old, fever, myalgia, atypical respiratory symptoms, all rapid panels negative. No obvious exposure history. Standard workup unrevealing.</w:t>
            </w:r>
          </w:p>
        </w:tc>
      </w:tr>
      <w:tr>
        <w:tc>
          <w:tcPr>
            <w:tcW w:type="dxa" w:w="1296"/>
            <w:shd w:val="clear" w:color="auto" w:fill="F2F6F6"/>
            <w:tcMar>
              <w:top w:w="60" w:type="dxa"/>
              <w:bottom w:w="60" w:type="dxa"/>
              <w:left w:w="80" w:type="dxa"/>
              <w:right w:w="80" w:type="dxa"/>
            </w:tcMar>
            <w:vAlign w:val="top"/>
          </w:tcPr>
          <w:p>
            <w:r>
              <w:rPr>
                <w:rFonts w:ascii="Calibri" w:hAnsi="Calibri"/>
                <w:b w:val="0"/>
                <w:i w:val="0"/>
                <w:color w:val="28251D"/>
                <w:sz w:val="18"/>
              </w:rPr>
              <w:t>Inject 2</w:t>
            </w:r>
          </w:p>
        </w:tc>
        <w:tc>
          <w:tcPr>
            <w:tcW w:type="dxa" w:w="8064"/>
            <w:shd w:val="clear" w:color="auto" w:fill="F2F6F6"/>
            <w:tcMar>
              <w:top w:w="60" w:type="dxa"/>
              <w:bottom w:w="60" w:type="dxa"/>
              <w:left w:w="80" w:type="dxa"/>
              <w:right w:w="80" w:type="dxa"/>
            </w:tcMar>
            <w:vAlign w:val="top"/>
          </w:tcPr>
          <w:p>
            <w:r>
              <w:rPr>
                <w:rFonts w:ascii="Calibri" w:hAnsi="Calibri"/>
                <w:b w:val="0"/>
                <w:i w:val="0"/>
                <w:color w:val="28251D"/>
                <w:sz w:val="18"/>
              </w:rPr>
              <w:t>Second patient at a different facility — similar presentation. Labs inconclusive. Both patients deteriorate faster than expected.</w:t>
            </w:r>
          </w:p>
        </w:tc>
      </w:tr>
      <w:tr>
        <w:tc>
          <w:tcPr>
            <w:tcW w:type="dxa" w:w="1296"/>
            <w:shd w:val="clear" w:color="auto" w:fill="FFFFFF"/>
            <w:tcMar>
              <w:top w:w="60" w:type="dxa"/>
              <w:bottom w:w="60" w:type="dxa"/>
              <w:left w:w="80" w:type="dxa"/>
              <w:right w:w="80" w:type="dxa"/>
            </w:tcMar>
            <w:vAlign w:val="top"/>
          </w:tcPr>
          <w:p>
            <w:r>
              <w:rPr>
                <w:rFonts w:ascii="Calibri" w:hAnsi="Calibri"/>
                <w:b w:val="0"/>
                <w:i w:val="0"/>
                <w:color w:val="28251D"/>
                <w:sz w:val="18"/>
              </w:rPr>
              <w:t>Inject 3</w:t>
            </w:r>
          </w:p>
        </w:tc>
        <w:tc>
          <w:tcPr>
            <w:tcW w:type="dxa" w:w="8064"/>
            <w:shd w:val="clear" w:color="auto" w:fill="FFFFFF"/>
            <w:tcMar>
              <w:top w:w="60" w:type="dxa"/>
              <w:bottom w:w="60" w:type="dxa"/>
              <w:left w:w="80" w:type="dxa"/>
              <w:right w:w="80" w:type="dxa"/>
            </w:tcMar>
            <w:vAlign w:val="top"/>
          </w:tcPr>
          <w:p>
            <w:r>
              <w:rPr>
                <w:rFonts w:ascii="Calibri" w:hAnsi="Calibri"/>
                <w:b w:val="0"/>
                <w:i w:val="0"/>
                <w:color w:val="28251D"/>
                <w:sz w:val="18"/>
              </w:rPr>
              <w:t>Nursing staff requests N95s — supply room has limited stock and no authorization pathway.</w:t>
            </w:r>
          </w:p>
        </w:tc>
      </w:tr>
      <w:tr>
        <w:tc>
          <w:tcPr>
            <w:tcW w:type="dxa" w:w="1296"/>
            <w:shd w:val="clear" w:color="auto" w:fill="F2F6F6"/>
            <w:tcMar>
              <w:top w:w="60" w:type="dxa"/>
              <w:bottom w:w="60" w:type="dxa"/>
              <w:left w:w="80" w:type="dxa"/>
              <w:right w:w="80" w:type="dxa"/>
            </w:tcMar>
            <w:vAlign w:val="top"/>
          </w:tcPr>
          <w:p>
            <w:r>
              <w:rPr>
                <w:rFonts w:ascii="Calibri" w:hAnsi="Calibri"/>
                <w:b w:val="0"/>
                <w:i w:val="0"/>
                <w:color w:val="28251D"/>
                <w:sz w:val="18"/>
              </w:rPr>
              <w:t>Inject 4</w:t>
            </w:r>
          </w:p>
        </w:tc>
        <w:tc>
          <w:tcPr>
            <w:tcW w:type="dxa" w:w="8064"/>
            <w:shd w:val="clear" w:color="auto" w:fill="F2F6F6"/>
            <w:tcMar>
              <w:top w:w="60" w:type="dxa"/>
              <w:bottom w:w="60" w:type="dxa"/>
              <w:left w:w="80" w:type="dxa"/>
              <w:right w:w="80" w:type="dxa"/>
            </w:tcMar>
            <w:vAlign w:val="top"/>
          </w:tcPr>
          <w:p>
            <w:r>
              <w:rPr>
                <w:rFonts w:ascii="Calibri" w:hAnsi="Calibri"/>
                <w:b w:val="0"/>
                <w:i w:val="0"/>
                <w:color w:val="28251D"/>
                <w:sz w:val="18"/>
              </w:rPr>
              <w:t>Infection Prevention is notified. No protocol match exists. They begin drafting ad hoc guidance.</w:t>
            </w:r>
          </w:p>
        </w:tc>
      </w:tr>
      <w:tr>
        <w:tc>
          <w:tcPr>
            <w:tcW w:type="dxa" w:w="1296"/>
            <w:shd w:val="clear" w:color="auto" w:fill="FFFFFF"/>
            <w:tcMar>
              <w:top w:w="60" w:type="dxa"/>
              <w:bottom w:w="60" w:type="dxa"/>
              <w:left w:w="80" w:type="dxa"/>
              <w:right w:w="80" w:type="dxa"/>
            </w:tcMar>
            <w:vAlign w:val="top"/>
          </w:tcPr>
          <w:p>
            <w:r>
              <w:rPr>
                <w:rFonts w:ascii="Calibri" w:hAnsi="Calibri"/>
                <w:b w:val="0"/>
                <w:i w:val="0"/>
                <w:color w:val="28251D"/>
                <w:sz w:val="18"/>
              </w:rPr>
              <w:t>Inject 5</w:t>
            </w:r>
          </w:p>
        </w:tc>
        <w:tc>
          <w:tcPr>
            <w:tcW w:type="dxa" w:w="8064"/>
            <w:shd w:val="clear" w:color="auto" w:fill="FFFFFF"/>
            <w:tcMar>
              <w:top w:w="60" w:type="dxa"/>
              <w:bottom w:w="60" w:type="dxa"/>
              <w:left w:w="80" w:type="dxa"/>
              <w:right w:w="80" w:type="dxa"/>
            </w:tcMar>
            <w:vAlign w:val="top"/>
          </w:tcPr>
          <w:p>
            <w:r>
              <w:rPr>
                <w:rFonts w:ascii="Calibri" w:hAnsi="Calibri"/>
                <w:b w:val="0"/>
                <w:i w:val="0"/>
                <w:color w:val="28251D"/>
                <w:sz w:val="18"/>
              </w:rPr>
              <w:t>Hospital administration requests a status update. Providers cannot give a clear answer.</w:t>
            </w:r>
          </w:p>
        </w:tc>
      </w:tr>
    </w:tbl>
    <w:p/>
    <w:p>
      <w:pPr>
        <w:spacing w:before="160" w:after="60"/>
        <w:jc w:val="left"/>
      </w:pPr>
      <w:r>
        <w:rPr>
          <w:rFonts w:ascii="Calibri" w:hAnsi="Calibri"/>
          <w:b/>
          <w:i w:val="0"/>
          <w:color w:val="28251D"/>
          <w:sz w:val="22"/>
        </w:rPr>
        <w:t>Phase 1 Decision Points</w:t>
      </w:r>
    </w:p>
    <w:p>
      <w:pPr>
        <w:spacing w:before="0" w:after="60"/>
        <w:ind w:left="360" w:hanging="288"/>
      </w:pPr>
      <w:r>
        <w:rPr>
          <w:rFonts w:ascii="Calibri" w:hAnsi="Calibri"/>
          <w:b w:val="0"/>
          <w:i w:val="0"/>
          <w:color w:val="28251D"/>
          <w:sz w:val="20"/>
        </w:rPr>
        <w:t>•  Do you isolate? Under what category? In what physical space?</w:t>
      </w:r>
    </w:p>
    <w:p>
      <w:pPr>
        <w:spacing w:before="0" w:after="60"/>
        <w:ind w:left="360" w:hanging="288"/>
      </w:pPr>
      <w:r>
        <w:rPr>
          <w:rFonts w:ascii="Calibri" w:hAnsi="Calibri"/>
          <w:b w:val="0"/>
          <w:i w:val="0"/>
          <w:color w:val="28251D"/>
          <w:sz w:val="20"/>
        </w:rPr>
        <w:t>•  Do you report to public health? At what threshold?</w:t>
      </w:r>
    </w:p>
    <w:p>
      <w:pPr>
        <w:spacing w:before="0" w:after="60"/>
        <w:ind w:left="360" w:hanging="288"/>
      </w:pPr>
      <w:r>
        <w:rPr>
          <w:rFonts w:ascii="Calibri" w:hAnsi="Calibri"/>
          <w:b w:val="0"/>
          <w:i w:val="0"/>
          <w:color w:val="28251D"/>
          <w:sz w:val="20"/>
        </w:rPr>
        <w:t>•  Do you begin empiric treatment? With what, and who authorizes it?</w:t>
      </w:r>
    </w:p>
    <w:p>
      <w:pPr>
        <w:spacing w:before="0" w:after="60"/>
        <w:ind w:left="360" w:hanging="288"/>
      </w:pPr>
      <w:r>
        <w:rPr>
          <w:rFonts w:ascii="Calibri" w:hAnsi="Calibri"/>
          <w:b w:val="0"/>
          <w:i w:val="0"/>
          <w:color w:val="28251D"/>
          <w:sz w:val="20"/>
        </w:rPr>
        <w:t>•  How do you communicate diagnostic uncertainty to patients and families?</w:t>
      </w:r>
    </w:p>
    <w:p>
      <w:pPr>
        <w:spacing w:before="0" w:after="60"/>
        <w:ind w:left="360" w:hanging="288"/>
      </w:pPr>
      <w:r>
        <w:rPr>
          <w:rFonts w:ascii="Calibri" w:hAnsi="Calibri"/>
          <w:b w:val="0"/>
          <w:i w:val="0"/>
          <w:color w:val="28251D"/>
          <w:sz w:val="20"/>
        </w:rPr>
        <w:t>•  Who authorizes elevated PPE use before any pathogen confirmation?</w:t>
      </w:r>
    </w:p>
    <w:p>
      <w:pPr>
        <w:spacing w:after="160" w:before="0"/>
      </w:pPr>
    </w:p>
    <w:p>
      <w:pPr>
        <w:spacing w:before="160" w:after="60"/>
        <w:jc w:val="left"/>
      </w:pPr>
      <w:r>
        <w:rPr>
          <w:rFonts w:ascii="Calibri" w:hAnsi="Calibri"/>
          <w:b/>
          <w:i w:val="0"/>
          <w:color w:val="28251D"/>
          <w:sz w:val="22"/>
        </w:rPr>
        <w:t>Phase 2: Pattern Recognition &amp; System Strain (Hours 48-120)</w:t>
      </w: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536"/>
        <w:gridCol w:w="4536"/>
      </w:tblGrid>
      <w:tr>
        <w:tc>
          <w:tcPr>
            <w:tcW w:type="dxa" w:w="1296"/>
            <w:shd w:val="clear" w:color="auto" w:fill="01696F"/>
            <w:tcMar>
              <w:top w:w="60" w:type="dxa"/>
              <w:bottom w:w="60" w:type="dxa"/>
              <w:left w:w="80" w:type="dxa"/>
              <w:right w:w="80" w:type="dxa"/>
            </w:tcMar>
          </w:tcPr>
          <w:p>
            <w:pPr>
              <w:jc w:val="center"/>
            </w:pPr>
            <w:r>
              <w:rPr>
                <w:rFonts w:ascii="Calibri" w:hAnsi="Calibri"/>
                <w:b/>
                <w:i w:val="0"/>
                <w:color w:val="FFFFFF"/>
                <w:sz w:val="18"/>
              </w:rPr>
              <w:t>Inject</w:t>
            </w:r>
          </w:p>
        </w:tc>
        <w:tc>
          <w:tcPr>
            <w:tcW w:type="dxa" w:w="8064"/>
            <w:shd w:val="clear" w:color="auto" w:fill="01696F"/>
            <w:tcMar>
              <w:top w:w="60" w:type="dxa"/>
              <w:bottom w:w="60" w:type="dxa"/>
              <w:left w:w="80" w:type="dxa"/>
              <w:right w:w="80" w:type="dxa"/>
            </w:tcMar>
          </w:tcPr>
          <w:p>
            <w:pPr>
              <w:jc w:val="center"/>
            </w:pPr>
            <w:r>
              <w:rPr>
                <w:rFonts w:ascii="Calibri" w:hAnsi="Calibri"/>
                <w:b/>
                <w:i w:val="0"/>
                <w:color w:val="FFFFFF"/>
                <w:sz w:val="18"/>
              </w:rPr>
              <w:t>Event</w:t>
            </w:r>
          </w:p>
        </w:tc>
      </w:tr>
      <w:tr>
        <w:tc>
          <w:tcPr>
            <w:tcW w:type="dxa" w:w="1296"/>
            <w:shd w:val="clear" w:color="auto" w:fill="FFFFFF"/>
            <w:tcMar>
              <w:top w:w="60" w:type="dxa"/>
              <w:bottom w:w="60" w:type="dxa"/>
              <w:left w:w="80" w:type="dxa"/>
              <w:right w:w="80" w:type="dxa"/>
            </w:tcMar>
            <w:vAlign w:val="top"/>
          </w:tcPr>
          <w:p>
            <w:r>
              <w:rPr>
                <w:rFonts w:ascii="Calibri" w:hAnsi="Calibri"/>
                <w:b w:val="0"/>
                <w:i w:val="0"/>
                <w:color w:val="28251D"/>
                <w:sz w:val="18"/>
              </w:rPr>
              <w:t>Inject 6</w:t>
            </w:r>
          </w:p>
        </w:tc>
        <w:tc>
          <w:tcPr>
            <w:tcW w:type="dxa" w:w="8064"/>
            <w:shd w:val="clear" w:color="auto" w:fill="FFFFFF"/>
            <w:tcMar>
              <w:top w:w="60" w:type="dxa"/>
              <w:bottom w:w="60" w:type="dxa"/>
              <w:left w:w="80" w:type="dxa"/>
              <w:right w:w="80" w:type="dxa"/>
            </w:tcMar>
            <w:vAlign w:val="top"/>
          </w:tcPr>
          <w:p>
            <w:r>
              <w:rPr>
                <w:rFonts w:ascii="Calibri" w:hAnsi="Calibri"/>
                <w:b w:val="0"/>
                <w:i w:val="0"/>
                <w:color w:val="28251D"/>
                <w:sz w:val="18"/>
              </w:rPr>
              <w:t>Third and fourth cases confirmed at two additional facilities. State public health begins inquiry.</w:t>
            </w:r>
          </w:p>
        </w:tc>
      </w:tr>
      <w:tr>
        <w:tc>
          <w:tcPr>
            <w:tcW w:type="dxa" w:w="1296"/>
            <w:shd w:val="clear" w:color="auto" w:fill="F2F6F6"/>
            <w:tcMar>
              <w:top w:w="60" w:type="dxa"/>
              <w:bottom w:w="60" w:type="dxa"/>
              <w:left w:w="80" w:type="dxa"/>
              <w:right w:w="80" w:type="dxa"/>
            </w:tcMar>
            <w:vAlign w:val="top"/>
          </w:tcPr>
          <w:p>
            <w:r>
              <w:rPr>
                <w:rFonts w:ascii="Calibri" w:hAnsi="Calibri"/>
                <w:b w:val="0"/>
                <w:i w:val="0"/>
                <w:color w:val="28251D"/>
                <w:sz w:val="18"/>
              </w:rPr>
              <w:t>Inject 7</w:t>
            </w:r>
          </w:p>
        </w:tc>
        <w:tc>
          <w:tcPr>
            <w:tcW w:type="dxa" w:w="8064"/>
            <w:shd w:val="clear" w:color="auto" w:fill="F2F6F6"/>
            <w:tcMar>
              <w:top w:w="60" w:type="dxa"/>
              <w:bottom w:w="60" w:type="dxa"/>
              <w:left w:w="80" w:type="dxa"/>
              <w:right w:w="80" w:type="dxa"/>
            </w:tcMar>
            <w:vAlign w:val="top"/>
          </w:tcPr>
          <w:p>
            <w:r>
              <w:rPr>
                <w:rFonts w:ascii="Calibri" w:hAnsi="Calibri"/>
                <w:b w:val="0"/>
                <w:i w:val="0"/>
                <w:color w:val="28251D"/>
                <w:sz w:val="18"/>
              </w:rPr>
              <w:t>PPE supplies at 60% of normal capacity and burning fast.</w:t>
            </w:r>
          </w:p>
        </w:tc>
      </w:tr>
      <w:tr>
        <w:tc>
          <w:tcPr>
            <w:tcW w:type="dxa" w:w="1296"/>
            <w:shd w:val="clear" w:color="auto" w:fill="FFFFFF"/>
            <w:tcMar>
              <w:top w:w="60" w:type="dxa"/>
              <w:bottom w:w="60" w:type="dxa"/>
              <w:left w:w="80" w:type="dxa"/>
              <w:right w:w="80" w:type="dxa"/>
            </w:tcMar>
            <w:vAlign w:val="top"/>
          </w:tcPr>
          <w:p>
            <w:r>
              <w:rPr>
                <w:rFonts w:ascii="Calibri" w:hAnsi="Calibri"/>
                <w:b w:val="0"/>
                <w:i w:val="0"/>
                <w:color w:val="28251D"/>
                <w:sz w:val="18"/>
              </w:rPr>
              <w:t>Inject 8</w:t>
            </w:r>
          </w:p>
        </w:tc>
        <w:tc>
          <w:tcPr>
            <w:tcW w:type="dxa" w:w="8064"/>
            <w:shd w:val="clear" w:color="auto" w:fill="FFFFFF"/>
            <w:tcMar>
              <w:top w:w="60" w:type="dxa"/>
              <w:bottom w:w="60" w:type="dxa"/>
              <w:left w:w="80" w:type="dxa"/>
              <w:right w:w="80" w:type="dxa"/>
            </w:tcMar>
            <w:vAlign w:val="top"/>
          </w:tcPr>
          <w:p>
            <w:r>
              <w:rPr>
                <w:rFonts w:ascii="Calibri" w:hAnsi="Calibri"/>
                <w:b w:val="0"/>
                <w:i w:val="0"/>
                <w:color w:val="28251D"/>
                <w:sz w:val="18"/>
              </w:rPr>
              <w:t>One provider develops symptoms and is furloughed. Staffing pressure begins.</w:t>
            </w:r>
          </w:p>
        </w:tc>
      </w:tr>
      <w:tr>
        <w:tc>
          <w:tcPr>
            <w:tcW w:type="dxa" w:w="1296"/>
            <w:shd w:val="clear" w:color="auto" w:fill="F2F6F6"/>
            <w:tcMar>
              <w:top w:w="60" w:type="dxa"/>
              <w:bottom w:w="60" w:type="dxa"/>
              <w:left w:w="80" w:type="dxa"/>
              <w:right w:w="80" w:type="dxa"/>
            </w:tcMar>
            <w:vAlign w:val="top"/>
          </w:tcPr>
          <w:p>
            <w:r>
              <w:rPr>
                <w:rFonts w:ascii="Calibri" w:hAnsi="Calibri"/>
                <w:b w:val="0"/>
                <w:i w:val="0"/>
                <w:color w:val="28251D"/>
                <w:sz w:val="18"/>
              </w:rPr>
              <w:t>Inject 9</w:t>
            </w:r>
          </w:p>
        </w:tc>
        <w:tc>
          <w:tcPr>
            <w:tcW w:type="dxa" w:w="8064"/>
            <w:shd w:val="clear" w:color="auto" w:fill="F2F6F6"/>
            <w:tcMar>
              <w:top w:w="60" w:type="dxa"/>
              <w:bottom w:w="60" w:type="dxa"/>
              <w:left w:w="80" w:type="dxa"/>
              <w:right w:w="80" w:type="dxa"/>
            </w:tcMar>
            <w:vAlign w:val="top"/>
          </w:tcPr>
          <w:p>
            <w:r>
              <w:rPr>
                <w:rFonts w:ascii="Calibri" w:hAnsi="Calibri"/>
                <w:b w:val="0"/>
                <w:i w:val="0"/>
                <w:color w:val="28251D"/>
                <w:sz w:val="18"/>
              </w:rPr>
              <w:t>Lab confirms novel pathogen — unknown classification. CDC notified. 48-hour wait for guidance.</w:t>
            </w:r>
          </w:p>
        </w:tc>
      </w:tr>
      <w:tr>
        <w:tc>
          <w:tcPr>
            <w:tcW w:type="dxa" w:w="1296"/>
            <w:shd w:val="clear" w:color="auto" w:fill="FFFFFF"/>
            <w:tcMar>
              <w:top w:w="60" w:type="dxa"/>
              <w:bottom w:w="60" w:type="dxa"/>
              <w:left w:w="80" w:type="dxa"/>
              <w:right w:w="80" w:type="dxa"/>
            </w:tcMar>
            <w:vAlign w:val="top"/>
          </w:tcPr>
          <w:p>
            <w:r>
              <w:rPr>
                <w:rFonts w:ascii="Calibri" w:hAnsi="Calibri"/>
                <w:b w:val="0"/>
                <w:i w:val="0"/>
                <w:color w:val="28251D"/>
                <w:sz w:val="18"/>
              </w:rPr>
              <w:t>Inject 10</w:t>
            </w:r>
          </w:p>
        </w:tc>
        <w:tc>
          <w:tcPr>
            <w:tcW w:type="dxa" w:w="8064"/>
            <w:shd w:val="clear" w:color="auto" w:fill="FFFFFF"/>
            <w:tcMar>
              <w:top w:w="60" w:type="dxa"/>
              <w:bottom w:w="60" w:type="dxa"/>
              <w:left w:w="80" w:type="dxa"/>
              <w:right w:w="80" w:type="dxa"/>
            </w:tcMar>
            <w:vAlign w:val="top"/>
          </w:tcPr>
          <w:p>
            <w:r>
              <w:rPr>
                <w:rFonts w:ascii="Calibri" w:hAnsi="Calibri"/>
                <w:b w:val="0"/>
                <w:i w:val="0"/>
                <w:color w:val="28251D"/>
                <w:sz w:val="18"/>
              </w:rPr>
              <w:t>Local news outlet reports "mysterious illness." Phone lines light up.</w:t>
            </w:r>
          </w:p>
        </w:tc>
      </w:tr>
      <w:tr>
        <w:tc>
          <w:tcPr>
            <w:tcW w:type="dxa" w:w="1296"/>
            <w:shd w:val="clear" w:color="auto" w:fill="F2F6F6"/>
            <w:tcMar>
              <w:top w:w="60" w:type="dxa"/>
              <w:bottom w:w="60" w:type="dxa"/>
              <w:left w:w="80" w:type="dxa"/>
              <w:right w:w="80" w:type="dxa"/>
            </w:tcMar>
            <w:vAlign w:val="top"/>
          </w:tcPr>
          <w:p>
            <w:r>
              <w:rPr>
                <w:rFonts w:ascii="Calibri" w:hAnsi="Calibri"/>
                <w:b w:val="0"/>
                <w:i w:val="0"/>
                <w:color w:val="28251D"/>
                <w:sz w:val="18"/>
              </w:rPr>
              <w:t>Inject 11</w:t>
            </w:r>
          </w:p>
        </w:tc>
        <w:tc>
          <w:tcPr>
            <w:tcW w:type="dxa" w:w="8064"/>
            <w:shd w:val="clear" w:color="auto" w:fill="F2F6F6"/>
            <w:tcMar>
              <w:top w:w="60" w:type="dxa"/>
              <w:bottom w:w="60" w:type="dxa"/>
              <w:left w:w="80" w:type="dxa"/>
              <w:right w:w="80" w:type="dxa"/>
            </w:tcMar>
            <w:vAlign w:val="top"/>
          </w:tcPr>
          <w:p>
            <w:r>
              <w:rPr>
                <w:rFonts w:ascii="Calibri" w:hAnsi="Calibri"/>
                <w:b w:val="0"/>
                <w:i w:val="0"/>
                <w:color w:val="28251D"/>
                <w:sz w:val="18"/>
              </w:rPr>
              <w:t>N95 reorder delayed 7-10 business days by supply chain vendor.</w:t>
            </w:r>
          </w:p>
        </w:tc>
      </w:tr>
    </w:tbl>
    <w:p/>
    <w:p>
      <w:pPr>
        <w:spacing w:before="160" w:after="60"/>
        <w:jc w:val="left"/>
      </w:pPr>
      <w:r>
        <w:rPr>
          <w:rFonts w:ascii="Calibri" w:hAnsi="Calibri"/>
          <w:b/>
          <w:i w:val="0"/>
          <w:color w:val="28251D"/>
          <w:sz w:val="22"/>
        </w:rPr>
        <w:t>Phase 2 Decision Points</w:t>
      </w:r>
    </w:p>
    <w:p>
      <w:pPr>
        <w:spacing w:before="0" w:after="60"/>
        <w:ind w:left="360" w:hanging="288"/>
      </w:pPr>
      <w:r>
        <w:rPr>
          <w:rFonts w:ascii="Calibri" w:hAnsi="Calibri"/>
          <w:b w:val="0"/>
          <w:i w:val="0"/>
          <w:color w:val="28251D"/>
          <w:sz w:val="20"/>
        </w:rPr>
        <w:t>•  How do you manage the furloughed provider and potentially exposed colleagues?</w:t>
      </w:r>
    </w:p>
    <w:p>
      <w:pPr>
        <w:spacing w:before="0" w:after="60"/>
        <w:ind w:left="360" w:hanging="288"/>
      </w:pPr>
      <w:r>
        <w:rPr>
          <w:rFonts w:ascii="Calibri" w:hAnsi="Calibri"/>
          <w:b w:val="0"/>
          <w:i w:val="0"/>
          <w:color w:val="28251D"/>
          <w:sz w:val="20"/>
        </w:rPr>
        <w:t>•  How do you respond to media inquiry before official guidance exists?</w:t>
      </w:r>
    </w:p>
    <w:p>
      <w:pPr>
        <w:spacing w:before="0" w:after="60"/>
        <w:ind w:left="360" w:hanging="288"/>
      </w:pPr>
      <w:r>
        <w:rPr>
          <w:rFonts w:ascii="Calibri" w:hAnsi="Calibri"/>
          <w:b w:val="0"/>
          <w:i w:val="0"/>
          <w:color w:val="28251D"/>
          <w:sz w:val="20"/>
        </w:rPr>
        <w:t>•  How do you triage limited PPE across departments?</w:t>
      </w:r>
    </w:p>
    <w:p>
      <w:pPr>
        <w:spacing w:before="0" w:after="60"/>
        <w:ind w:left="360" w:hanging="288"/>
      </w:pPr>
      <w:r>
        <w:rPr>
          <w:rFonts w:ascii="Calibri" w:hAnsi="Calibri"/>
          <w:b w:val="0"/>
          <w:i w:val="0"/>
          <w:color w:val="28251D"/>
          <w:sz w:val="20"/>
        </w:rPr>
        <w:t>•  How do you maintain normal hospital operations while managing suspected cases?</w:t>
      </w:r>
    </w:p>
    <w:p>
      <w:pPr>
        <w:spacing w:after="160" w:before="0"/>
      </w:pPr>
    </w:p>
    <w:p>
      <w:pPr>
        <w:spacing w:before="160" w:after="60"/>
        <w:jc w:val="left"/>
      </w:pPr>
      <w:r>
        <w:rPr>
          <w:rFonts w:ascii="Calibri" w:hAnsi="Calibri"/>
          <w:b/>
          <w:i w:val="0"/>
          <w:color w:val="28251D"/>
          <w:sz w:val="22"/>
        </w:rPr>
        <w:t>Phase 3: Coordinated Response &amp; Transfer (Hours 120-168)</w:t>
      </w: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536"/>
        <w:gridCol w:w="4536"/>
      </w:tblGrid>
      <w:tr>
        <w:tc>
          <w:tcPr>
            <w:tcW w:type="dxa" w:w="1296"/>
            <w:shd w:val="clear" w:color="auto" w:fill="01696F"/>
            <w:tcMar>
              <w:top w:w="60" w:type="dxa"/>
              <w:bottom w:w="60" w:type="dxa"/>
              <w:left w:w="80" w:type="dxa"/>
              <w:right w:w="80" w:type="dxa"/>
            </w:tcMar>
          </w:tcPr>
          <w:p>
            <w:pPr>
              <w:jc w:val="center"/>
            </w:pPr>
            <w:r>
              <w:rPr>
                <w:rFonts w:ascii="Calibri" w:hAnsi="Calibri"/>
                <w:b/>
                <w:i w:val="0"/>
                <w:color w:val="FFFFFF"/>
                <w:sz w:val="18"/>
              </w:rPr>
              <w:t>Inject</w:t>
            </w:r>
          </w:p>
        </w:tc>
        <w:tc>
          <w:tcPr>
            <w:tcW w:type="dxa" w:w="8064"/>
            <w:shd w:val="clear" w:color="auto" w:fill="01696F"/>
            <w:tcMar>
              <w:top w:w="60" w:type="dxa"/>
              <w:bottom w:w="60" w:type="dxa"/>
              <w:left w:w="80" w:type="dxa"/>
              <w:right w:w="80" w:type="dxa"/>
            </w:tcMar>
          </w:tcPr>
          <w:p>
            <w:pPr>
              <w:jc w:val="center"/>
            </w:pPr>
            <w:r>
              <w:rPr>
                <w:rFonts w:ascii="Calibri" w:hAnsi="Calibri"/>
                <w:b/>
                <w:i w:val="0"/>
                <w:color w:val="FFFFFF"/>
                <w:sz w:val="18"/>
              </w:rPr>
              <w:t>Event</w:t>
            </w:r>
          </w:p>
        </w:tc>
      </w:tr>
      <w:tr>
        <w:tc>
          <w:tcPr>
            <w:tcW w:type="dxa" w:w="1296"/>
            <w:shd w:val="clear" w:color="auto" w:fill="FFFFFF"/>
            <w:tcMar>
              <w:top w:w="60" w:type="dxa"/>
              <w:bottom w:w="60" w:type="dxa"/>
              <w:left w:w="80" w:type="dxa"/>
              <w:right w:w="80" w:type="dxa"/>
            </w:tcMar>
            <w:vAlign w:val="top"/>
          </w:tcPr>
          <w:p>
            <w:r>
              <w:rPr>
                <w:rFonts w:ascii="Calibri" w:hAnsi="Calibri"/>
                <w:b w:val="0"/>
                <w:i w:val="0"/>
                <w:color w:val="28251D"/>
                <w:sz w:val="18"/>
              </w:rPr>
              <w:t>Inject 12</w:t>
            </w:r>
          </w:p>
        </w:tc>
        <w:tc>
          <w:tcPr>
            <w:tcW w:type="dxa" w:w="8064"/>
            <w:shd w:val="clear" w:color="auto" w:fill="FFFFFF"/>
            <w:tcMar>
              <w:top w:w="60" w:type="dxa"/>
              <w:bottom w:w="60" w:type="dxa"/>
              <w:left w:w="80" w:type="dxa"/>
              <w:right w:w="80" w:type="dxa"/>
            </w:tcMar>
            <w:vAlign w:val="top"/>
          </w:tcPr>
          <w:p>
            <w:r>
              <w:rPr>
                <w:rFonts w:ascii="Calibri" w:hAnsi="Calibri"/>
                <w:b w:val="0"/>
                <w:i w:val="0"/>
                <w:color w:val="28251D"/>
                <w:sz w:val="18"/>
              </w:rPr>
              <w:t>CDC issues preliminary guidance — partially inconsistent with ad hoc protocols already in place.</w:t>
            </w:r>
          </w:p>
        </w:tc>
      </w:tr>
      <w:tr>
        <w:tc>
          <w:tcPr>
            <w:tcW w:type="dxa" w:w="1296"/>
            <w:shd w:val="clear" w:color="auto" w:fill="F2F6F6"/>
            <w:tcMar>
              <w:top w:w="60" w:type="dxa"/>
              <w:bottom w:w="60" w:type="dxa"/>
              <w:left w:w="80" w:type="dxa"/>
              <w:right w:w="80" w:type="dxa"/>
            </w:tcMar>
            <w:vAlign w:val="top"/>
          </w:tcPr>
          <w:p>
            <w:r>
              <w:rPr>
                <w:rFonts w:ascii="Calibri" w:hAnsi="Calibri"/>
                <w:b w:val="0"/>
                <w:i w:val="0"/>
                <w:color w:val="28251D"/>
                <w:sz w:val="18"/>
              </w:rPr>
              <w:t>Inject 13</w:t>
            </w:r>
          </w:p>
        </w:tc>
        <w:tc>
          <w:tcPr>
            <w:tcW w:type="dxa" w:w="8064"/>
            <w:shd w:val="clear" w:color="auto" w:fill="F2F6F6"/>
            <w:tcMar>
              <w:top w:w="60" w:type="dxa"/>
              <w:bottom w:w="60" w:type="dxa"/>
              <w:left w:w="80" w:type="dxa"/>
              <w:right w:w="80" w:type="dxa"/>
            </w:tcMar>
            <w:vAlign w:val="top"/>
          </w:tcPr>
          <w:p>
            <w:r>
              <w:rPr>
                <w:rFonts w:ascii="Calibri" w:hAnsi="Calibri"/>
                <w:b w:val="0"/>
                <w:i w:val="0"/>
                <w:color w:val="28251D"/>
                <w:sz w:val="18"/>
              </w:rPr>
              <w:t>Surge begins. Alternate care site activation is discussed.</w:t>
            </w:r>
          </w:p>
        </w:tc>
      </w:tr>
      <w:tr>
        <w:tc>
          <w:tcPr>
            <w:tcW w:type="dxa" w:w="1296"/>
            <w:shd w:val="clear" w:color="auto" w:fill="FFFFFF"/>
            <w:tcMar>
              <w:top w:w="60" w:type="dxa"/>
              <w:bottom w:w="60" w:type="dxa"/>
              <w:left w:w="80" w:type="dxa"/>
              <w:right w:w="80" w:type="dxa"/>
            </w:tcMar>
            <w:vAlign w:val="top"/>
          </w:tcPr>
          <w:p>
            <w:r>
              <w:rPr>
                <w:rFonts w:ascii="Calibri" w:hAnsi="Calibri"/>
                <w:b w:val="0"/>
                <w:i w:val="0"/>
                <w:color w:val="28251D"/>
                <w:sz w:val="18"/>
              </w:rPr>
              <w:t>Inject 14</w:t>
            </w:r>
          </w:p>
        </w:tc>
        <w:tc>
          <w:tcPr>
            <w:tcW w:type="dxa" w:w="8064"/>
            <w:shd w:val="clear" w:color="auto" w:fill="FFFFFF"/>
            <w:tcMar>
              <w:top w:w="60" w:type="dxa"/>
              <w:bottom w:w="60" w:type="dxa"/>
              <w:left w:w="80" w:type="dxa"/>
              <w:right w:w="80" w:type="dxa"/>
            </w:tcMar>
            <w:vAlign w:val="top"/>
          </w:tcPr>
          <w:p>
            <w:r>
              <w:rPr>
                <w:rFonts w:ascii="Calibri" w:hAnsi="Calibri"/>
                <w:b w:val="0"/>
                <w:i w:val="0"/>
                <w:color w:val="28251D"/>
                <w:sz w:val="18"/>
              </w:rPr>
              <w:t>A long-term care facility reports a cluster. Hospital receives a transfer request.</w:t>
            </w:r>
          </w:p>
        </w:tc>
      </w:tr>
      <w:tr>
        <w:tc>
          <w:tcPr>
            <w:tcW w:type="dxa" w:w="1296"/>
            <w:shd w:val="clear" w:color="auto" w:fill="F2F6F6"/>
            <w:tcMar>
              <w:top w:w="60" w:type="dxa"/>
              <w:bottom w:w="60" w:type="dxa"/>
              <w:left w:w="80" w:type="dxa"/>
              <w:right w:w="80" w:type="dxa"/>
            </w:tcMar>
            <w:vAlign w:val="top"/>
          </w:tcPr>
          <w:p>
            <w:r>
              <w:rPr>
                <w:rFonts w:ascii="Calibri" w:hAnsi="Calibri"/>
                <w:b w:val="0"/>
                <w:i w:val="0"/>
                <w:color w:val="28251D"/>
                <w:sz w:val="18"/>
              </w:rPr>
              <w:t>Inject 15</w:t>
            </w:r>
          </w:p>
        </w:tc>
        <w:tc>
          <w:tcPr>
            <w:tcW w:type="dxa" w:w="8064"/>
            <w:shd w:val="clear" w:color="auto" w:fill="F2F6F6"/>
            <w:tcMar>
              <w:top w:w="60" w:type="dxa"/>
              <w:bottom w:w="60" w:type="dxa"/>
              <w:left w:w="80" w:type="dxa"/>
              <w:right w:w="80" w:type="dxa"/>
            </w:tcMar>
            <w:vAlign w:val="top"/>
          </w:tcPr>
          <w:p>
            <w:r>
              <w:rPr>
                <w:rFonts w:ascii="Calibri" w:hAnsi="Calibri"/>
                <w:b w:val="0"/>
                <w:i w:val="0"/>
                <w:color w:val="28251D"/>
                <w:sz w:val="18"/>
              </w:rPr>
              <w:t>Ethics consult requested — limited ventilators, two critical patients with equal clinical priority.</w:t>
            </w:r>
          </w:p>
        </w:tc>
      </w:tr>
      <w:tr>
        <w:tc>
          <w:tcPr>
            <w:tcW w:type="dxa" w:w="1296"/>
            <w:shd w:val="clear" w:color="auto" w:fill="FFFFFF"/>
            <w:tcMar>
              <w:top w:w="60" w:type="dxa"/>
              <w:bottom w:w="60" w:type="dxa"/>
              <w:left w:w="80" w:type="dxa"/>
              <w:right w:w="80" w:type="dxa"/>
            </w:tcMar>
            <w:vAlign w:val="top"/>
          </w:tcPr>
          <w:p>
            <w:r>
              <w:rPr>
                <w:rFonts w:ascii="Calibri" w:hAnsi="Calibri"/>
                <w:b w:val="0"/>
                <w:i w:val="0"/>
                <w:color w:val="28251D"/>
                <w:sz w:val="18"/>
              </w:rPr>
              <w:t>Inject 16</w:t>
            </w:r>
          </w:p>
        </w:tc>
        <w:tc>
          <w:tcPr>
            <w:tcW w:type="dxa" w:w="8064"/>
            <w:shd w:val="clear" w:color="auto" w:fill="FFFFFF"/>
            <w:tcMar>
              <w:top w:w="60" w:type="dxa"/>
              <w:bottom w:w="60" w:type="dxa"/>
              <w:left w:w="80" w:type="dxa"/>
              <w:right w:w="80" w:type="dxa"/>
            </w:tcMar>
            <w:vAlign w:val="top"/>
          </w:tcPr>
          <w:p>
            <w:r>
              <w:rPr>
                <w:rFonts w:ascii="Calibri" w:hAnsi="Calibri"/>
                <w:b w:val="0"/>
                <w:i w:val="0"/>
                <w:color w:val="28251D"/>
                <w:sz w:val="18"/>
              </w:rPr>
              <w:t>Hospital asked to participate in regional coordination call with 12 other facilities.</w:t>
            </w:r>
          </w:p>
        </w:tc>
      </w:tr>
    </w:tbl>
    <w:p/>
    <w:p>
      <w:pPr>
        <w:spacing w:before="160" w:after="60"/>
        <w:jc w:val="left"/>
      </w:pPr>
      <w:r>
        <w:rPr>
          <w:rFonts w:ascii="Calibri" w:hAnsi="Calibri"/>
          <w:b/>
          <w:i w:val="0"/>
          <w:color w:val="28251D"/>
          <w:sz w:val="22"/>
        </w:rPr>
        <w:t>Phase 3 Decision Points</w:t>
      </w:r>
    </w:p>
    <w:p>
      <w:pPr>
        <w:spacing w:before="0" w:after="60"/>
        <w:ind w:left="360" w:hanging="288"/>
      </w:pPr>
      <w:r>
        <w:rPr>
          <w:rFonts w:ascii="Calibri" w:hAnsi="Calibri"/>
          <w:b w:val="0"/>
          <w:i w:val="0"/>
          <w:color w:val="28251D"/>
          <w:sz w:val="20"/>
        </w:rPr>
        <w:t>•  How do you reconcile external guidance with decisions already implemented?</w:t>
      </w:r>
    </w:p>
    <w:p>
      <w:pPr>
        <w:spacing w:before="0" w:after="60"/>
        <w:ind w:left="360" w:hanging="288"/>
      </w:pPr>
      <w:r>
        <w:rPr>
          <w:rFonts w:ascii="Calibri" w:hAnsi="Calibri"/>
          <w:b w:val="0"/>
          <w:i w:val="0"/>
          <w:color w:val="28251D"/>
          <w:sz w:val="20"/>
        </w:rPr>
        <w:t>•  What are your surge activation thresholds and alternate care site criteria?</w:t>
      </w:r>
    </w:p>
    <w:p>
      <w:pPr>
        <w:spacing w:before="0" w:after="60"/>
        <w:ind w:left="360" w:hanging="288"/>
      </w:pPr>
      <w:r>
        <w:rPr>
          <w:rFonts w:ascii="Calibri" w:hAnsi="Calibri"/>
          <w:b w:val="0"/>
          <w:i w:val="0"/>
          <w:color w:val="28251D"/>
          <w:sz w:val="20"/>
        </w:rPr>
        <w:t>•  How do you handle the ethics consult under resource scarcity?</w:t>
      </w:r>
    </w:p>
    <w:p>
      <w:pPr>
        <w:spacing w:before="0" w:after="60"/>
        <w:ind w:left="360" w:hanging="288"/>
      </w:pPr>
      <w:r>
        <w:rPr>
          <w:rFonts w:ascii="Calibri" w:hAnsi="Calibri"/>
          <w:b w:val="0"/>
          <w:i w:val="0"/>
          <w:color w:val="28251D"/>
          <w:sz w:val="20"/>
        </w:rPr>
        <w:t>•  Who speaks for your institution on the regional coordination call?</w:t>
      </w:r>
    </w:p>
    <w:p>
      <w:r>
        <w:br w:type="page"/>
      </w:r>
    </w:p>
    <w:p>
      <w:pPr>
        <w:spacing w:before="240" w:after="60"/>
        <w:jc w:val="left"/>
      </w:pPr>
      <w:r>
        <w:rPr>
          <w:rFonts w:ascii="Calibri" w:hAnsi="Calibri"/>
          <w:b/>
          <w:i w:val="0"/>
          <w:color w:val="0C4E54"/>
          <w:sz w:val="26"/>
        </w:rPr>
        <w:t>8.5 Constraints &amp; Stress Conditions</w:t>
      </w:r>
    </w:p>
    <w:p>
      <w:pPr>
        <w:spacing w:before="0" w:after="60"/>
        <w:ind w:left="360" w:hanging="288"/>
      </w:pPr>
      <w:r>
        <w:rPr>
          <w:rFonts w:ascii="Calibri" w:hAnsi="Calibri"/>
          <w:b w:val="0"/>
          <w:i w:val="0"/>
          <w:color w:val="28251D"/>
          <w:sz w:val="20"/>
        </w:rPr>
        <w:t>•  No established diagnostic protocol for the first 72 hours of exercise time</w:t>
      </w:r>
    </w:p>
    <w:p>
      <w:pPr>
        <w:spacing w:before="0" w:after="60"/>
        <w:ind w:left="360" w:hanging="288"/>
      </w:pPr>
      <w:r>
        <w:rPr>
          <w:rFonts w:ascii="Calibri" w:hAnsi="Calibri"/>
          <w:b w:val="0"/>
          <w:i w:val="0"/>
          <w:color w:val="28251D"/>
          <w:sz w:val="20"/>
        </w:rPr>
        <w:t>•  Standard rapid diagnostic panels return negative results throughout Phase 1</w:t>
      </w:r>
    </w:p>
    <w:p>
      <w:pPr>
        <w:spacing w:before="0" w:after="60"/>
        <w:ind w:left="360" w:hanging="288"/>
      </w:pPr>
      <w:r>
        <w:rPr>
          <w:rFonts w:ascii="Calibri" w:hAnsi="Calibri"/>
          <w:b w:val="0"/>
          <w:i w:val="0"/>
          <w:color w:val="28251D"/>
          <w:sz w:val="20"/>
        </w:rPr>
        <w:t>•  PPE supply is finite and non-replenishable during the exercise window</w:t>
      </w:r>
    </w:p>
    <w:p>
      <w:pPr>
        <w:spacing w:before="0" w:after="60"/>
        <w:ind w:left="360" w:hanging="288"/>
      </w:pPr>
      <w:r>
        <w:rPr>
          <w:rFonts w:ascii="Calibri" w:hAnsi="Calibri"/>
          <w:b w:val="0"/>
          <w:i w:val="0"/>
          <w:color w:val="28251D"/>
          <w:sz w:val="20"/>
        </w:rPr>
        <w:t>•  External guidance is delayed, evolving, and occasionally contradictory</w:t>
      </w:r>
    </w:p>
    <w:p>
      <w:pPr>
        <w:spacing w:before="0" w:after="60"/>
        <w:ind w:left="360" w:hanging="288"/>
      </w:pPr>
      <w:r>
        <w:rPr>
          <w:rFonts w:ascii="Calibri" w:hAnsi="Calibri"/>
          <w:b w:val="0"/>
          <w:i w:val="0"/>
          <w:color w:val="28251D"/>
          <w:sz w:val="20"/>
        </w:rPr>
        <w:t>•  Staffing is degraded by provider exposure and precautionary furlough beginning Phase 2</w:t>
      </w:r>
    </w:p>
    <w:p>
      <w:pPr>
        <w:spacing w:before="0" w:after="60"/>
        <w:ind w:left="360" w:hanging="288"/>
      </w:pPr>
      <w:r>
        <w:rPr>
          <w:rFonts w:ascii="Calibri" w:hAnsi="Calibri"/>
          <w:b w:val="0"/>
          <w:i w:val="0"/>
          <w:color w:val="28251D"/>
          <w:sz w:val="20"/>
        </w:rPr>
        <w:t>•  Media pressure begins before institutional messaging is prepared</w:t>
      </w:r>
    </w:p>
    <w:p>
      <w:pPr>
        <w:spacing w:before="0" w:after="60"/>
        <w:ind w:left="360" w:hanging="288"/>
      </w:pPr>
      <w:r>
        <w:rPr>
          <w:rFonts w:ascii="Calibri" w:hAnsi="Calibri"/>
          <w:b w:val="0"/>
          <w:i w:val="0"/>
          <w:color w:val="28251D"/>
          <w:sz w:val="20"/>
        </w:rPr>
        <w:t>•  Resource allocation decisions must be made before an ethics framework is formally invoked</w:t>
      </w:r>
    </w:p>
    <w:p>
      <w:pPr>
        <w:spacing w:before="0" w:after="60"/>
        <w:ind w:left="360" w:hanging="288"/>
      </w:pPr>
      <w:r>
        <w:rPr>
          <w:rFonts w:ascii="Calibri" w:hAnsi="Calibri"/>
          <w:b w:val="0"/>
          <w:i w:val="0"/>
          <w:color w:val="28251D"/>
          <w:sz w:val="20"/>
        </w:rPr>
        <w:t>•  All decisions are time-pressured — facilitator will impose decision windows per inject</w:t>
      </w:r>
    </w:p>
    <w:p>
      <w:pPr>
        <w:spacing w:before="0" w:after="60"/>
        <w:ind w:left="360" w:hanging="288"/>
      </w:pPr>
      <w:r>
        <w:rPr>
          <w:rFonts w:ascii="Calibri" w:hAnsi="Calibri"/>
          <w:b w:val="0"/>
          <w:i w:val="0"/>
          <w:color w:val="28251D"/>
          <w:sz w:val="20"/>
        </w:rPr>
        <w:t>•  Information released to participants is asymmetric — not all players have the same data</w:t>
      </w:r>
    </w:p>
    <w:p>
      <w:pPr>
        <w:spacing w:after="160" w:before="0"/>
      </w:pPr>
    </w:p>
    <w:p>
      <w:pPr>
        <w:spacing w:before="240" w:after="60"/>
        <w:jc w:val="left"/>
      </w:pPr>
      <w:r>
        <w:rPr>
          <w:rFonts w:ascii="Calibri" w:hAnsi="Calibri"/>
          <w:b/>
          <w:i w:val="0"/>
          <w:color w:val="0C4E54"/>
          <w:sz w:val="26"/>
        </w:rPr>
        <w:t>8.6 Evaluation Criteria &amp; Metrics</w:t>
      </w: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536"/>
        <w:gridCol w:w="4536"/>
      </w:tblGrid>
      <w:tr>
        <w:tc>
          <w:tcPr>
            <w:tcW w:type="dxa" w:w="2592"/>
            <w:shd w:val="clear" w:color="auto" w:fill="01696F"/>
            <w:tcMar>
              <w:top w:w="60" w:type="dxa"/>
              <w:bottom w:w="60" w:type="dxa"/>
              <w:left w:w="80" w:type="dxa"/>
              <w:right w:w="80" w:type="dxa"/>
            </w:tcMar>
          </w:tcPr>
          <w:p>
            <w:pPr>
              <w:jc w:val="center"/>
            </w:pPr>
            <w:r>
              <w:rPr>
                <w:rFonts w:ascii="Calibri" w:hAnsi="Calibri"/>
                <w:b/>
                <w:i w:val="0"/>
                <w:color w:val="FFFFFF"/>
                <w:sz w:val="18"/>
              </w:rPr>
              <w:t>Metric Category</w:t>
            </w:r>
          </w:p>
        </w:tc>
        <w:tc>
          <w:tcPr>
            <w:tcW w:type="dxa" w:w="6768"/>
            <w:shd w:val="clear" w:color="auto" w:fill="01696F"/>
            <w:tcMar>
              <w:top w:w="60" w:type="dxa"/>
              <w:bottom w:w="60" w:type="dxa"/>
              <w:left w:w="80" w:type="dxa"/>
              <w:right w:w="80" w:type="dxa"/>
            </w:tcMar>
          </w:tcPr>
          <w:p>
            <w:pPr>
              <w:jc w:val="center"/>
            </w:pPr>
            <w:r>
              <w:rPr>
                <w:rFonts w:ascii="Calibri" w:hAnsi="Calibri"/>
                <w:b/>
                <w:i w:val="0"/>
                <w:color w:val="FFFFFF"/>
                <w:sz w:val="18"/>
              </w:rPr>
              <w:t>Specific Metrics</w:t>
            </w:r>
          </w:p>
        </w:tc>
      </w:tr>
      <w:tr>
        <w:tc>
          <w:tcPr>
            <w:tcW w:type="dxa" w:w="2592"/>
            <w:shd w:val="clear" w:color="auto" w:fill="FFFFFF"/>
            <w:tcMar>
              <w:top w:w="60" w:type="dxa"/>
              <w:bottom w:w="60" w:type="dxa"/>
              <w:left w:w="80" w:type="dxa"/>
              <w:right w:w="80" w:type="dxa"/>
            </w:tcMar>
            <w:vAlign w:val="top"/>
          </w:tcPr>
          <w:p>
            <w:r>
              <w:rPr>
                <w:rFonts w:ascii="Calibri" w:hAnsi="Calibri"/>
                <w:b w:val="0"/>
                <w:i w:val="0"/>
                <w:color w:val="28251D"/>
                <w:sz w:val="18"/>
              </w:rPr>
              <w:t>Time Metrics</w:t>
            </w:r>
          </w:p>
        </w:tc>
        <w:tc>
          <w:tcPr>
            <w:tcW w:type="dxa" w:w="6768"/>
            <w:shd w:val="clear" w:color="auto" w:fill="FFFFFF"/>
            <w:tcMar>
              <w:top w:w="60" w:type="dxa"/>
              <w:bottom w:w="60" w:type="dxa"/>
              <w:left w:w="80" w:type="dxa"/>
              <w:right w:w="80" w:type="dxa"/>
            </w:tcMar>
            <w:vAlign w:val="top"/>
          </w:tcPr>
          <w:p>
            <w:r>
              <w:rPr>
                <w:rFonts w:ascii="Calibri" w:hAnsi="Calibri"/>
                <w:b w:val="0"/>
                <w:i w:val="0"/>
                <w:color w:val="28251D"/>
                <w:sz w:val="18"/>
              </w:rPr>
              <w:t>Time from first presentation to isolation decision · Time to Infection Prevention notification · Time to public health notification · Time to activate surge protocols</w:t>
            </w:r>
          </w:p>
        </w:tc>
      </w:tr>
      <w:tr>
        <w:tc>
          <w:tcPr>
            <w:tcW w:type="dxa" w:w="2592"/>
            <w:shd w:val="clear" w:color="auto" w:fill="F2F6F6"/>
            <w:tcMar>
              <w:top w:w="60" w:type="dxa"/>
              <w:bottom w:w="60" w:type="dxa"/>
              <w:left w:w="80" w:type="dxa"/>
              <w:right w:w="80" w:type="dxa"/>
            </w:tcMar>
            <w:vAlign w:val="top"/>
          </w:tcPr>
          <w:p>
            <w:r>
              <w:rPr>
                <w:rFonts w:ascii="Calibri" w:hAnsi="Calibri"/>
                <w:b w:val="0"/>
                <w:i w:val="0"/>
                <w:color w:val="28251D"/>
                <w:sz w:val="18"/>
              </w:rPr>
              <w:t>Decision Quality</w:t>
            </w:r>
          </w:p>
        </w:tc>
        <w:tc>
          <w:tcPr>
            <w:tcW w:type="dxa" w:w="6768"/>
            <w:shd w:val="clear" w:color="auto" w:fill="F2F6F6"/>
            <w:tcMar>
              <w:top w:w="60" w:type="dxa"/>
              <w:bottom w:w="60" w:type="dxa"/>
              <w:left w:w="80" w:type="dxa"/>
              <w:right w:w="80" w:type="dxa"/>
            </w:tcMar>
            <w:vAlign w:val="top"/>
          </w:tcPr>
          <w:p>
            <w:r>
              <w:rPr>
                <w:rFonts w:ascii="Calibri" w:hAnsi="Calibri"/>
                <w:b w:val="0"/>
                <w:i w:val="0"/>
                <w:color w:val="28251D"/>
                <w:sz w:val="18"/>
              </w:rPr>
              <w:t>Was isolation decision defensible? · Was escalation threshold appropriate and consistent? · Was PPE rationing documented? · Was internal communication consistent?</w:t>
            </w:r>
          </w:p>
        </w:tc>
      </w:tr>
      <w:tr>
        <w:tc>
          <w:tcPr>
            <w:tcW w:type="dxa" w:w="2592"/>
            <w:shd w:val="clear" w:color="auto" w:fill="FFFFFF"/>
            <w:tcMar>
              <w:top w:w="60" w:type="dxa"/>
              <w:bottom w:w="60" w:type="dxa"/>
              <w:left w:w="80" w:type="dxa"/>
              <w:right w:w="80" w:type="dxa"/>
            </w:tcMar>
            <w:vAlign w:val="top"/>
          </w:tcPr>
          <w:p>
            <w:r>
              <w:rPr>
                <w:rFonts w:ascii="Calibri" w:hAnsi="Calibri"/>
                <w:b w:val="0"/>
                <w:i w:val="0"/>
                <w:color w:val="28251D"/>
                <w:sz w:val="18"/>
              </w:rPr>
              <w:t>Resource Metrics</w:t>
            </w:r>
          </w:p>
        </w:tc>
        <w:tc>
          <w:tcPr>
            <w:tcW w:type="dxa" w:w="6768"/>
            <w:shd w:val="clear" w:color="auto" w:fill="FFFFFF"/>
            <w:tcMar>
              <w:top w:w="60" w:type="dxa"/>
              <w:bottom w:w="60" w:type="dxa"/>
              <w:left w:w="80" w:type="dxa"/>
              <w:right w:w="80" w:type="dxa"/>
            </w:tcMar>
            <w:vAlign w:val="top"/>
          </w:tcPr>
          <w:p>
            <w:r>
              <w:rPr>
                <w:rFonts w:ascii="Calibri" w:hAnsi="Calibri"/>
                <w:b w:val="0"/>
                <w:i w:val="0"/>
                <w:color w:val="28251D"/>
                <w:sz w:val="18"/>
              </w:rPr>
              <w:t>PPE utilization rate vs. available supply · Isolation bed utilization · Time to request external supply support</w:t>
            </w:r>
          </w:p>
        </w:tc>
      </w:tr>
      <w:tr>
        <w:tc>
          <w:tcPr>
            <w:tcW w:type="dxa" w:w="2592"/>
            <w:shd w:val="clear" w:color="auto" w:fill="F2F6F6"/>
            <w:tcMar>
              <w:top w:w="60" w:type="dxa"/>
              <w:bottom w:w="60" w:type="dxa"/>
              <w:left w:w="80" w:type="dxa"/>
              <w:right w:w="80" w:type="dxa"/>
            </w:tcMar>
            <w:vAlign w:val="top"/>
          </w:tcPr>
          <w:p>
            <w:r>
              <w:rPr>
                <w:rFonts w:ascii="Calibri" w:hAnsi="Calibri"/>
                <w:b w:val="0"/>
                <w:i w:val="0"/>
                <w:color w:val="28251D"/>
                <w:sz w:val="18"/>
              </w:rPr>
              <w:t>Communication Metrics</w:t>
            </w:r>
          </w:p>
        </w:tc>
        <w:tc>
          <w:tcPr>
            <w:tcW w:type="dxa" w:w="6768"/>
            <w:shd w:val="clear" w:color="auto" w:fill="F2F6F6"/>
            <w:tcMar>
              <w:top w:w="60" w:type="dxa"/>
              <w:bottom w:w="60" w:type="dxa"/>
              <w:left w:w="80" w:type="dxa"/>
              <w:right w:w="80" w:type="dxa"/>
            </w:tcMar>
            <w:vAlign w:val="top"/>
          </w:tcPr>
          <w:p>
            <w:r>
              <w:rPr>
                <w:rFonts w:ascii="Calibri" w:hAnsi="Calibri"/>
                <w:b w:val="0"/>
                <w:i w:val="0"/>
                <w:color w:val="28251D"/>
                <w:sz w:val="18"/>
              </w:rPr>
              <w:t>Clarity of internal communications · Quality and timing of public health notification · Preparedness of external messaging before media contact</w:t>
            </w:r>
          </w:p>
        </w:tc>
      </w:tr>
      <w:tr>
        <w:tc>
          <w:tcPr>
            <w:tcW w:type="dxa" w:w="2592"/>
            <w:shd w:val="clear" w:color="auto" w:fill="FFFFFF"/>
            <w:tcMar>
              <w:top w:w="60" w:type="dxa"/>
              <w:bottom w:w="60" w:type="dxa"/>
              <w:left w:w="80" w:type="dxa"/>
              <w:right w:w="80" w:type="dxa"/>
            </w:tcMar>
            <w:vAlign w:val="top"/>
          </w:tcPr>
          <w:p>
            <w:r>
              <w:rPr>
                <w:rFonts w:ascii="Calibri" w:hAnsi="Calibri"/>
                <w:b w:val="0"/>
                <w:i w:val="0"/>
                <w:color w:val="28251D"/>
                <w:sz w:val="18"/>
              </w:rPr>
              <w:t>Human Factors</w:t>
            </w:r>
          </w:p>
        </w:tc>
        <w:tc>
          <w:tcPr>
            <w:tcW w:type="dxa" w:w="6768"/>
            <w:shd w:val="clear" w:color="auto" w:fill="FFFFFF"/>
            <w:tcMar>
              <w:top w:w="60" w:type="dxa"/>
              <w:bottom w:w="60" w:type="dxa"/>
              <w:left w:w="80" w:type="dxa"/>
              <w:right w:w="80" w:type="dxa"/>
            </w:tcMar>
            <w:vAlign w:val="top"/>
          </w:tcPr>
          <w:p>
            <w:r>
              <w:rPr>
                <w:rFonts w:ascii="Calibri" w:hAnsi="Calibri"/>
                <w:b w:val="0"/>
                <w:i w:val="0"/>
                <w:color w:val="28251D"/>
                <w:sz w:val="18"/>
              </w:rPr>
              <w:t>Identified decision-making bottlenecks · Reported cognitive overload points · Role clarity under sustained pressure</w:t>
            </w:r>
          </w:p>
        </w:tc>
      </w:tr>
    </w:tbl>
    <w:p/>
    <w:p>
      <w:pPr>
        <w:spacing w:after="160" w:before="0"/>
      </w:pPr>
    </w:p>
    <w:p>
      <w:pPr>
        <w:spacing w:before="240" w:after="60"/>
        <w:jc w:val="left"/>
      </w:pPr>
      <w:r>
        <w:rPr>
          <w:rFonts w:ascii="Calibri" w:hAnsi="Calibri"/>
          <w:b/>
          <w:i w:val="0"/>
          <w:color w:val="0C4E54"/>
          <w:sz w:val="26"/>
        </w:rPr>
        <w:t>8.7 After-Action Framework</w:t>
      </w:r>
    </w:p>
    <w:p>
      <w:pPr>
        <w:spacing w:before="0" w:after="100"/>
        <w:jc w:val="left"/>
      </w:pPr>
      <w:r>
        <w:rPr>
          <w:rFonts w:ascii="Calibri" w:hAnsi="Calibri"/>
          <w:b w:val="0"/>
          <w:i w:val="0"/>
          <w:color w:val="28251D"/>
          <w:sz w:val="20"/>
        </w:rPr>
        <w:t>Immediate Hotwash (30 minutes post-exercise): What went well? What surprised you? What would you do differently?</w:t>
      </w:r>
    </w:p>
    <w:p>
      <w:pPr>
        <w:spacing w:before="160" w:after="60"/>
        <w:jc w:val="left"/>
      </w:pPr>
      <w:r>
        <w:rPr>
          <w:rFonts w:ascii="Calibri" w:hAnsi="Calibri"/>
          <w:b/>
          <w:i w:val="0"/>
          <w:color w:val="28251D"/>
          <w:sz w:val="22"/>
        </w:rPr>
        <w:t>After-Action Report (AAR) — delivered within 2 weeks</w:t>
      </w:r>
    </w:p>
    <w:p>
      <w:pPr>
        <w:spacing w:before="0" w:after="60"/>
        <w:ind w:left="360" w:hanging="288"/>
      </w:pPr>
      <w:r>
        <w:rPr>
          <w:rFonts w:ascii="Calibri" w:hAnsi="Calibri"/>
          <w:b w:val="0"/>
          <w:i w:val="0"/>
          <w:color w:val="28251D"/>
          <w:sz w:val="20"/>
        </w:rPr>
        <w:t>•  Findings mapped to each primary and supporting objective</w:t>
      </w:r>
    </w:p>
    <w:p>
      <w:pPr>
        <w:spacing w:before="0" w:after="60"/>
        <w:ind w:left="360" w:hanging="288"/>
      </w:pPr>
      <w:r>
        <w:rPr>
          <w:rFonts w:ascii="Calibri" w:hAnsi="Calibri"/>
          <w:b w:val="0"/>
          <w:i w:val="0"/>
          <w:color w:val="28251D"/>
          <w:sz w:val="20"/>
        </w:rPr>
        <w:t>•  Gaps identified with evidence from exercise record</w:t>
      </w:r>
    </w:p>
    <w:p>
      <w:pPr>
        <w:spacing w:before="0" w:after="60"/>
        <w:ind w:left="360" w:hanging="288"/>
      </w:pPr>
      <w:r>
        <w:rPr>
          <w:rFonts w:ascii="Calibri" w:hAnsi="Calibri"/>
          <w:b w:val="0"/>
          <w:i w:val="0"/>
          <w:color w:val="28251D"/>
          <w:sz w:val="20"/>
        </w:rPr>
        <w:t>•  Recommendations with assigned owners</w:t>
      </w:r>
    </w:p>
    <w:p>
      <w:pPr>
        <w:spacing w:before="0" w:after="60"/>
        <w:ind w:left="360" w:hanging="288"/>
      </w:pPr>
      <w:r>
        <w:rPr>
          <w:rFonts w:ascii="Calibri" w:hAnsi="Calibri"/>
          <w:b w:val="0"/>
          <w:i w:val="0"/>
          <w:color w:val="28251D"/>
          <w:sz w:val="20"/>
        </w:rPr>
        <w:t>•  Priority ranking: Immediate / 90-Day / Long-Term</w:t>
      </w:r>
    </w:p>
    <w:p>
      <w:pPr>
        <w:spacing w:before="0" w:after="100"/>
        <w:jc w:val="left"/>
      </w:pPr>
      <w:r>
        <w:rPr>
          <w:rFonts w:ascii="Calibri" w:hAnsi="Calibri"/>
          <w:b w:val="0"/>
          <w:i w:val="0"/>
          <w:color w:val="28251D"/>
          <w:sz w:val="20"/>
        </w:rPr>
        <w:t>Improvement Plan: Each recommendation tied to a named owner, a resource requirement, and a follow-up drill date. Tracked quarterly. AAR submitted for ONESTAMP ratification before integration into institutional improvement record.</w:t>
      </w:r>
    </w:p>
    <w:p>
      <w:r>
        <w:br w:type="page"/>
      </w:r>
    </w:p>
    <w:p>
      <w:pPr>
        <w:spacing w:before="280" w:after="80"/>
        <w:jc w:val="left"/>
        <w:pBdr>
          <w:bottom w:val="single" w:sz="8" w:space="1" w:color="01696F"/>
        </w:pBdr>
      </w:pPr>
      <w:r>
        <w:rPr>
          <w:rFonts w:ascii="Calibri" w:hAnsi="Calibri"/>
          <w:b/>
          <w:i w:val="0"/>
          <w:color w:val="01696F"/>
          <w:sz w:val="32"/>
        </w:rPr>
        <w:t>9. Red-Team Risk Analysis</w:t>
      </w:r>
    </w:p>
    <w:p>
      <w:pPr>
        <w:spacing w:before="0" w:after="100"/>
        <w:jc w:val="left"/>
      </w:pPr>
      <w:r>
        <w:rPr>
          <w:rFonts w:ascii="Calibri" w:hAnsi="Calibri"/>
          <w:b w:val="0"/>
          <w:i w:val="0"/>
          <w:color w:val="28251D"/>
          <w:sz w:val="20"/>
        </w:rPr>
        <w:t>Synthesized from all five AI red-team contributions.</w:t>
      </w:r>
    </w:p>
    <w:p>
      <w:pPr>
        <w:spacing w:after="120" w:before="0"/>
      </w:pPr>
    </w:p>
    <w:p>
      <w:pPr>
        <w:spacing w:before="240" w:after="60"/>
        <w:jc w:val="left"/>
      </w:pPr>
      <w:r>
        <w:rPr>
          <w:rFonts w:ascii="Calibri" w:hAnsi="Calibri"/>
          <w:b/>
          <w:i w:val="0"/>
          <w:color w:val="0C4E54"/>
          <w:sz w:val="26"/>
        </w:rPr>
        <w:t>9.1 Technical &amp; Design Risks</w:t>
      </w: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268"/>
        <w:gridCol w:w="2268"/>
        <w:gridCol w:w="2268"/>
        <w:gridCol w:w="2268"/>
      </w:tblGrid>
      <w:tr>
        <w:tc>
          <w:tcPr>
            <w:tcW w:type="dxa" w:w="1872"/>
            <w:shd w:val="clear" w:color="auto" w:fill="01696F"/>
            <w:tcMar>
              <w:top w:w="60" w:type="dxa"/>
              <w:bottom w:w="60" w:type="dxa"/>
              <w:left w:w="80" w:type="dxa"/>
              <w:right w:w="80" w:type="dxa"/>
            </w:tcMar>
          </w:tcPr>
          <w:p>
            <w:pPr>
              <w:jc w:val="center"/>
            </w:pPr>
            <w:r>
              <w:rPr>
                <w:rFonts w:ascii="Calibri" w:hAnsi="Calibri"/>
                <w:b/>
                <w:i w:val="0"/>
                <w:color w:val="FFFFFF"/>
                <w:sz w:val="18"/>
              </w:rPr>
              <w:t>Risk</w:t>
            </w:r>
          </w:p>
        </w:tc>
        <w:tc>
          <w:tcPr>
            <w:tcW w:type="dxa" w:w="2592"/>
            <w:shd w:val="clear" w:color="auto" w:fill="01696F"/>
            <w:tcMar>
              <w:top w:w="60" w:type="dxa"/>
              <w:bottom w:w="60" w:type="dxa"/>
              <w:left w:w="80" w:type="dxa"/>
              <w:right w:w="80" w:type="dxa"/>
            </w:tcMar>
          </w:tcPr>
          <w:p>
            <w:pPr>
              <w:jc w:val="center"/>
            </w:pPr>
            <w:r>
              <w:rPr>
                <w:rFonts w:ascii="Calibri" w:hAnsi="Calibri"/>
                <w:b/>
                <w:i w:val="0"/>
                <w:color w:val="FFFFFF"/>
                <w:sz w:val="18"/>
              </w:rPr>
              <w:t>Description</w:t>
            </w:r>
          </w:p>
        </w:tc>
        <w:tc>
          <w:tcPr>
            <w:tcW w:type="dxa" w:w="936"/>
            <w:shd w:val="clear" w:color="auto" w:fill="01696F"/>
            <w:tcMar>
              <w:top w:w="60" w:type="dxa"/>
              <w:bottom w:w="60" w:type="dxa"/>
              <w:left w:w="80" w:type="dxa"/>
              <w:right w:w="80" w:type="dxa"/>
            </w:tcMar>
          </w:tcPr>
          <w:p>
            <w:pPr>
              <w:jc w:val="center"/>
            </w:pPr>
            <w:r>
              <w:rPr>
                <w:rFonts w:ascii="Calibri" w:hAnsi="Calibri"/>
                <w:b/>
                <w:i w:val="0"/>
                <w:color w:val="FFFFFF"/>
                <w:sz w:val="18"/>
              </w:rPr>
              <w:t>Severity</w:t>
            </w:r>
          </w:p>
        </w:tc>
        <w:tc>
          <w:tcPr>
            <w:tcW w:type="dxa" w:w="3960"/>
            <w:shd w:val="clear" w:color="auto" w:fill="01696F"/>
            <w:tcMar>
              <w:top w:w="60" w:type="dxa"/>
              <w:bottom w:w="60" w:type="dxa"/>
              <w:left w:w="80" w:type="dxa"/>
              <w:right w:w="80" w:type="dxa"/>
            </w:tcMar>
          </w:tcPr>
          <w:p>
            <w:pPr>
              <w:jc w:val="center"/>
            </w:pPr>
            <w:r>
              <w:rPr>
                <w:rFonts w:ascii="Calibri" w:hAnsi="Calibri"/>
                <w:b/>
                <w:i w:val="0"/>
                <w:color w:val="FFFFFF"/>
                <w:sz w:val="18"/>
              </w:rPr>
              <w:t>Mitigation</w:t>
            </w:r>
          </w:p>
        </w:tc>
      </w:tr>
      <w:tr>
        <w:tc>
          <w:tcPr>
            <w:tcW w:type="dxa" w:w="1872"/>
            <w:shd w:val="clear" w:color="auto" w:fill="FFFFFF"/>
            <w:tcMar>
              <w:top w:w="60" w:type="dxa"/>
              <w:bottom w:w="60" w:type="dxa"/>
              <w:left w:w="80" w:type="dxa"/>
              <w:right w:w="80" w:type="dxa"/>
            </w:tcMar>
            <w:vAlign w:val="top"/>
          </w:tcPr>
          <w:p>
            <w:r>
              <w:rPr>
                <w:rFonts w:ascii="Calibri" w:hAnsi="Calibri"/>
                <w:b w:val="0"/>
                <w:i w:val="0"/>
                <w:color w:val="28251D"/>
                <w:sz w:val="18"/>
              </w:rPr>
              <w:t>Facilitator Bias — The Architect Problem</w:t>
            </w:r>
          </w:p>
        </w:tc>
        <w:tc>
          <w:tcPr>
            <w:tcW w:type="dxa" w:w="2592"/>
            <w:shd w:val="clear" w:color="auto" w:fill="FFFFFF"/>
            <w:tcMar>
              <w:top w:w="60" w:type="dxa"/>
              <w:bottom w:w="60" w:type="dxa"/>
              <w:left w:w="80" w:type="dxa"/>
              <w:right w:w="80" w:type="dxa"/>
            </w:tcMar>
            <w:vAlign w:val="top"/>
          </w:tcPr>
          <w:p>
            <w:r>
              <w:rPr>
                <w:rFonts w:ascii="Calibri" w:hAnsi="Calibri"/>
                <w:b w:val="0"/>
                <w:i w:val="0"/>
                <w:color w:val="28251D"/>
                <w:sz w:val="18"/>
              </w:rPr>
              <w:t>If the facilitator is too invested in a particular outcome, injects will confirm rather than stress real failure modes.</w:t>
            </w:r>
          </w:p>
        </w:tc>
        <w:tc>
          <w:tcPr>
            <w:tcW w:type="dxa" w:w="936"/>
            <w:shd w:val="clear" w:color="auto" w:fill="FFFFFF"/>
            <w:tcMar>
              <w:top w:w="60" w:type="dxa"/>
              <w:bottom w:w="60" w:type="dxa"/>
              <w:left w:w="80" w:type="dxa"/>
              <w:right w:w="80" w:type="dxa"/>
            </w:tcMar>
            <w:vAlign w:val="top"/>
          </w:tcPr>
          <w:p>
            <w:r>
              <w:rPr>
                <w:rFonts w:ascii="Calibri" w:hAnsi="Calibri"/>
                <w:b w:val="0"/>
                <w:i w:val="0"/>
                <w:color w:val="28251D"/>
                <w:sz w:val="18"/>
              </w:rPr>
              <w:t>HIGH</w:t>
            </w:r>
          </w:p>
        </w:tc>
        <w:tc>
          <w:tcPr>
            <w:tcW w:type="dxa" w:w="3960"/>
            <w:shd w:val="clear" w:color="auto" w:fill="FFFFFF"/>
            <w:tcMar>
              <w:top w:w="60" w:type="dxa"/>
              <w:bottom w:w="60" w:type="dxa"/>
              <w:left w:w="80" w:type="dxa"/>
              <w:right w:w="80" w:type="dxa"/>
            </w:tcMar>
            <w:vAlign w:val="top"/>
          </w:tcPr>
          <w:p>
            <w:r>
              <w:rPr>
                <w:rFonts w:ascii="Calibri" w:hAnsi="Calibri"/>
                <w:b w:val="0"/>
                <w:i w:val="0"/>
                <w:color w:val="28251D"/>
                <w:sz w:val="18"/>
              </w:rPr>
              <w:t>Facilitator must be willing to let the exercise reveal failure. Consider an external facilitator or co-facilitation structure.</w:t>
            </w:r>
          </w:p>
        </w:tc>
      </w:tr>
      <w:tr>
        <w:tc>
          <w:tcPr>
            <w:tcW w:type="dxa" w:w="1872"/>
            <w:shd w:val="clear" w:color="auto" w:fill="F2F6F6"/>
            <w:tcMar>
              <w:top w:w="60" w:type="dxa"/>
              <w:bottom w:w="60" w:type="dxa"/>
              <w:left w:w="80" w:type="dxa"/>
              <w:right w:w="80" w:type="dxa"/>
            </w:tcMar>
            <w:vAlign w:val="top"/>
          </w:tcPr>
          <w:p>
            <w:r>
              <w:rPr>
                <w:rFonts w:ascii="Calibri" w:hAnsi="Calibri"/>
                <w:b w:val="0"/>
                <w:i w:val="0"/>
                <w:color w:val="28251D"/>
                <w:sz w:val="18"/>
              </w:rPr>
              <w:t>The Protocol Comfort Reflex</w:t>
            </w:r>
          </w:p>
        </w:tc>
        <w:tc>
          <w:tcPr>
            <w:tcW w:type="dxa" w:w="2592"/>
            <w:shd w:val="clear" w:color="auto" w:fill="F2F6F6"/>
            <w:tcMar>
              <w:top w:w="60" w:type="dxa"/>
              <w:bottom w:w="60" w:type="dxa"/>
              <w:left w:w="80" w:type="dxa"/>
              <w:right w:w="80" w:type="dxa"/>
            </w:tcMar>
            <w:vAlign w:val="top"/>
          </w:tcPr>
          <w:p>
            <w:r>
              <w:rPr>
                <w:rFonts w:ascii="Calibri" w:hAnsi="Calibri"/>
                <w:b w:val="0"/>
                <w:i w:val="0"/>
                <w:color w:val="28251D"/>
                <w:sz w:val="18"/>
              </w:rPr>
              <w:t>Experienced participants will instinctively reach for existing protocols even when the scenario explicitly renders them inapplicable.</w:t>
            </w:r>
          </w:p>
        </w:tc>
        <w:tc>
          <w:tcPr>
            <w:tcW w:type="dxa" w:w="936"/>
            <w:shd w:val="clear" w:color="auto" w:fill="F2F6F6"/>
            <w:tcMar>
              <w:top w:w="60" w:type="dxa"/>
              <w:bottom w:w="60" w:type="dxa"/>
              <w:left w:w="80" w:type="dxa"/>
              <w:right w:w="80" w:type="dxa"/>
            </w:tcMar>
            <w:vAlign w:val="top"/>
          </w:tcPr>
          <w:p>
            <w:r>
              <w:rPr>
                <w:rFonts w:ascii="Calibri" w:hAnsi="Calibri"/>
                <w:b w:val="0"/>
                <w:i w:val="0"/>
                <w:color w:val="28251D"/>
                <w:sz w:val="18"/>
              </w:rPr>
              <w:t>HIGH</w:t>
            </w:r>
          </w:p>
        </w:tc>
        <w:tc>
          <w:tcPr>
            <w:tcW w:type="dxa" w:w="3960"/>
            <w:shd w:val="clear" w:color="auto" w:fill="F2F6F6"/>
            <w:tcMar>
              <w:top w:w="60" w:type="dxa"/>
              <w:bottom w:w="60" w:type="dxa"/>
              <w:left w:w="80" w:type="dxa"/>
              <w:right w:w="80" w:type="dxa"/>
            </w:tcMar>
            <w:vAlign w:val="top"/>
          </w:tcPr>
          <w:p>
            <w:r>
              <w:rPr>
                <w:rFonts w:ascii="Calibri" w:hAnsi="Calibri"/>
                <w:b w:val="0"/>
                <w:i w:val="0"/>
                <w:color w:val="28251D"/>
                <w:sz w:val="18"/>
              </w:rPr>
              <w:t>Injects must make protocol-dependency visible as a gap. Facilitator must actively redirect protocol-reach back to scenario conditions.</w:t>
            </w:r>
          </w:p>
        </w:tc>
      </w:tr>
      <w:tr>
        <w:tc>
          <w:tcPr>
            <w:tcW w:type="dxa" w:w="1872"/>
            <w:shd w:val="clear" w:color="auto" w:fill="FFFFFF"/>
            <w:tcMar>
              <w:top w:w="60" w:type="dxa"/>
              <w:bottom w:w="60" w:type="dxa"/>
              <w:left w:w="80" w:type="dxa"/>
              <w:right w:w="80" w:type="dxa"/>
            </w:tcMar>
            <w:vAlign w:val="top"/>
          </w:tcPr>
          <w:p>
            <w:r>
              <w:rPr>
                <w:rFonts w:ascii="Calibri" w:hAnsi="Calibri"/>
                <w:b w:val="0"/>
                <w:i w:val="0"/>
                <w:color w:val="28251D"/>
                <w:sz w:val="18"/>
              </w:rPr>
              <w:t>Scope Creep During Execution</w:t>
            </w:r>
          </w:p>
        </w:tc>
        <w:tc>
          <w:tcPr>
            <w:tcW w:type="dxa" w:w="2592"/>
            <w:shd w:val="clear" w:color="auto" w:fill="FFFFFF"/>
            <w:tcMar>
              <w:top w:w="60" w:type="dxa"/>
              <w:bottom w:w="60" w:type="dxa"/>
              <w:left w:w="80" w:type="dxa"/>
              <w:right w:w="80" w:type="dxa"/>
            </w:tcMar>
            <w:vAlign w:val="top"/>
          </w:tcPr>
          <w:p>
            <w:r>
              <w:rPr>
                <w:rFonts w:ascii="Calibri" w:hAnsi="Calibri"/>
                <w:b w:val="0"/>
                <w:i w:val="0"/>
                <w:color w:val="28251D"/>
                <w:sz w:val="18"/>
              </w:rPr>
              <w:t>Phase 1 discussions will consume the entire exercise and Phase 3 will never occur without hard time discipline.</w:t>
            </w:r>
          </w:p>
        </w:tc>
        <w:tc>
          <w:tcPr>
            <w:tcW w:type="dxa" w:w="936"/>
            <w:shd w:val="clear" w:color="auto" w:fill="FFFFFF"/>
            <w:tcMar>
              <w:top w:w="60" w:type="dxa"/>
              <w:bottom w:w="60" w:type="dxa"/>
              <w:left w:w="80" w:type="dxa"/>
              <w:right w:w="80" w:type="dxa"/>
            </w:tcMar>
            <w:vAlign w:val="top"/>
          </w:tcPr>
          <w:p>
            <w:r>
              <w:rPr>
                <w:rFonts w:ascii="Calibri" w:hAnsi="Calibri"/>
                <w:b w:val="0"/>
                <w:i w:val="0"/>
                <w:color w:val="28251D"/>
                <w:sz w:val="18"/>
              </w:rPr>
              <w:t>HIGH</w:t>
            </w:r>
          </w:p>
        </w:tc>
        <w:tc>
          <w:tcPr>
            <w:tcW w:type="dxa" w:w="3960"/>
            <w:shd w:val="clear" w:color="auto" w:fill="FFFFFF"/>
            <w:tcMar>
              <w:top w:w="60" w:type="dxa"/>
              <w:bottom w:w="60" w:type="dxa"/>
              <w:left w:w="80" w:type="dxa"/>
              <w:right w:w="80" w:type="dxa"/>
            </w:tcMar>
            <w:vAlign w:val="top"/>
          </w:tcPr>
          <w:p>
            <w:r>
              <w:rPr>
                <w:rFonts w:ascii="Calibri" w:hAnsi="Calibri"/>
                <w:b w:val="0"/>
                <w:i w:val="0"/>
                <w:color w:val="28251D"/>
                <w:sz w:val="18"/>
              </w:rPr>
              <w:t>Hard time boundaries per phase; inject triggers on a clock regardless of where discussion stands.</w:t>
            </w:r>
          </w:p>
        </w:tc>
      </w:tr>
      <w:tr>
        <w:tc>
          <w:tcPr>
            <w:tcW w:type="dxa" w:w="1872"/>
            <w:shd w:val="clear" w:color="auto" w:fill="F2F6F6"/>
            <w:tcMar>
              <w:top w:w="60" w:type="dxa"/>
              <w:bottom w:w="60" w:type="dxa"/>
              <w:left w:w="80" w:type="dxa"/>
              <w:right w:w="80" w:type="dxa"/>
            </w:tcMar>
            <w:vAlign w:val="top"/>
          </w:tcPr>
          <w:p>
            <w:r>
              <w:rPr>
                <w:rFonts w:ascii="Calibri" w:hAnsi="Calibri"/>
                <w:b w:val="0"/>
                <w:i w:val="0"/>
                <w:color w:val="28251D"/>
                <w:sz w:val="18"/>
              </w:rPr>
              <w:t>The "No Wrong Answer" Trap</w:t>
            </w:r>
          </w:p>
        </w:tc>
        <w:tc>
          <w:tcPr>
            <w:tcW w:type="dxa" w:w="2592"/>
            <w:shd w:val="clear" w:color="auto" w:fill="F2F6F6"/>
            <w:tcMar>
              <w:top w:w="60" w:type="dxa"/>
              <w:bottom w:w="60" w:type="dxa"/>
              <w:left w:w="80" w:type="dxa"/>
              <w:right w:w="80" w:type="dxa"/>
            </w:tcMar>
            <w:vAlign w:val="top"/>
          </w:tcPr>
          <w:p>
            <w:r>
              <w:rPr>
                <w:rFonts w:ascii="Calibri" w:hAnsi="Calibri"/>
                <w:b w:val="0"/>
                <w:i w:val="0"/>
                <w:color w:val="28251D"/>
                <w:sz w:val="18"/>
              </w:rPr>
              <w:t>TTX designs can be so no-fault that participants never feel genuine pressure. Without pressure, the residency hook loses its power.</w:t>
            </w:r>
          </w:p>
        </w:tc>
        <w:tc>
          <w:tcPr>
            <w:tcW w:type="dxa" w:w="936"/>
            <w:shd w:val="clear" w:color="auto" w:fill="F2F6F6"/>
            <w:tcMar>
              <w:top w:w="60" w:type="dxa"/>
              <w:bottom w:w="60" w:type="dxa"/>
              <w:left w:w="80" w:type="dxa"/>
              <w:right w:w="80" w:type="dxa"/>
            </w:tcMar>
            <w:vAlign w:val="top"/>
          </w:tcPr>
          <w:p>
            <w:r>
              <w:rPr>
                <w:rFonts w:ascii="Calibri" w:hAnsi="Calibri"/>
                <w:b w:val="0"/>
                <w:i w:val="0"/>
                <w:color w:val="28251D"/>
                <w:sz w:val="18"/>
              </w:rPr>
              <w:t>HIGH</w:t>
            </w:r>
          </w:p>
        </w:tc>
        <w:tc>
          <w:tcPr>
            <w:tcW w:type="dxa" w:w="3960"/>
            <w:shd w:val="clear" w:color="auto" w:fill="F2F6F6"/>
            <w:tcMar>
              <w:top w:w="60" w:type="dxa"/>
              <w:bottom w:w="60" w:type="dxa"/>
              <w:left w:w="80" w:type="dxa"/>
              <w:right w:w="80" w:type="dxa"/>
            </w:tcMar>
            <w:vAlign w:val="top"/>
          </w:tcPr>
          <w:p>
            <w:r>
              <w:rPr>
                <w:rFonts w:ascii="Calibri" w:hAnsi="Calibri"/>
                <w:b w:val="0"/>
                <w:i w:val="0"/>
                <w:color w:val="28251D"/>
                <w:sz w:val="18"/>
              </w:rPr>
              <w:t>Build controlled stress conditions into the design; some decisions must be made with incomplete information, on the record.</w:t>
            </w:r>
          </w:p>
        </w:tc>
      </w:tr>
      <w:tr>
        <w:tc>
          <w:tcPr>
            <w:tcW w:type="dxa" w:w="1872"/>
            <w:shd w:val="clear" w:color="auto" w:fill="FFFFFF"/>
            <w:tcMar>
              <w:top w:w="60" w:type="dxa"/>
              <w:bottom w:w="60" w:type="dxa"/>
              <w:left w:w="80" w:type="dxa"/>
              <w:right w:w="80" w:type="dxa"/>
            </w:tcMar>
            <w:vAlign w:val="top"/>
          </w:tcPr>
          <w:p>
            <w:r>
              <w:rPr>
                <w:rFonts w:ascii="Calibri" w:hAnsi="Calibri"/>
                <w:b w:val="0"/>
                <w:i w:val="0"/>
                <w:color w:val="28251D"/>
                <w:sz w:val="18"/>
              </w:rPr>
              <w:t>Evaluation Without Baseline</w:t>
            </w:r>
          </w:p>
        </w:tc>
        <w:tc>
          <w:tcPr>
            <w:tcW w:type="dxa" w:w="2592"/>
            <w:shd w:val="clear" w:color="auto" w:fill="FFFFFF"/>
            <w:tcMar>
              <w:top w:w="60" w:type="dxa"/>
              <w:bottom w:w="60" w:type="dxa"/>
              <w:left w:w="80" w:type="dxa"/>
              <w:right w:w="80" w:type="dxa"/>
            </w:tcMar>
            <w:vAlign w:val="top"/>
          </w:tcPr>
          <w:p>
            <w:r>
              <w:rPr>
                <w:rFonts w:ascii="Calibri" w:hAnsi="Calibri"/>
                <w:b w:val="0"/>
                <w:i w:val="0"/>
                <w:color w:val="28251D"/>
                <w:sz w:val="18"/>
              </w:rPr>
              <w:t>Without a baseline, findings are descriptive but not benchmarkable.</w:t>
            </w:r>
          </w:p>
        </w:tc>
        <w:tc>
          <w:tcPr>
            <w:tcW w:type="dxa" w:w="936"/>
            <w:shd w:val="clear" w:color="auto" w:fill="FFFFFF"/>
            <w:tcMar>
              <w:top w:w="60" w:type="dxa"/>
              <w:bottom w:w="60" w:type="dxa"/>
              <w:left w:w="80" w:type="dxa"/>
              <w:right w:w="80" w:type="dxa"/>
            </w:tcMar>
            <w:vAlign w:val="top"/>
          </w:tcPr>
          <w:p>
            <w:r>
              <w:rPr>
                <w:rFonts w:ascii="Calibri" w:hAnsi="Calibri"/>
                <w:b w:val="0"/>
                <w:i w:val="0"/>
                <w:color w:val="28251D"/>
                <w:sz w:val="18"/>
              </w:rPr>
              <w:t>MEDIUM</w:t>
            </w:r>
          </w:p>
        </w:tc>
        <w:tc>
          <w:tcPr>
            <w:tcW w:type="dxa" w:w="3960"/>
            <w:shd w:val="clear" w:color="auto" w:fill="FFFFFF"/>
            <w:tcMar>
              <w:top w:w="60" w:type="dxa"/>
              <w:bottom w:w="60" w:type="dxa"/>
              <w:left w:w="80" w:type="dxa"/>
              <w:right w:w="80" w:type="dxa"/>
            </w:tcMar>
            <w:vAlign w:val="top"/>
          </w:tcPr>
          <w:p>
            <w:r>
              <w:rPr>
                <w:rFonts w:ascii="Calibri" w:hAnsi="Calibri"/>
                <w:b w:val="0"/>
                <w:i w:val="0"/>
                <w:color w:val="28251D"/>
                <w:sz w:val="18"/>
              </w:rPr>
              <w:t>Document explicitly that this is a baseline-establishing exercise; create a standardized scoring rubric for future exercises.</w:t>
            </w:r>
          </w:p>
        </w:tc>
      </w:tr>
    </w:tbl>
    <w:p/>
    <w:p>
      <w:pPr>
        <w:spacing w:after="160" w:before="0"/>
      </w:pPr>
    </w:p>
    <w:p>
      <w:pPr>
        <w:spacing w:before="240" w:after="60"/>
        <w:jc w:val="left"/>
      </w:pPr>
      <w:r>
        <w:rPr>
          <w:rFonts w:ascii="Calibri" w:hAnsi="Calibri"/>
          <w:b/>
          <w:i w:val="0"/>
          <w:color w:val="0C4E54"/>
          <w:sz w:val="26"/>
        </w:rPr>
        <w:t>9.2 Narrative &amp; Operational Risks</w:t>
      </w: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268"/>
        <w:gridCol w:w="2268"/>
        <w:gridCol w:w="2268"/>
        <w:gridCol w:w="2268"/>
      </w:tblGrid>
      <w:tr>
        <w:tc>
          <w:tcPr>
            <w:tcW w:type="dxa" w:w="1872"/>
            <w:shd w:val="clear" w:color="auto" w:fill="01696F"/>
            <w:tcMar>
              <w:top w:w="60" w:type="dxa"/>
              <w:bottom w:w="60" w:type="dxa"/>
              <w:left w:w="80" w:type="dxa"/>
              <w:right w:w="80" w:type="dxa"/>
            </w:tcMar>
          </w:tcPr>
          <w:p>
            <w:pPr>
              <w:jc w:val="center"/>
            </w:pPr>
            <w:r>
              <w:rPr>
                <w:rFonts w:ascii="Calibri" w:hAnsi="Calibri"/>
                <w:b/>
                <w:i w:val="0"/>
                <w:color w:val="FFFFFF"/>
                <w:sz w:val="18"/>
              </w:rPr>
              <w:t>Risk</w:t>
            </w:r>
          </w:p>
        </w:tc>
        <w:tc>
          <w:tcPr>
            <w:tcW w:type="dxa" w:w="2592"/>
            <w:shd w:val="clear" w:color="auto" w:fill="01696F"/>
            <w:tcMar>
              <w:top w:w="60" w:type="dxa"/>
              <w:bottom w:w="60" w:type="dxa"/>
              <w:left w:w="80" w:type="dxa"/>
              <w:right w:w="80" w:type="dxa"/>
            </w:tcMar>
          </w:tcPr>
          <w:p>
            <w:pPr>
              <w:jc w:val="center"/>
            </w:pPr>
            <w:r>
              <w:rPr>
                <w:rFonts w:ascii="Calibri" w:hAnsi="Calibri"/>
                <w:b/>
                <w:i w:val="0"/>
                <w:color w:val="FFFFFF"/>
                <w:sz w:val="18"/>
              </w:rPr>
              <w:t>Description</w:t>
            </w:r>
          </w:p>
        </w:tc>
        <w:tc>
          <w:tcPr>
            <w:tcW w:type="dxa" w:w="936"/>
            <w:shd w:val="clear" w:color="auto" w:fill="01696F"/>
            <w:tcMar>
              <w:top w:w="60" w:type="dxa"/>
              <w:bottom w:w="60" w:type="dxa"/>
              <w:left w:w="80" w:type="dxa"/>
              <w:right w:w="80" w:type="dxa"/>
            </w:tcMar>
          </w:tcPr>
          <w:p>
            <w:pPr>
              <w:jc w:val="center"/>
            </w:pPr>
            <w:r>
              <w:rPr>
                <w:rFonts w:ascii="Calibri" w:hAnsi="Calibri"/>
                <w:b/>
                <w:i w:val="0"/>
                <w:color w:val="FFFFFF"/>
                <w:sz w:val="18"/>
              </w:rPr>
              <w:t>Severity</w:t>
            </w:r>
          </w:p>
        </w:tc>
        <w:tc>
          <w:tcPr>
            <w:tcW w:type="dxa" w:w="3960"/>
            <w:shd w:val="clear" w:color="auto" w:fill="01696F"/>
            <w:tcMar>
              <w:top w:w="60" w:type="dxa"/>
              <w:bottom w:w="60" w:type="dxa"/>
              <w:left w:w="80" w:type="dxa"/>
              <w:right w:w="80" w:type="dxa"/>
            </w:tcMar>
          </w:tcPr>
          <w:p>
            <w:pPr>
              <w:jc w:val="center"/>
            </w:pPr>
            <w:r>
              <w:rPr>
                <w:rFonts w:ascii="Calibri" w:hAnsi="Calibri"/>
                <w:b/>
                <w:i w:val="0"/>
                <w:color w:val="FFFFFF"/>
                <w:sz w:val="18"/>
              </w:rPr>
              <w:t>Mitigation</w:t>
            </w:r>
          </w:p>
        </w:tc>
      </w:tr>
      <w:tr>
        <w:tc>
          <w:tcPr>
            <w:tcW w:type="dxa" w:w="1872"/>
            <w:shd w:val="clear" w:color="auto" w:fill="FFFFFF"/>
            <w:tcMar>
              <w:top w:w="60" w:type="dxa"/>
              <w:bottom w:w="60" w:type="dxa"/>
              <w:left w:w="80" w:type="dxa"/>
              <w:right w:w="80" w:type="dxa"/>
            </w:tcMar>
            <w:vAlign w:val="top"/>
          </w:tcPr>
          <w:p>
            <w:r>
              <w:rPr>
                <w:rFonts w:ascii="Calibri" w:hAnsi="Calibri"/>
                <w:b w:val="0"/>
                <w:i w:val="0"/>
                <w:color w:val="28251D"/>
                <w:sz w:val="18"/>
              </w:rPr>
              <w:t>Provider Alienation if Opening is Mishandled</w:t>
            </w:r>
          </w:p>
        </w:tc>
        <w:tc>
          <w:tcPr>
            <w:tcW w:type="dxa" w:w="2592"/>
            <w:shd w:val="clear" w:color="auto" w:fill="FFFFFF"/>
            <w:tcMar>
              <w:top w:w="60" w:type="dxa"/>
              <w:bottom w:w="60" w:type="dxa"/>
              <w:left w:w="80" w:type="dxa"/>
              <w:right w:w="80" w:type="dxa"/>
            </w:tcMar>
            <w:vAlign w:val="top"/>
          </w:tcPr>
          <w:p>
            <w:r>
              <w:rPr>
                <w:rFonts w:ascii="Calibri" w:hAnsi="Calibri"/>
                <w:b w:val="0"/>
                <w:i w:val="0"/>
                <w:color w:val="28251D"/>
                <w:sz w:val="18"/>
              </w:rPr>
              <w:t>If the residency hook reads as "you will fail," it creates defensive resistance rather than engagement.</w:t>
            </w:r>
          </w:p>
        </w:tc>
        <w:tc>
          <w:tcPr>
            <w:tcW w:type="dxa" w:w="936"/>
            <w:shd w:val="clear" w:color="auto" w:fill="FFFFFF"/>
            <w:tcMar>
              <w:top w:w="60" w:type="dxa"/>
              <w:bottom w:w="60" w:type="dxa"/>
              <w:left w:w="80" w:type="dxa"/>
              <w:right w:w="80" w:type="dxa"/>
            </w:tcMar>
            <w:vAlign w:val="top"/>
          </w:tcPr>
          <w:p>
            <w:r>
              <w:rPr>
                <w:rFonts w:ascii="Calibri" w:hAnsi="Calibri"/>
                <w:b w:val="0"/>
                <w:i w:val="0"/>
                <w:color w:val="28251D"/>
                <w:sz w:val="18"/>
              </w:rPr>
              <w:t>HIGH</w:t>
            </w:r>
          </w:p>
        </w:tc>
        <w:tc>
          <w:tcPr>
            <w:tcW w:type="dxa" w:w="3960"/>
            <w:shd w:val="clear" w:color="auto" w:fill="FFFFFF"/>
            <w:tcMar>
              <w:top w:w="60" w:type="dxa"/>
              <w:bottom w:w="60" w:type="dxa"/>
              <w:left w:w="80" w:type="dxa"/>
              <w:right w:w="80" w:type="dxa"/>
            </w:tcMar>
            <w:vAlign w:val="top"/>
          </w:tcPr>
          <w:p>
            <w:r>
              <w:rPr>
                <w:rFonts w:ascii="Calibri" w:hAnsi="Calibri"/>
                <w:b w:val="0"/>
                <w:i w:val="0"/>
                <w:color w:val="28251D"/>
                <w:sz w:val="18"/>
              </w:rPr>
              <w:t>The hook must land as: "Your experience navigating uncertainty is exactly what this exercise is built around."</w:t>
            </w:r>
          </w:p>
        </w:tc>
      </w:tr>
      <w:tr>
        <w:tc>
          <w:tcPr>
            <w:tcW w:type="dxa" w:w="1872"/>
            <w:shd w:val="clear" w:color="auto" w:fill="F2F6F6"/>
            <w:tcMar>
              <w:top w:w="60" w:type="dxa"/>
              <w:bottom w:w="60" w:type="dxa"/>
              <w:left w:w="80" w:type="dxa"/>
              <w:right w:w="80" w:type="dxa"/>
            </w:tcMar>
            <w:vAlign w:val="top"/>
          </w:tcPr>
          <w:p>
            <w:r>
              <w:rPr>
                <w:rFonts w:ascii="Calibri" w:hAnsi="Calibri"/>
                <w:b w:val="0"/>
                <w:i w:val="0"/>
                <w:color w:val="28251D"/>
                <w:sz w:val="18"/>
              </w:rPr>
              <w:t>Missing the Equity Layer</w:t>
            </w:r>
          </w:p>
        </w:tc>
        <w:tc>
          <w:tcPr>
            <w:tcW w:type="dxa" w:w="2592"/>
            <w:shd w:val="clear" w:color="auto" w:fill="F2F6F6"/>
            <w:tcMar>
              <w:top w:w="60" w:type="dxa"/>
              <w:bottom w:w="60" w:type="dxa"/>
              <w:left w:w="80" w:type="dxa"/>
              <w:right w:w="80" w:type="dxa"/>
            </w:tcMar>
            <w:vAlign w:val="top"/>
          </w:tcPr>
          <w:p>
            <w:r>
              <w:rPr>
                <w:rFonts w:ascii="Calibri" w:hAnsi="Calibri"/>
                <w:b w:val="0"/>
                <w:i w:val="0"/>
                <w:color w:val="28251D"/>
                <w:sz w:val="18"/>
              </w:rPr>
              <w:t>Omitting differential impact on under-resourced communities, non-English-speaking populations, and long-term care residents produces a best-case-system TTX.</w:t>
            </w:r>
          </w:p>
        </w:tc>
        <w:tc>
          <w:tcPr>
            <w:tcW w:type="dxa" w:w="936"/>
            <w:shd w:val="clear" w:color="auto" w:fill="F2F6F6"/>
            <w:tcMar>
              <w:top w:w="60" w:type="dxa"/>
              <w:bottom w:w="60" w:type="dxa"/>
              <w:left w:w="80" w:type="dxa"/>
              <w:right w:w="80" w:type="dxa"/>
            </w:tcMar>
            <w:vAlign w:val="top"/>
          </w:tcPr>
          <w:p>
            <w:r>
              <w:rPr>
                <w:rFonts w:ascii="Calibri" w:hAnsi="Calibri"/>
                <w:b w:val="0"/>
                <w:i w:val="0"/>
                <w:color w:val="28251D"/>
                <w:sz w:val="18"/>
              </w:rPr>
              <w:t>HIGH</w:t>
            </w:r>
          </w:p>
        </w:tc>
        <w:tc>
          <w:tcPr>
            <w:tcW w:type="dxa" w:w="3960"/>
            <w:shd w:val="clear" w:color="auto" w:fill="F2F6F6"/>
            <w:tcMar>
              <w:top w:w="60" w:type="dxa"/>
              <w:bottom w:w="60" w:type="dxa"/>
              <w:left w:w="80" w:type="dxa"/>
              <w:right w:w="80" w:type="dxa"/>
            </w:tcMar>
            <w:vAlign w:val="top"/>
          </w:tcPr>
          <w:p>
            <w:r>
              <w:rPr>
                <w:rFonts w:ascii="Calibri" w:hAnsi="Calibri"/>
                <w:b w:val="0"/>
                <w:i w:val="0"/>
                <w:color w:val="28251D"/>
                <w:sz w:val="18"/>
              </w:rPr>
              <w:t>Introduce at least two injects that force decisions about populations with additional access barriers.</w:t>
            </w:r>
          </w:p>
        </w:tc>
      </w:tr>
      <w:tr>
        <w:tc>
          <w:tcPr>
            <w:tcW w:type="dxa" w:w="1872"/>
            <w:shd w:val="clear" w:color="auto" w:fill="FFFFFF"/>
            <w:tcMar>
              <w:top w:w="60" w:type="dxa"/>
              <w:bottom w:w="60" w:type="dxa"/>
              <w:left w:w="80" w:type="dxa"/>
              <w:right w:w="80" w:type="dxa"/>
            </w:tcMar>
            <w:vAlign w:val="top"/>
          </w:tcPr>
          <w:p>
            <w:r>
              <w:rPr>
                <w:rFonts w:ascii="Calibri" w:hAnsi="Calibri"/>
                <w:b w:val="0"/>
                <w:i w:val="0"/>
                <w:color w:val="28251D"/>
                <w:sz w:val="18"/>
              </w:rPr>
              <w:t>Legal and Liability Paralysis</w:t>
            </w:r>
          </w:p>
        </w:tc>
        <w:tc>
          <w:tcPr>
            <w:tcW w:type="dxa" w:w="2592"/>
            <w:shd w:val="clear" w:color="auto" w:fill="FFFFFF"/>
            <w:tcMar>
              <w:top w:w="60" w:type="dxa"/>
              <w:bottom w:w="60" w:type="dxa"/>
              <w:left w:w="80" w:type="dxa"/>
              <w:right w:w="80" w:type="dxa"/>
            </w:tcMar>
            <w:vAlign w:val="top"/>
          </w:tcPr>
          <w:p>
            <w:r>
              <w:rPr>
                <w:rFonts w:ascii="Calibri" w:hAnsi="Calibri"/>
                <w:b w:val="0"/>
                <w:i w:val="0"/>
                <w:color w:val="28251D"/>
                <w:sz w:val="18"/>
              </w:rPr>
              <w:t>Without pre-established no-fault ground rules, legal counsel will significantly constrain discussion quality.</w:t>
            </w:r>
          </w:p>
        </w:tc>
        <w:tc>
          <w:tcPr>
            <w:tcW w:type="dxa" w:w="936"/>
            <w:shd w:val="clear" w:color="auto" w:fill="FFFFFF"/>
            <w:tcMar>
              <w:top w:w="60" w:type="dxa"/>
              <w:bottom w:w="60" w:type="dxa"/>
              <w:left w:w="80" w:type="dxa"/>
              <w:right w:w="80" w:type="dxa"/>
            </w:tcMar>
            <w:vAlign w:val="top"/>
          </w:tcPr>
          <w:p>
            <w:r>
              <w:rPr>
                <w:rFonts w:ascii="Calibri" w:hAnsi="Calibri"/>
                <w:b w:val="0"/>
                <w:i w:val="0"/>
                <w:color w:val="28251D"/>
                <w:sz w:val="18"/>
              </w:rPr>
              <w:t>HIGH</w:t>
            </w:r>
          </w:p>
        </w:tc>
        <w:tc>
          <w:tcPr>
            <w:tcW w:type="dxa" w:w="3960"/>
            <w:shd w:val="clear" w:color="auto" w:fill="FFFFFF"/>
            <w:tcMar>
              <w:top w:w="60" w:type="dxa"/>
              <w:bottom w:w="60" w:type="dxa"/>
              <w:left w:w="80" w:type="dxa"/>
              <w:right w:w="80" w:type="dxa"/>
            </w:tcMar>
            <w:vAlign w:val="top"/>
          </w:tcPr>
          <w:p>
            <w:r>
              <w:rPr>
                <w:rFonts w:ascii="Calibri" w:hAnsi="Calibri"/>
                <w:b w:val="0"/>
                <w:i w:val="0"/>
                <w:color w:val="28251D"/>
                <w:sz w:val="18"/>
              </w:rPr>
              <w:t>Ground rules must be explicit and ideally signed before the exercise begins.</w:t>
            </w:r>
          </w:p>
        </w:tc>
      </w:tr>
      <w:tr>
        <w:tc>
          <w:tcPr>
            <w:tcW w:type="dxa" w:w="1872"/>
            <w:shd w:val="clear" w:color="auto" w:fill="F2F6F6"/>
            <w:tcMar>
              <w:top w:w="60" w:type="dxa"/>
              <w:bottom w:w="60" w:type="dxa"/>
              <w:left w:w="80" w:type="dxa"/>
              <w:right w:w="80" w:type="dxa"/>
            </w:tcMar>
            <w:vAlign w:val="top"/>
          </w:tcPr>
          <w:p>
            <w:r>
              <w:rPr>
                <w:rFonts w:ascii="Calibri" w:hAnsi="Calibri"/>
                <w:b w:val="0"/>
                <w:i w:val="0"/>
                <w:color w:val="28251D"/>
                <w:sz w:val="18"/>
              </w:rPr>
              <w:t>Repetition of COVID Narrative</w:t>
            </w:r>
          </w:p>
        </w:tc>
        <w:tc>
          <w:tcPr>
            <w:tcW w:type="dxa" w:w="2592"/>
            <w:shd w:val="clear" w:color="auto" w:fill="F2F6F6"/>
            <w:tcMar>
              <w:top w:w="60" w:type="dxa"/>
              <w:bottom w:w="60" w:type="dxa"/>
              <w:left w:w="80" w:type="dxa"/>
              <w:right w:w="80" w:type="dxa"/>
            </w:tcMar>
            <w:vAlign w:val="top"/>
          </w:tcPr>
          <w:p>
            <w:r>
              <w:rPr>
                <w:rFonts w:ascii="Calibri" w:hAnsi="Calibri"/>
                <w:b w:val="0"/>
                <w:i w:val="0"/>
                <w:color w:val="28251D"/>
                <w:sz w:val="18"/>
              </w:rPr>
              <w:t>Participants may default to COVID-specific responses rather than engaging with the novel scenario.</w:t>
            </w:r>
          </w:p>
        </w:tc>
        <w:tc>
          <w:tcPr>
            <w:tcW w:type="dxa" w:w="936"/>
            <w:shd w:val="clear" w:color="auto" w:fill="F2F6F6"/>
            <w:tcMar>
              <w:top w:w="60" w:type="dxa"/>
              <w:bottom w:w="60" w:type="dxa"/>
              <w:left w:w="80" w:type="dxa"/>
              <w:right w:w="80" w:type="dxa"/>
            </w:tcMar>
            <w:vAlign w:val="top"/>
          </w:tcPr>
          <w:p>
            <w:r>
              <w:rPr>
                <w:rFonts w:ascii="Calibri" w:hAnsi="Calibri"/>
                <w:b w:val="0"/>
                <w:i w:val="0"/>
                <w:color w:val="28251D"/>
                <w:sz w:val="18"/>
              </w:rPr>
              <w:t>MEDIUM</w:t>
            </w:r>
          </w:p>
        </w:tc>
        <w:tc>
          <w:tcPr>
            <w:tcW w:type="dxa" w:w="3960"/>
            <w:shd w:val="clear" w:color="auto" w:fill="F2F6F6"/>
            <w:tcMar>
              <w:top w:w="60" w:type="dxa"/>
              <w:bottom w:w="60" w:type="dxa"/>
              <w:left w:w="80" w:type="dxa"/>
              <w:right w:w="80" w:type="dxa"/>
            </w:tcMar>
            <w:vAlign w:val="top"/>
          </w:tcPr>
          <w:p>
            <w:r>
              <w:rPr>
                <w:rFonts w:ascii="Calibri" w:hAnsi="Calibri"/>
                <w:b w:val="0"/>
                <w:i w:val="0"/>
                <w:color w:val="28251D"/>
                <w:sz w:val="18"/>
              </w:rPr>
              <w:t>Pathogen must be clearly distinguished from COVID-19 in presentation and clinical profile.</w:t>
            </w:r>
          </w:p>
        </w:tc>
      </w:tr>
      <w:tr>
        <w:tc>
          <w:tcPr>
            <w:tcW w:type="dxa" w:w="1872"/>
            <w:shd w:val="clear" w:color="auto" w:fill="FFFFFF"/>
            <w:tcMar>
              <w:top w:w="60" w:type="dxa"/>
              <w:bottom w:w="60" w:type="dxa"/>
              <w:left w:w="80" w:type="dxa"/>
              <w:right w:w="80" w:type="dxa"/>
            </w:tcMar>
            <w:vAlign w:val="top"/>
          </w:tcPr>
          <w:p>
            <w:r>
              <w:rPr>
                <w:rFonts w:ascii="Calibri" w:hAnsi="Calibri"/>
                <w:b w:val="0"/>
                <w:i w:val="0"/>
                <w:color w:val="28251D"/>
                <w:sz w:val="18"/>
              </w:rPr>
              <w:t>Overloading with Simultaneous Systems Tests</w:t>
            </w:r>
          </w:p>
        </w:tc>
        <w:tc>
          <w:tcPr>
            <w:tcW w:type="dxa" w:w="2592"/>
            <w:shd w:val="clear" w:color="auto" w:fill="FFFFFF"/>
            <w:tcMar>
              <w:top w:w="60" w:type="dxa"/>
              <w:bottom w:w="60" w:type="dxa"/>
              <w:left w:w="80" w:type="dxa"/>
              <w:right w:w="80" w:type="dxa"/>
            </w:tcMar>
            <w:vAlign w:val="top"/>
          </w:tcPr>
          <w:p>
            <w:r>
              <w:rPr>
                <w:rFonts w:ascii="Calibri" w:hAnsi="Calibri"/>
                <w:b w:val="0"/>
                <w:i w:val="0"/>
                <w:color w:val="28251D"/>
                <w:sz w:val="18"/>
              </w:rPr>
              <w:t>Testing too many systems simultaneously will dilute learning.</w:t>
            </w:r>
          </w:p>
        </w:tc>
        <w:tc>
          <w:tcPr>
            <w:tcW w:type="dxa" w:w="936"/>
            <w:shd w:val="clear" w:color="auto" w:fill="FFFFFF"/>
            <w:tcMar>
              <w:top w:w="60" w:type="dxa"/>
              <w:bottom w:w="60" w:type="dxa"/>
              <w:left w:w="80" w:type="dxa"/>
              <w:right w:w="80" w:type="dxa"/>
            </w:tcMar>
            <w:vAlign w:val="top"/>
          </w:tcPr>
          <w:p>
            <w:r>
              <w:rPr>
                <w:rFonts w:ascii="Calibri" w:hAnsi="Calibri"/>
                <w:b w:val="0"/>
                <w:i w:val="0"/>
                <w:color w:val="28251D"/>
                <w:sz w:val="18"/>
              </w:rPr>
              <w:t>MEDIUM</w:t>
            </w:r>
          </w:p>
        </w:tc>
        <w:tc>
          <w:tcPr>
            <w:tcW w:type="dxa" w:w="3960"/>
            <w:shd w:val="clear" w:color="auto" w:fill="FFFFFF"/>
            <w:tcMar>
              <w:top w:w="60" w:type="dxa"/>
              <w:bottom w:w="60" w:type="dxa"/>
              <w:left w:w="80" w:type="dxa"/>
              <w:right w:w="80" w:type="dxa"/>
            </w:tcMar>
            <w:vAlign w:val="top"/>
          </w:tcPr>
          <w:p>
            <w:r>
              <w:rPr>
                <w:rFonts w:ascii="Calibri" w:hAnsi="Calibri"/>
                <w:b w:val="0"/>
                <w:i w:val="0"/>
                <w:color w:val="28251D"/>
                <w:sz w:val="18"/>
              </w:rPr>
              <w:t>Define a primary focus clearly; secondary objectives are depth-testing moments, not parallel tracks.</w:t>
            </w:r>
          </w:p>
        </w:tc>
      </w:tr>
    </w:tbl>
    <w:p/>
    <w:p>
      <w:r>
        <w:br w:type="page"/>
      </w:r>
    </w:p>
    <w:p>
      <w:pPr>
        <w:spacing w:before="280" w:after="80"/>
        <w:jc w:val="left"/>
        <w:pBdr>
          <w:bottom w:val="single" w:sz="8" w:space="1" w:color="01696F"/>
        </w:pBdr>
      </w:pPr>
      <w:r>
        <w:rPr>
          <w:rFonts w:ascii="Calibri" w:hAnsi="Calibri"/>
          <w:b/>
          <w:i w:val="0"/>
          <w:color w:val="01696F"/>
          <w:sz w:val="32"/>
        </w:rPr>
        <w:t>10. Per-AI Contribution Breakdown</w:t>
      </w:r>
    </w:p>
    <w:p>
      <w:pPr>
        <w:spacing w:before="240" w:after="60"/>
        <w:jc w:val="left"/>
      </w:pPr>
      <w:r>
        <w:rPr>
          <w:rFonts w:ascii="Calibri" w:hAnsi="Calibri"/>
          <w:b/>
          <w:i w:val="0"/>
          <w:color w:val="0C4E54"/>
          <w:sz w:val="26"/>
        </w:rPr>
        <w:t>ChatGPT — Structural Framework &amp; Clinical Reality Model</w:t>
      </w:r>
    </w:p>
    <w:p>
      <w:pPr>
        <w:spacing w:before="0" w:after="100"/>
        <w:jc w:val="left"/>
      </w:pPr>
      <w:r>
        <w:rPr>
          <w:rFonts w:ascii="Calibri" w:hAnsi="Calibri"/>
          <w:b w:val="0"/>
          <w:i w:val="0"/>
          <w:color w:val="28251D"/>
          <w:sz w:val="20"/>
        </w:rPr>
        <w:t>Provided initial structural validation and confirmed the concept matches professional TTX frameworks. Formalized the residency analogy into the "uncertainty-driven system stress test" framing. Introduced the 4-phase progression model (Ambiguity → Pattern Recognition → System Strain → Coordinated Response) and the concept of layered uncertainty.</w:t>
      </w:r>
    </w:p>
    <w:p>
      <w:pPr>
        <w:spacing w:before="160" w:after="60"/>
        <w:jc w:val="left"/>
      </w:pPr>
      <w:r>
        <w:rPr>
          <w:rFonts w:ascii="Calibri" w:hAnsi="Calibri"/>
          <w:b/>
          <w:i w:val="0"/>
          <w:color w:val="28251D"/>
          <w:sz w:val="22"/>
        </w:rPr>
        <w:t>Unique contributions:</w:t>
      </w:r>
    </w:p>
    <w:p>
      <w:pPr>
        <w:spacing w:before="0" w:after="60"/>
        <w:ind w:left="360" w:hanging="288"/>
      </w:pPr>
      <w:r>
        <w:rPr>
          <w:rFonts w:ascii="Calibri" w:hAnsi="Calibri"/>
          <w:b w:val="0"/>
          <w:i w:val="0"/>
          <w:color w:val="28251D"/>
          <w:sz w:val="20"/>
        </w:rPr>
        <w:t>•  First to call this an "uncertainty-driven system stress test" (not an "outbreak simulation")</w:t>
      </w:r>
    </w:p>
    <w:p>
      <w:pPr>
        <w:spacing w:before="0" w:after="60"/>
        <w:ind w:left="360" w:hanging="288"/>
      </w:pPr>
      <w:r>
        <w:rPr>
          <w:rFonts w:ascii="Calibri" w:hAnsi="Calibri"/>
          <w:b w:val="0"/>
          <w:i w:val="0"/>
          <w:color w:val="28251D"/>
          <w:sz w:val="20"/>
        </w:rPr>
        <w:t>•  Introduced the 4-phase progression model</w:t>
      </w:r>
    </w:p>
    <w:p>
      <w:pPr>
        <w:spacing w:before="0" w:after="60"/>
        <w:ind w:left="360" w:hanging="288"/>
      </w:pPr>
      <w:r>
        <w:rPr>
          <w:rFonts w:ascii="Calibri" w:hAnsi="Calibri"/>
          <w:b w:val="0"/>
          <w:i w:val="0"/>
          <w:color w:val="28251D"/>
          <w:sz w:val="20"/>
        </w:rPr>
        <w:t>•  Clearest articulation of the requirement for specific measurable objectives</w:t>
      </w:r>
    </w:p>
    <w:p>
      <w:pPr>
        <w:spacing w:after="120" w:before="0"/>
      </w:pPr>
    </w:p>
    <w:p>
      <w:pPr>
        <w:spacing w:before="240" w:after="60"/>
        <w:jc w:val="left"/>
      </w:pPr>
      <w:r>
        <w:rPr>
          <w:rFonts w:ascii="Calibri" w:hAnsi="Calibri"/>
          <w:b/>
          <w:i w:val="0"/>
          <w:color w:val="0C4E54"/>
          <w:sz w:val="26"/>
        </w:rPr>
        <w:t>Google Gemini — Geographic Context, MSEL Architecture &amp; Phase Design</w:t>
      </w:r>
    </w:p>
    <w:p>
      <w:pPr>
        <w:spacing w:before="0" w:after="100"/>
        <w:jc w:val="left"/>
      </w:pPr>
      <w:r>
        <w:rPr>
          <w:rFonts w:ascii="Calibri" w:hAnsi="Calibri"/>
          <w:b w:val="0"/>
          <w:i w:val="0"/>
          <w:color w:val="28251D"/>
          <w:sz w:val="20"/>
        </w:rPr>
        <w:t>Brought the most detailed MSEL architecture and anchored the exercise in a specific geographic context (Bakersfield / Los Angeles County). Introduced the "Resource Trap" — PPE burn-through before recognition as an intentional stressor. Produced the strongest individual sample inject (38-year-old patient at LAX with negative panels).</w:t>
      </w:r>
    </w:p>
    <w:p>
      <w:pPr>
        <w:spacing w:before="160" w:after="60"/>
        <w:jc w:val="left"/>
      </w:pPr>
      <w:r>
        <w:rPr>
          <w:rFonts w:ascii="Calibri" w:hAnsi="Calibri"/>
          <w:b/>
          <w:i w:val="0"/>
          <w:color w:val="28251D"/>
          <w:sz w:val="22"/>
        </w:rPr>
        <w:t>Unique contributions:</w:t>
      </w:r>
    </w:p>
    <w:p>
      <w:pPr>
        <w:spacing w:before="0" w:after="60"/>
        <w:ind w:left="360" w:hanging="288"/>
      </w:pPr>
      <w:r>
        <w:rPr>
          <w:rFonts w:ascii="Calibri" w:hAnsi="Calibri"/>
          <w:b w:val="0"/>
          <w:i w:val="0"/>
          <w:color w:val="28251D"/>
          <w:sz w:val="20"/>
        </w:rPr>
        <w:t>•  Specific geographic anchoring (Bakersfield, LA County, LACDPH)</w:t>
      </w:r>
    </w:p>
    <w:p>
      <w:pPr>
        <w:spacing w:before="0" w:after="60"/>
        <w:ind w:left="360" w:hanging="288"/>
      </w:pPr>
      <w:r>
        <w:rPr>
          <w:rFonts w:ascii="Calibri" w:hAnsi="Calibri"/>
          <w:b w:val="0"/>
          <w:i w:val="0"/>
          <w:color w:val="28251D"/>
          <w:sz w:val="20"/>
        </w:rPr>
        <w:t>•  "The Resource Trap" as a designed structural element</w:t>
      </w:r>
    </w:p>
    <w:p>
      <w:pPr>
        <w:spacing w:before="0" w:after="60"/>
        <w:ind w:left="360" w:hanging="288"/>
      </w:pPr>
      <w:r>
        <w:rPr>
          <w:rFonts w:ascii="Calibri" w:hAnsi="Calibri"/>
          <w:b w:val="0"/>
          <w:i w:val="0"/>
          <w:color w:val="28251D"/>
          <w:sz w:val="20"/>
        </w:rPr>
        <w:t>•  Clearest proposed scope: 2-3 hospitals + county public health</w:t>
      </w:r>
    </w:p>
    <w:p>
      <w:pPr>
        <w:spacing w:before="0" w:after="60"/>
        <w:ind w:left="360" w:hanging="288"/>
      </w:pPr>
      <w:r>
        <w:rPr>
          <w:rFonts w:ascii="Calibri" w:hAnsi="Calibri"/>
          <w:b w:val="0"/>
          <w:i w:val="0"/>
          <w:color w:val="28251D"/>
          <w:sz w:val="20"/>
        </w:rPr>
        <w:t>•  Strongest sample inject in the document</w:t>
      </w:r>
    </w:p>
    <w:p>
      <w:pPr>
        <w:spacing w:after="120" w:before="0"/>
      </w:pPr>
    </w:p>
    <w:p>
      <w:pPr>
        <w:spacing w:before="240" w:after="60"/>
        <w:jc w:val="left"/>
      </w:pPr>
      <w:r>
        <w:rPr>
          <w:rFonts w:ascii="Calibri" w:hAnsi="Calibri"/>
          <w:b/>
          <w:i w:val="0"/>
          <w:color w:val="0C4E54"/>
          <w:sz w:val="26"/>
        </w:rPr>
        <w:t>Microsoft Copilot — Policy Architecture, Legal/Ethics &amp; Evaluation Framework</w:t>
      </w:r>
    </w:p>
    <w:p>
      <w:pPr>
        <w:spacing w:before="0" w:after="100"/>
        <w:jc w:val="left"/>
      </w:pPr>
      <w:r>
        <w:rPr>
          <w:rFonts w:ascii="Calibri" w:hAnsi="Calibri"/>
          <w:b w:val="0"/>
          <w:i w:val="0"/>
          <w:color w:val="28251D"/>
          <w:sz w:val="20"/>
        </w:rPr>
        <w:t>Produced the most structured policy and logistics framework. First to systematically address legal, ethical, and privacy considerations. Only AI to explicitly raise the budget and sponsorship question. Introduced the Players vs. Observers vs. Evaluators distinction.</w:t>
      </w:r>
    </w:p>
    <w:p>
      <w:pPr>
        <w:spacing w:before="160" w:after="60"/>
        <w:jc w:val="left"/>
      </w:pPr>
      <w:r>
        <w:rPr>
          <w:rFonts w:ascii="Calibri" w:hAnsi="Calibri"/>
          <w:b/>
          <w:i w:val="0"/>
          <w:color w:val="28251D"/>
          <w:sz w:val="22"/>
        </w:rPr>
        <w:t>Unique contributions:</w:t>
      </w:r>
    </w:p>
    <w:p>
      <w:pPr>
        <w:spacing w:before="0" w:after="60"/>
        <w:ind w:left="360" w:hanging="288"/>
      </w:pPr>
      <w:r>
        <w:rPr>
          <w:rFonts w:ascii="Calibri" w:hAnsi="Calibri"/>
          <w:b w:val="0"/>
          <w:i w:val="0"/>
          <w:color w:val="28251D"/>
          <w:sz w:val="20"/>
        </w:rPr>
        <w:t>•  Most comprehensive legal and ethical coverage</w:t>
      </w:r>
    </w:p>
    <w:p>
      <w:pPr>
        <w:spacing w:before="0" w:after="60"/>
        <w:ind w:left="360" w:hanging="288"/>
      </w:pPr>
      <w:r>
        <w:rPr>
          <w:rFonts w:ascii="Calibri" w:hAnsi="Calibri"/>
          <w:b w:val="0"/>
          <w:i w:val="0"/>
          <w:color w:val="28251D"/>
          <w:sz w:val="20"/>
        </w:rPr>
        <w:t>•  Only AI to explicitly flag the budget and sponsorship question</w:t>
      </w:r>
    </w:p>
    <w:p>
      <w:pPr>
        <w:spacing w:before="0" w:after="60"/>
        <w:ind w:left="360" w:hanging="288"/>
      </w:pPr>
      <w:r>
        <w:rPr>
          <w:rFonts w:ascii="Calibri" w:hAnsi="Calibri"/>
          <w:b w:val="0"/>
          <w:i w:val="0"/>
          <w:color w:val="28251D"/>
          <w:sz w:val="20"/>
        </w:rPr>
        <w:t>•  Introduced the formal evaluation team structure</w:t>
      </w:r>
    </w:p>
    <w:p>
      <w:pPr>
        <w:spacing w:before="0" w:after="60"/>
        <w:ind w:left="360" w:hanging="288"/>
      </w:pPr>
      <w:r>
        <w:rPr>
          <w:rFonts w:ascii="Calibri" w:hAnsi="Calibri"/>
          <w:b w:val="0"/>
          <w:i w:val="0"/>
          <w:color w:val="28251D"/>
          <w:sz w:val="20"/>
        </w:rPr>
        <w:t>•  Reference to ASPR TRACIE toolkits for accelerating materials development</w:t>
      </w:r>
    </w:p>
    <w:p>
      <w:pPr>
        <w:spacing w:after="120" w:before="0"/>
      </w:pPr>
    </w:p>
    <w:p>
      <w:pPr>
        <w:spacing w:before="240" w:after="60"/>
        <w:jc w:val="left"/>
      </w:pPr>
      <w:r>
        <w:rPr>
          <w:rFonts w:ascii="Calibri" w:hAnsi="Calibri"/>
          <w:b/>
          <w:i w:val="0"/>
          <w:color w:val="0C4E54"/>
          <w:sz w:val="26"/>
        </w:rPr>
        <w:t>Grok AI — Equity, Local Context &amp; Provider Psychological Realism</w:t>
      </w:r>
    </w:p>
    <w:p>
      <w:pPr>
        <w:spacing w:before="0" w:after="100"/>
        <w:jc w:val="left"/>
      </w:pPr>
      <w:r>
        <w:rPr>
          <w:rFonts w:ascii="Calibri" w:hAnsi="Calibri"/>
          <w:b w:val="0"/>
          <w:i w:val="0"/>
          <w:color w:val="28251D"/>
          <w:sz w:val="20"/>
        </w:rPr>
        <w:t>Brought the strongest community and equity framing and the most emotionally intelligent analysis of the provider hook. First to name the "emotional and experiential resonance" dimension of the residency framing. Most detailed demographic context for the Los Angeles setting — flagging homelessness, LAX exposure pathways, and vulnerable communities.</w:t>
      </w:r>
    </w:p>
    <w:p>
      <w:pPr>
        <w:spacing w:before="160" w:after="60"/>
        <w:jc w:val="left"/>
      </w:pPr>
      <w:r>
        <w:rPr>
          <w:rFonts w:ascii="Calibri" w:hAnsi="Calibri"/>
          <w:b/>
          <w:i w:val="0"/>
          <w:color w:val="28251D"/>
          <w:sz w:val="22"/>
        </w:rPr>
        <w:t>Unique contributions:</w:t>
      </w:r>
    </w:p>
    <w:p>
      <w:pPr>
        <w:spacing w:before="0" w:after="60"/>
        <w:ind w:left="360" w:hanging="288"/>
      </w:pPr>
      <w:r>
        <w:rPr>
          <w:rFonts w:ascii="Calibri" w:hAnsi="Calibri"/>
          <w:b w:val="0"/>
          <w:i w:val="0"/>
          <w:color w:val="28251D"/>
          <w:sz w:val="20"/>
        </w:rPr>
        <w:t>•  Most explicit equity and community impact framing</w:t>
      </w:r>
    </w:p>
    <w:p>
      <w:pPr>
        <w:spacing w:before="0" w:after="60"/>
        <w:ind w:left="360" w:hanging="288"/>
      </w:pPr>
      <w:r>
        <w:rPr>
          <w:rFonts w:ascii="Calibri" w:hAnsi="Calibri"/>
          <w:b w:val="0"/>
          <w:i w:val="0"/>
          <w:color w:val="28251D"/>
          <w:sz w:val="20"/>
        </w:rPr>
        <w:t>•  Most detailed geographic/demographic context (homelessness, LAX, dense/diverse populations)</w:t>
      </w:r>
    </w:p>
    <w:p>
      <w:pPr>
        <w:spacing w:before="0" w:after="60"/>
        <w:ind w:left="360" w:hanging="288"/>
      </w:pPr>
      <w:r>
        <w:rPr>
          <w:rFonts w:ascii="Calibri" w:hAnsi="Calibri"/>
          <w:b w:val="0"/>
          <w:i w:val="0"/>
          <w:color w:val="28251D"/>
          <w:sz w:val="20"/>
        </w:rPr>
        <w:t>•  Most detailed key questions registry with structured option sets</w:t>
      </w:r>
    </w:p>
    <w:p>
      <w:pPr>
        <w:spacing w:after="120" w:before="0"/>
      </w:pPr>
    </w:p>
    <w:p>
      <w:pPr>
        <w:spacing w:before="240" w:after="60"/>
        <w:jc w:val="left"/>
      </w:pPr>
      <w:r>
        <w:rPr>
          <w:rFonts w:ascii="Calibri" w:hAnsi="Calibri"/>
          <w:b/>
          <w:i w:val="0"/>
          <w:color w:val="0C4E54"/>
          <w:sz w:val="26"/>
        </w:rPr>
        <w:t>Claude AI — Full Exercise Architecture, Red-Team Analysis &amp; Canon Integration</w:t>
      </w:r>
    </w:p>
    <w:p>
      <w:pPr>
        <w:spacing w:before="0" w:after="100"/>
        <w:jc w:val="left"/>
      </w:pPr>
      <w:r>
        <w:rPr>
          <w:rFonts w:ascii="Calibri" w:hAnsi="Calibri"/>
          <w:b w:val="0"/>
          <w:i w:val="0"/>
          <w:color w:val="28251D"/>
          <w:sz w:val="20"/>
        </w:rPr>
        <w:t>Provided the most comprehensive response — including a full 8-section exercise outline, MSEL with 16 injects across 3 phases, full evaluation framework, and the most rigorous red-team analysis. Explicitly connected the exercise to ONESTAMP ratification. First to name the "Omnipotence Risk — The Architect Problem."</w:t>
      </w:r>
    </w:p>
    <w:p>
      <w:pPr>
        <w:spacing w:before="160" w:after="60"/>
        <w:jc w:val="left"/>
      </w:pPr>
      <w:r>
        <w:rPr>
          <w:rFonts w:ascii="Calibri" w:hAnsi="Calibri"/>
          <w:b/>
          <w:i w:val="0"/>
          <w:color w:val="28251D"/>
          <w:sz w:val="22"/>
        </w:rPr>
        <w:t>Unique contributions:</w:t>
      </w:r>
    </w:p>
    <w:p>
      <w:pPr>
        <w:spacing w:before="0" w:after="60"/>
        <w:ind w:left="360" w:hanging="288"/>
      </w:pPr>
      <w:r>
        <w:rPr>
          <w:rFonts w:ascii="Calibri" w:hAnsi="Calibri"/>
          <w:b w:val="0"/>
          <w:i w:val="0"/>
          <w:color w:val="28251D"/>
          <w:sz w:val="20"/>
        </w:rPr>
        <w:t>•  Only AI to produce a complete 8-section exercise document</w:t>
      </w:r>
    </w:p>
    <w:p>
      <w:pPr>
        <w:spacing w:before="0" w:after="60"/>
        <w:ind w:left="360" w:hanging="288"/>
      </w:pPr>
      <w:r>
        <w:rPr>
          <w:rFonts w:ascii="Calibri" w:hAnsi="Calibri"/>
          <w:b w:val="0"/>
          <w:i w:val="0"/>
          <w:color w:val="28251D"/>
          <w:sz w:val="20"/>
        </w:rPr>
        <w:t>•  Most detailed red-team analysis (8 named risks with severity ratings)</w:t>
      </w:r>
    </w:p>
    <w:p>
      <w:pPr>
        <w:spacing w:before="0" w:after="60"/>
        <w:ind w:left="360" w:hanging="288"/>
      </w:pPr>
      <w:r>
        <w:rPr>
          <w:rFonts w:ascii="Calibri" w:hAnsi="Calibri"/>
          <w:b w:val="0"/>
          <w:i w:val="0"/>
          <w:color w:val="28251D"/>
          <w:sz w:val="20"/>
        </w:rPr>
        <w:t>•  Named the "Legal and Liability Paralysis" risk</w:t>
      </w:r>
    </w:p>
    <w:p>
      <w:pPr>
        <w:spacing w:before="0" w:after="60"/>
        <w:ind w:left="360" w:hanging="288"/>
      </w:pPr>
      <w:r>
        <w:rPr>
          <w:rFonts w:ascii="Calibri" w:hAnsi="Calibri"/>
          <w:b w:val="0"/>
          <w:i w:val="0"/>
          <w:color w:val="28251D"/>
          <w:sz w:val="20"/>
        </w:rPr>
        <w:t>•  Explicitly recommended ONESTAMP as the AAR ratification mechanism</w:t>
      </w:r>
    </w:p>
    <w:p>
      <w:pPr>
        <w:spacing w:after="120" w:before="0"/>
      </w:pPr>
    </w:p>
    <w:p>
      <w:r>
        <w:br w:type="page"/>
      </w:r>
    </w:p>
    <w:p>
      <w:pPr>
        <w:spacing w:before="280" w:after="80"/>
        <w:jc w:val="left"/>
        <w:pBdr>
          <w:bottom w:val="single" w:sz="8" w:space="1" w:color="01696F"/>
        </w:pBdr>
      </w:pPr>
      <w:r>
        <w:rPr>
          <w:rFonts w:ascii="Calibri" w:hAnsi="Calibri"/>
          <w:b/>
          <w:i w:val="0"/>
          <w:color w:val="01696F"/>
          <w:sz w:val="32"/>
        </w:rPr>
        <w:t>11. Perplexity Computer — Original Contribution</w:t>
      </w:r>
    </w:p>
    <w:p>
      <w:pPr>
        <w:spacing w:before="0" w:after="100"/>
        <w:jc w:val="left"/>
      </w:pPr>
      <w:r>
        <w:rPr>
          <w:rFonts w:ascii="Calibri" w:hAnsi="Calibri"/>
          <w:b w:val="0"/>
          <w:i w:val="0"/>
          <w:color w:val="28251D"/>
          <w:sz w:val="20"/>
        </w:rPr>
        <w:t>This section is Perplexity Computer's independent analysis and synthesis layer — an original contribution to the exercise design, not a compilation of other AI responses.</w:t>
      </w:r>
    </w:p>
    <w:p>
      <w:pPr>
        <w:spacing w:after="120" w:before="0"/>
      </w:pPr>
    </w:p>
    <w:p>
      <w:pPr>
        <w:spacing w:before="240" w:after="60"/>
        <w:jc w:val="left"/>
      </w:pPr>
      <w:r>
        <w:rPr>
          <w:rFonts w:ascii="Calibri" w:hAnsi="Calibri"/>
          <w:b/>
          <w:i w:val="0"/>
          <w:color w:val="0C4E54"/>
          <w:sz w:val="26"/>
        </w:rPr>
        <w:t>11.1 The Insight the Other AIs Did Not Fully Develop</w:t>
      </w:r>
    </w:p>
    <w:p>
      <w:pPr>
        <w:spacing w:before="0" w:after="100"/>
        <w:jc w:val="left"/>
      </w:pPr>
      <w:r>
        <w:rPr>
          <w:rFonts w:ascii="Calibri" w:hAnsi="Calibri"/>
          <w:b w:val="0"/>
          <w:i w:val="0"/>
          <w:color w:val="28251D"/>
          <w:sz w:val="20"/>
        </w:rPr>
        <w:t>All five contributing AIs addressed the mechanics of the exercise. What none of them fully articulated is the deeper reason this exercise is difficult to do well, and why most exercises that attempt it fail.</w:t>
      </w:r>
    </w:p>
    <w:p>
      <w:pPr>
        <w:spacing w:before="0" w:after="60"/>
        <w:jc w:val="left"/>
      </w:pPr>
      <w:r>
        <w:rPr>
          <w:rFonts w:ascii="Calibri" w:hAnsi="Calibri"/>
          <w:b w:val="0"/>
          <w:i w:val="0"/>
          <w:color w:val="28251D"/>
          <w:sz w:val="20"/>
        </w:rPr>
        <w:t>The problem is not the scenario. The problem is institutional self-protection.</w:t>
      </w:r>
    </w:p>
    <w:p>
      <w:pPr>
        <w:spacing w:before="0" w:after="100"/>
        <w:jc w:val="left"/>
      </w:pPr>
      <w:r>
        <w:rPr>
          <w:rFonts w:ascii="Calibri" w:hAnsi="Calibri"/>
          <w:b w:val="0"/>
          <w:i w:val="0"/>
          <w:color w:val="28251D"/>
          <w:sz w:val="20"/>
        </w:rPr>
        <w:t>Institutions do not perform poorly in tabletop exercises because they lack knowledge. They perform poorly because the exercise design allows them to demonstrate knowledge without demonstrating function. The residency hook works precisely because it bypasses the knowledge layer entirely and goes straight to the function layer. That is a human systems question, not a clinical one.</w:t>
      </w:r>
    </w:p>
    <w:p>
      <w:pPr>
        <w:spacing w:after="120" w:before="0"/>
      </w:pPr>
    </w:p>
    <w:p>
      <w:pPr>
        <w:spacing w:before="240" w:after="60"/>
        <w:jc w:val="left"/>
      </w:pPr>
      <w:r>
        <w:rPr>
          <w:rFonts w:ascii="Calibri" w:hAnsi="Calibri"/>
          <w:b/>
          <w:i w:val="0"/>
          <w:color w:val="0C4E54"/>
          <w:sz w:val="26"/>
        </w:rPr>
        <w:t>11.2 The Single Most Important Design Principle</w:t>
      </w:r>
    </w:p>
    <w:tbl>
      <w:tblPr>
        <w:tblW w:type="auto" w:w="0"/>
        <w:jc w:val="center"/>
        <w:tblLook w:firstColumn="1" w:firstRow="1" w:lastColumn="0" w:lastRow="0" w:noHBand="0" w:noVBand="1" w:val="04A0"/>
        <w:tblBorders>
          <w:top w:val="single" w:sz="4" w:space="0" w:color="01696F"/>
          <w:left w:val="single" w:sz="4" w:space="0" w:color="01696F"/>
          <w:bottom w:val="single" w:sz="4" w:space="0" w:color="01696F"/>
          <w:right w:val="single" w:sz="4" w:space="0" w:color="01696F"/>
          <w:insideH w:val="single" w:sz="4" w:space="0" w:color="01696F"/>
          <w:insideV w:val="single" w:sz="4" w:space="0" w:color="01696F"/>
        </w:tblBorders>
      </w:tblPr>
      <w:tblGrid>
        <w:gridCol w:w="9072"/>
      </w:tblGrid>
      <w:tr>
        <w:tc>
          <w:tcPr>
            <w:tcW w:type="dxa" w:w="9072"/>
            <w:shd w:val="clear" w:color="auto" w:fill="F0F7F7"/>
            <w:tcMar>
              <w:top w:w="80" w:type="dxa"/>
              <w:bottom w:w="80" w:type="dxa"/>
              <w:left w:w="100" w:type="dxa"/>
              <w:right w:w="100" w:type="dxa"/>
            </w:tcMar>
          </w:tcPr>
          <w:p>
            <w:pPr>
              <w:jc w:val="center"/>
            </w:pPr>
            <w:r>
              <w:rPr>
                <w:rFonts w:ascii="Calibri" w:hAnsi="Calibri"/>
                <w:b/>
                <w:i w:val="0"/>
                <w:color w:val="0C4E54"/>
                <w:sz w:val="19"/>
              </w:rPr>
              <w:t>Design for the gap, not the protocol.</w:t>
            </w:r>
          </w:p>
        </w:tc>
      </w:tr>
    </w:tbl>
    <w:p/>
    <w:p>
      <w:pPr>
        <w:spacing w:before="0" w:after="100"/>
        <w:jc w:val="left"/>
      </w:pPr>
      <w:r>
        <w:rPr>
          <w:rFonts w:ascii="Calibri" w:hAnsi="Calibri"/>
          <w:b w:val="0"/>
          <w:i w:val="0"/>
          <w:color w:val="28251D"/>
          <w:sz w:val="20"/>
        </w:rPr>
        <w:t>Every inject should be constructed to reveal what happens in the space between what the protocol says and what the actual human system does under pressure. That gap is where real outbreaks are lost — not in a knowledge gap, but in a communication gap, a decision authority gap, or a psychological load gap that no one mapped because it never appeared in a protocol review.</w:t>
      </w:r>
    </w:p>
    <w:p>
      <w:pPr>
        <w:spacing w:after="120" w:before="0"/>
      </w:pPr>
    </w:p>
    <w:p>
      <w:pPr>
        <w:spacing w:before="240" w:after="60"/>
        <w:jc w:val="left"/>
      </w:pPr>
      <w:r>
        <w:rPr>
          <w:rFonts w:ascii="Calibri" w:hAnsi="Calibri"/>
          <w:b/>
          <w:i w:val="0"/>
          <w:color w:val="0C4E54"/>
          <w:sz w:val="26"/>
        </w:rPr>
        <w:t>11.3 The One Question None of the Other AIs Asked</w:t>
      </w:r>
    </w:p>
    <w:tbl>
      <w:tblPr>
        <w:tblW w:type="auto" w:w="0"/>
        <w:jc w:val="center"/>
        <w:tblLook w:firstColumn="1" w:firstRow="1" w:lastColumn="0" w:lastRow="0" w:noHBand="0" w:noVBand="1" w:val="04A0"/>
        <w:tblBorders>
          <w:top w:val="single" w:sz="4" w:space="0" w:color="964219"/>
          <w:left w:val="single" w:sz="4" w:space="0" w:color="964219"/>
          <w:bottom w:val="single" w:sz="4" w:space="0" w:color="964219"/>
          <w:right w:val="single" w:sz="4" w:space="0" w:color="964219"/>
          <w:insideH w:val="single" w:sz="4" w:space="0" w:color="964219"/>
          <w:insideV w:val="single" w:sz="4" w:space="0" w:color="964219"/>
        </w:tblBorders>
      </w:tblPr>
      <w:tblGrid>
        <w:gridCol w:w="9072"/>
      </w:tblGrid>
      <w:tr>
        <w:tc>
          <w:tcPr>
            <w:tcW w:type="dxa" w:w="9072"/>
            <w:shd w:val="clear" w:color="auto" w:fill="FFF8EE"/>
            <w:tcMar>
              <w:top w:w="80" w:type="dxa"/>
              <w:bottom w:w="80" w:type="dxa"/>
              <w:left w:w="100" w:type="dxa"/>
              <w:right w:w="100" w:type="dxa"/>
            </w:tcMar>
          </w:tcPr>
          <w:p>
            <w:pPr>
              <w:jc w:val="center"/>
            </w:pPr>
            <w:r>
              <w:rPr>
                <w:rFonts w:ascii="Calibri" w:hAnsi="Calibri"/>
                <w:b/>
                <w:i w:val="0"/>
                <w:color w:val="964219"/>
                <w:sz w:val="19"/>
              </w:rPr>
              <w:t>After this exercise, what changes?</w:t>
            </w:r>
          </w:p>
        </w:tc>
      </w:tr>
    </w:tbl>
    <w:p/>
    <w:p>
      <w:pPr>
        <w:spacing w:before="0" w:after="100"/>
        <w:jc w:val="left"/>
      </w:pPr>
      <w:r>
        <w:rPr>
          <w:rFonts w:ascii="Calibri" w:hAnsi="Calibri"/>
          <w:b w:val="0"/>
          <w:i w:val="0"/>
          <w:color w:val="28251D"/>
          <w:sz w:val="20"/>
        </w:rPr>
        <w:t>If the answer is not locked before the exercise begins — with a named owner and a committed resource — the exercise is a performance. It produces a report. The report gets filed. The gap it identified remains open until the next outbreak fills it. The After-Action Improvement Plan is not the last step of the exercise. It is the first step of the next phase of readiness.</w:t>
      </w:r>
    </w:p>
    <w:p>
      <w:pPr>
        <w:spacing w:after="120" w:before="0"/>
      </w:pPr>
    </w:p>
    <w:p>
      <w:pPr>
        <w:spacing w:before="240" w:after="60"/>
        <w:jc w:val="left"/>
      </w:pPr>
      <w:r>
        <w:rPr>
          <w:rFonts w:ascii="Calibri" w:hAnsi="Calibri"/>
          <w:b/>
          <w:i w:val="0"/>
          <w:color w:val="0C4E54"/>
          <w:sz w:val="26"/>
        </w:rPr>
        <w:t>11.4 The Structural Recommendation No AI Made Explicitly</w:t>
      </w:r>
    </w:p>
    <w:p>
      <w:pPr>
        <w:spacing w:before="0" w:after="100"/>
        <w:jc w:val="left"/>
      </w:pPr>
      <w:r>
        <w:rPr>
          <w:rFonts w:ascii="Calibri" w:hAnsi="Calibri"/>
          <w:b w:val="0"/>
          <w:i w:val="0"/>
          <w:color w:val="28251D"/>
          <w:sz w:val="20"/>
        </w:rPr>
        <w:t>This exercise should be designed as the first in a series, not as a standalone event. A single TTX produces findings. A series of TTXs produces a trajectory.</w:t>
      </w:r>
    </w:p>
    <w:p>
      <w:pPr>
        <w:spacing w:after="80" w:before="0"/>
      </w:pP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268"/>
        <w:gridCol w:w="2268"/>
        <w:gridCol w:w="2268"/>
        <w:gridCol w:w="2268"/>
      </w:tblGrid>
      <w:tr>
        <w:tc>
          <w:tcPr>
            <w:tcW w:type="dxa" w:w="1728"/>
            <w:shd w:val="clear" w:color="auto" w:fill="01696F"/>
            <w:tcMar>
              <w:top w:w="60" w:type="dxa"/>
              <w:bottom w:w="60" w:type="dxa"/>
              <w:left w:w="80" w:type="dxa"/>
              <w:right w:w="80" w:type="dxa"/>
            </w:tcMar>
          </w:tcPr>
          <w:p>
            <w:pPr>
              <w:jc w:val="center"/>
            </w:pPr>
            <w:r>
              <w:rPr>
                <w:rFonts w:ascii="Calibri" w:hAnsi="Calibri"/>
                <w:b/>
                <w:i w:val="0"/>
                <w:color w:val="FFFFFF"/>
                <w:sz w:val="18"/>
              </w:rPr>
              <w:t>Exercise</w:t>
            </w:r>
          </w:p>
        </w:tc>
        <w:tc>
          <w:tcPr>
            <w:tcW w:type="dxa" w:w="1296"/>
            <w:shd w:val="clear" w:color="auto" w:fill="01696F"/>
            <w:tcMar>
              <w:top w:w="60" w:type="dxa"/>
              <w:bottom w:w="60" w:type="dxa"/>
              <w:left w:w="80" w:type="dxa"/>
              <w:right w:w="80" w:type="dxa"/>
            </w:tcMar>
          </w:tcPr>
          <w:p>
            <w:pPr>
              <w:jc w:val="center"/>
            </w:pPr>
            <w:r>
              <w:rPr>
                <w:rFonts w:ascii="Calibri" w:hAnsi="Calibri"/>
                <w:b/>
                <w:i w:val="0"/>
                <w:color w:val="FFFFFF"/>
                <w:sz w:val="18"/>
              </w:rPr>
              <w:t>Timing</w:t>
            </w:r>
          </w:p>
        </w:tc>
        <w:tc>
          <w:tcPr>
            <w:tcW w:type="dxa" w:w="4032"/>
            <w:shd w:val="clear" w:color="auto" w:fill="01696F"/>
            <w:tcMar>
              <w:top w:w="60" w:type="dxa"/>
              <w:bottom w:w="60" w:type="dxa"/>
              <w:left w:w="80" w:type="dxa"/>
              <w:right w:w="80" w:type="dxa"/>
            </w:tcMar>
          </w:tcPr>
          <w:p>
            <w:pPr>
              <w:jc w:val="center"/>
            </w:pPr>
            <w:r>
              <w:rPr>
                <w:rFonts w:ascii="Calibri" w:hAnsi="Calibri"/>
                <w:b/>
                <w:i w:val="0"/>
                <w:color w:val="FFFFFF"/>
                <w:sz w:val="18"/>
              </w:rPr>
              <w:t>Focus</w:t>
            </w:r>
          </w:p>
        </w:tc>
        <w:tc>
          <w:tcPr>
            <w:tcW w:type="dxa" w:w="2304"/>
            <w:shd w:val="clear" w:color="auto" w:fill="01696F"/>
            <w:tcMar>
              <w:top w:w="60" w:type="dxa"/>
              <w:bottom w:w="60" w:type="dxa"/>
              <w:left w:w="80" w:type="dxa"/>
              <w:right w:w="80" w:type="dxa"/>
            </w:tcMar>
          </w:tcPr>
          <w:p>
            <w:pPr>
              <w:jc w:val="center"/>
            </w:pPr>
            <w:r>
              <w:rPr>
                <w:rFonts w:ascii="Calibri" w:hAnsi="Calibri"/>
                <w:b/>
                <w:i w:val="0"/>
                <w:color w:val="FFFFFF"/>
                <w:sz w:val="18"/>
              </w:rPr>
              <w:t>Layer Added</w:t>
            </w:r>
          </w:p>
        </w:tc>
      </w:tr>
      <w:tr>
        <w:tc>
          <w:tcPr>
            <w:tcW w:type="dxa" w:w="1728"/>
            <w:shd w:val="clear" w:color="auto" w:fill="FFFFFF"/>
            <w:tcMar>
              <w:top w:w="60" w:type="dxa"/>
              <w:bottom w:w="60" w:type="dxa"/>
              <w:left w:w="80" w:type="dxa"/>
              <w:right w:w="80" w:type="dxa"/>
            </w:tcMar>
            <w:vAlign w:val="top"/>
          </w:tcPr>
          <w:p>
            <w:r>
              <w:rPr>
                <w:rFonts w:ascii="Calibri" w:hAnsi="Calibri"/>
                <w:b w:val="0"/>
                <w:i w:val="0"/>
                <w:color w:val="28251D"/>
                <w:sz w:val="18"/>
              </w:rPr>
              <w:t>TTX-001 (this exercise)</w:t>
            </w:r>
          </w:p>
        </w:tc>
        <w:tc>
          <w:tcPr>
            <w:tcW w:type="dxa" w:w="1296"/>
            <w:shd w:val="clear" w:color="auto" w:fill="FFFFFF"/>
            <w:tcMar>
              <w:top w:w="60" w:type="dxa"/>
              <w:bottom w:w="60" w:type="dxa"/>
              <w:left w:w="80" w:type="dxa"/>
              <w:right w:w="80" w:type="dxa"/>
            </w:tcMar>
            <w:vAlign w:val="top"/>
          </w:tcPr>
          <w:p>
            <w:r>
              <w:rPr>
                <w:rFonts w:ascii="Calibri" w:hAnsi="Calibri"/>
                <w:b w:val="0"/>
                <w:i w:val="0"/>
                <w:color w:val="28251D"/>
                <w:sz w:val="18"/>
              </w:rPr>
              <w:t>Now</w:t>
            </w:r>
          </w:p>
        </w:tc>
        <w:tc>
          <w:tcPr>
            <w:tcW w:type="dxa" w:w="4032"/>
            <w:shd w:val="clear" w:color="auto" w:fill="FFFFFF"/>
            <w:tcMar>
              <w:top w:w="60" w:type="dxa"/>
              <w:bottom w:w="60" w:type="dxa"/>
              <w:left w:w="80" w:type="dxa"/>
              <w:right w:w="80" w:type="dxa"/>
            </w:tcMar>
            <w:vAlign w:val="top"/>
          </w:tcPr>
          <w:p>
            <w:r>
              <w:rPr>
                <w:rFonts w:ascii="Calibri" w:hAnsi="Calibri"/>
                <w:b w:val="0"/>
                <w:i w:val="0"/>
                <w:color w:val="28251D"/>
                <w:sz w:val="18"/>
              </w:rPr>
              <w:t>Establish baseline — pre-recognition phase, provider-level uncertainty</w:t>
            </w:r>
          </w:p>
        </w:tc>
        <w:tc>
          <w:tcPr>
            <w:tcW w:type="dxa" w:w="2304"/>
            <w:shd w:val="clear" w:color="auto" w:fill="FFFFFF"/>
            <w:tcMar>
              <w:top w:w="60" w:type="dxa"/>
              <w:bottom w:w="60" w:type="dxa"/>
              <w:left w:w="80" w:type="dxa"/>
              <w:right w:w="80" w:type="dxa"/>
            </w:tcMar>
            <w:vAlign w:val="top"/>
          </w:tcPr>
          <w:p>
            <w:r>
              <w:rPr>
                <w:rFonts w:ascii="Calibri" w:hAnsi="Calibri"/>
                <w:b w:val="0"/>
                <w:i w:val="0"/>
                <w:color w:val="28251D"/>
                <w:sz w:val="18"/>
              </w:rPr>
              <w:t>Foundation</w:t>
            </w:r>
          </w:p>
        </w:tc>
      </w:tr>
      <w:tr>
        <w:tc>
          <w:tcPr>
            <w:tcW w:type="dxa" w:w="1728"/>
            <w:shd w:val="clear" w:color="auto" w:fill="F2F6F6"/>
            <w:tcMar>
              <w:top w:w="60" w:type="dxa"/>
              <w:bottom w:w="60" w:type="dxa"/>
              <w:left w:w="80" w:type="dxa"/>
              <w:right w:w="80" w:type="dxa"/>
            </w:tcMar>
            <w:vAlign w:val="top"/>
          </w:tcPr>
          <w:p>
            <w:r>
              <w:rPr>
                <w:rFonts w:ascii="Calibri" w:hAnsi="Calibri"/>
                <w:b w:val="0"/>
                <w:i w:val="0"/>
                <w:color w:val="28251D"/>
                <w:sz w:val="18"/>
              </w:rPr>
              <w:t>TTX-002</w:t>
            </w:r>
          </w:p>
        </w:tc>
        <w:tc>
          <w:tcPr>
            <w:tcW w:type="dxa" w:w="1296"/>
            <w:shd w:val="clear" w:color="auto" w:fill="F2F6F6"/>
            <w:tcMar>
              <w:top w:w="60" w:type="dxa"/>
              <w:bottom w:w="60" w:type="dxa"/>
              <w:left w:w="80" w:type="dxa"/>
              <w:right w:w="80" w:type="dxa"/>
            </w:tcMar>
            <w:vAlign w:val="top"/>
          </w:tcPr>
          <w:p>
            <w:r>
              <w:rPr>
                <w:rFonts w:ascii="Calibri" w:hAnsi="Calibri"/>
                <w:b w:val="0"/>
                <w:i w:val="0"/>
                <w:color w:val="28251D"/>
                <w:sz w:val="18"/>
              </w:rPr>
              <w:t>6-12 months</w:t>
            </w:r>
          </w:p>
        </w:tc>
        <w:tc>
          <w:tcPr>
            <w:tcW w:type="dxa" w:w="4032"/>
            <w:shd w:val="clear" w:color="auto" w:fill="F2F6F6"/>
            <w:tcMar>
              <w:top w:w="60" w:type="dxa"/>
              <w:bottom w:w="60" w:type="dxa"/>
              <w:left w:w="80" w:type="dxa"/>
              <w:right w:w="80" w:type="dxa"/>
            </w:tcMar>
            <w:vAlign w:val="top"/>
          </w:tcPr>
          <w:p>
            <w:r>
              <w:rPr>
                <w:rFonts w:ascii="Calibri" w:hAnsi="Calibri"/>
                <w:b w:val="0"/>
                <w:i w:val="0"/>
                <w:color w:val="28251D"/>
                <w:sz w:val="18"/>
              </w:rPr>
              <w:t>Retest with AAR-001 improvements; add inter-agency coordination layer</w:t>
            </w:r>
          </w:p>
        </w:tc>
        <w:tc>
          <w:tcPr>
            <w:tcW w:type="dxa" w:w="2304"/>
            <w:shd w:val="clear" w:color="auto" w:fill="F2F6F6"/>
            <w:tcMar>
              <w:top w:w="60" w:type="dxa"/>
              <w:bottom w:w="60" w:type="dxa"/>
              <w:left w:w="80" w:type="dxa"/>
              <w:right w:w="80" w:type="dxa"/>
            </w:tcMar>
            <w:vAlign w:val="top"/>
          </w:tcPr>
          <w:p>
            <w:r>
              <w:rPr>
                <w:rFonts w:ascii="Calibri" w:hAnsi="Calibri"/>
                <w:b w:val="0"/>
                <w:i w:val="0"/>
                <w:color w:val="28251D"/>
                <w:sz w:val="18"/>
              </w:rPr>
              <w:t>Coordination</w:t>
            </w:r>
          </w:p>
        </w:tc>
      </w:tr>
      <w:tr>
        <w:tc>
          <w:tcPr>
            <w:tcW w:type="dxa" w:w="1728"/>
            <w:shd w:val="clear" w:color="auto" w:fill="FFFFFF"/>
            <w:tcMar>
              <w:top w:w="60" w:type="dxa"/>
              <w:bottom w:w="60" w:type="dxa"/>
              <w:left w:w="80" w:type="dxa"/>
              <w:right w:w="80" w:type="dxa"/>
            </w:tcMar>
            <w:vAlign w:val="top"/>
          </w:tcPr>
          <w:p>
            <w:r>
              <w:rPr>
                <w:rFonts w:ascii="Calibri" w:hAnsi="Calibri"/>
                <w:b w:val="0"/>
                <w:i w:val="0"/>
                <w:color w:val="28251D"/>
                <w:sz w:val="18"/>
              </w:rPr>
              <w:t>TTX-003</w:t>
            </w:r>
          </w:p>
        </w:tc>
        <w:tc>
          <w:tcPr>
            <w:tcW w:type="dxa" w:w="1296"/>
            <w:shd w:val="clear" w:color="auto" w:fill="FFFFFF"/>
            <w:tcMar>
              <w:top w:w="60" w:type="dxa"/>
              <w:bottom w:w="60" w:type="dxa"/>
              <w:left w:w="80" w:type="dxa"/>
              <w:right w:w="80" w:type="dxa"/>
            </w:tcMar>
            <w:vAlign w:val="top"/>
          </w:tcPr>
          <w:p>
            <w:r>
              <w:rPr>
                <w:rFonts w:ascii="Calibri" w:hAnsi="Calibri"/>
                <w:b w:val="0"/>
                <w:i w:val="0"/>
                <w:color w:val="28251D"/>
                <w:sz w:val="18"/>
              </w:rPr>
              <w:t>12-24 months</w:t>
            </w:r>
          </w:p>
        </w:tc>
        <w:tc>
          <w:tcPr>
            <w:tcW w:type="dxa" w:w="4032"/>
            <w:shd w:val="clear" w:color="auto" w:fill="FFFFFF"/>
            <w:tcMar>
              <w:top w:w="60" w:type="dxa"/>
              <w:bottom w:w="60" w:type="dxa"/>
              <w:left w:w="80" w:type="dxa"/>
              <w:right w:w="80" w:type="dxa"/>
            </w:tcMar>
            <w:vAlign w:val="top"/>
          </w:tcPr>
          <w:p>
            <w:r>
              <w:rPr>
                <w:rFonts w:ascii="Calibri" w:hAnsi="Calibri"/>
                <w:b w:val="0"/>
                <w:i w:val="0"/>
                <w:color w:val="28251D"/>
                <w:sz w:val="18"/>
              </w:rPr>
              <w:t>Full-scale multi-agency exercise incorporating TTX-001 and TTX-002 findings</w:t>
            </w:r>
          </w:p>
        </w:tc>
        <w:tc>
          <w:tcPr>
            <w:tcW w:type="dxa" w:w="2304"/>
            <w:shd w:val="clear" w:color="auto" w:fill="FFFFFF"/>
            <w:tcMar>
              <w:top w:w="60" w:type="dxa"/>
              <w:bottom w:w="60" w:type="dxa"/>
              <w:left w:w="80" w:type="dxa"/>
              <w:right w:w="80" w:type="dxa"/>
            </w:tcMar>
            <w:vAlign w:val="top"/>
          </w:tcPr>
          <w:p>
            <w:r>
              <w:rPr>
                <w:rFonts w:ascii="Calibri" w:hAnsi="Calibri"/>
                <w:b w:val="0"/>
                <w:i w:val="0"/>
                <w:color w:val="28251D"/>
                <w:sz w:val="18"/>
              </w:rPr>
              <w:t>Full Integration</w:t>
            </w:r>
          </w:p>
        </w:tc>
      </w:tr>
    </w:tbl>
    <w:p/>
    <w:p>
      <w:pPr>
        <w:spacing w:after="160" w:before="0"/>
      </w:pPr>
    </w:p>
    <w:p>
      <w:pPr>
        <w:spacing w:before="240" w:after="60"/>
        <w:jc w:val="left"/>
      </w:pPr>
      <w:r>
        <w:rPr>
          <w:rFonts w:ascii="Calibri" w:hAnsi="Calibri"/>
          <w:b/>
          <w:i w:val="0"/>
          <w:color w:val="0C4E54"/>
          <w:sz w:val="26"/>
        </w:rPr>
        <w:t>11.5 Exercise Name Candidates (Perplexity Computer)</w:t>
      </w: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536"/>
        <w:gridCol w:w="4536"/>
      </w:tblGrid>
      <w:tr>
        <w:tc>
          <w:tcPr>
            <w:tcW w:type="dxa" w:w="2880"/>
            <w:shd w:val="clear" w:color="auto" w:fill="01696F"/>
            <w:tcMar>
              <w:top w:w="60" w:type="dxa"/>
              <w:bottom w:w="60" w:type="dxa"/>
              <w:left w:w="80" w:type="dxa"/>
              <w:right w:w="80" w:type="dxa"/>
            </w:tcMar>
          </w:tcPr>
          <w:p>
            <w:pPr>
              <w:jc w:val="center"/>
            </w:pPr>
            <w:r>
              <w:rPr>
                <w:rFonts w:ascii="Calibri" w:hAnsi="Calibri"/>
                <w:b/>
                <w:i w:val="0"/>
                <w:color w:val="FFFFFF"/>
                <w:sz w:val="18"/>
              </w:rPr>
              <w:t>Candidate Name</w:t>
            </w:r>
          </w:p>
        </w:tc>
        <w:tc>
          <w:tcPr>
            <w:tcW w:type="dxa" w:w="6480"/>
            <w:shd w:val="clear" w:color="auto" w:fill="01696F"/>
            <w:tcMar>
              <w:top w:w="60" w:type="dxa"/>
              <w:bottom w:w="60" w:type="dxa"/>
              <w:left w:w="80" w:type="dxa"/>
              <w:right w:w="80" w:type="dxa"/>
            </w:tcMar>
          </w:tcPr>
          <w:p>
            <w:pPr>
              <w:jc w:val="center"/>
            </w:pPr>
            <w:r>
              <w:rPr>
                <w:rFonts w:ascii="Calibri" w:hAnsi="Calibri"/>
                <w:b/>
                <w:i w:val="0"/>
                <w:color w:val="FFFFFF"/>
                <w:sz w:val="18"/>
              </w:rPr>
              <w:t>Rationale</w:t>
            </w:r>
          </w:p>
        </w:tc>
      </w:tr>
      <w:tr>
        <w:tc>
          <w:tcPr>
            <w:tcW w:type="dxa" w:w="2880"/>
            <w:shd w:val="clear" w:color="auto" w:fill="FFFFFF"/>
            <w:tcMar>
              <w:top w:w="60" w:type="dxa"/>
              <w:bottom w:w="60" w:type="dxa"/>
              <w:left w:w="80" w:type="dxa"/>
              <w:right w:w="80" w:type="dxa"/>
            </w:tcMar>
            <w:vAlign w:val="top"/>
          </w:tcPr>
          <w:p>
            <w:r>
              <w:rPr>
                <w:rFonts w:ascii="Calibri" w:hAnsi="Calibri"/>
                <w:b w:val="0"/>
                <w:i w:val="0"/>
                <w:color w:val="28251D"/>
                <w:sz w:val="18"/>
              </w:rPr>
              <w:t>"Day Zero Protocol"</w:t>
            </w:r>
          </w:p>
        </w:tc>
        <w:tc>
          <w:tcPr>
            <w:tcW w:type="dxa" w:w="6480"/>
            <w:shd w:val="clear" w:color="auto" w:fill="FFFFFF"/>
            <w:tcMar>
              <w:top w:w="60" w:type="dxa"/>
              <w:bottom w:w="60" w:type="dxa"/>
              <w:left w:w="80" w:type="dxa"/>
              <w:right w:w="80" w:type="dxa"/>
            </w:tcMar>
            <w:vAlign w:val="top"/>
          </w:tcPr>
          <w:p>
            <w:r>
              <w:rPr>
                <w:rFonts w:ascii="Calibri" w:hAnsi="Calibri"/>
                <w:b w:val="0"/>
                <w:i w:val="0"/>
                <w:color w:val="28251D"/>
                <w:sz w:val="18"/>
              </w:rPr>
              <w:t>Foregrounds the pre-recognition window as the defining scope; immediately communicates what this exercise tests</w:t>
            </w:r>
          </w:p>
        </w:tc>
      </w:tr>
      <w:tr>
        <w:tc>
          <w:tcPr>
            <w:tcW w:type="dxa" w:w="2880"/>
            <w:shd w:val="clear" w:color="auto" w:fill="F2F6F6"/>
            <w:tcMar>
              <w:top w:w="60" w:type="dxa"/>
              <w:bottom w:w="60" w:type="dxa"/>
              <w:left w:w="80" w:type="dxa"/>
              <w:right w:w="80" w:type="dxa"/>
            </w:tcMar>
            <w:vAlign w:val="top"/>
          </w:tcPr>
          <w:p>
            <w:r>
              <w:rPr>
                <w:rFonts w:ascii="Calibri" w:hAnsi="Calibri"/>
                <w:b w:val="0"/>
                <w:i w:val="0"/>
                <w:color w:val="28251D"/>
                <w:sz w:val="18"/>
              </w:rPr>
              <w:t>"First Presentation Exercise"</w:t>
            </w:r>
          </w:p>
        </w:tc>
        <w:tc>
          <w:tcPr>
            <w:tcW w:type="dxa" w:w="6480"/>
            <w:shd w:val="clear" w:color="auto" w:fill="F2F6F6"/>
            <w:tcMar>
              <w:top w:w="60" w:type="dxa"/>
              <w:bottom w:w="60" w:type="dxa"/>
              <w:left w:w="80" w:type="dxa"/>
              <w:right w:w="80" w:type="dxa"/>
            </w:tcMar>
            <w:vAlign w:val="top"/>
          </w:tcPr>
          <w:p>
            <w:r>
              <w:rPr>
                <w:rFonts w:ascii="Calibri" w:hAnsi="Calibri"/>
                <w:b w:val="0"/>
                <w:i w:val="0"/>
                <w:color w:val="28251D"/>
                <w:sz w:val="18"/>
              </w:rPr>
              <w:t>Anchors in the provider-level clinical entry point; mirrors the residency hook</w:t>
            </w:r>
          </w:p>
        </w:tc>
      </w:tr>
      <w:tr>
        <w:tc>
          <w:tcPr>
            <w:tcW w:type="dxa" w:w="2880"/>
            <w:shd w:val="clear" w:color="auto" w:fill="FFFFFF"/>
            <w:tcMar>
              <w:top w:w="60" w:type="dxa"/>
              <w:bottom w:w="60" w:type="dxa"/>
              <w:left w:w="80" w:type="dxa"/>
              <w:right w:w="80" w:type="dxa"/>
            </w:tcMar>
            <w:vAlign w:val="top"/>
          </w:tcPr>
          <w:p>
            <w:r>
              <w:rPr>
                <w:rFonts w:ascii="Calibri" w:hAnsi="Calibri"/>
                <w:b w:val="0"/>
                <w:i w:val="0"/>
                <w:color w:val="28251D"/>
                <w:sz w:val="18"/>
              </w:rPr>
              <w:t>"The Fog of War Exercise"</w:t>
            </w:r>
          </w:p>
        </w:tc>
        <w:tc>
          <w:tcPr>
            <w:tcW w:type="dxa" w:w="6480"/>
            <w:shd w:val="clear" w:color="auto" w:fill="FFFFFF"/>
            <w:tcMar>
              <w:top w:w="60" w:type="dxa"/>
              <w:bottom w:w="60" w:type="dxa"/>
              <w:left w:w="80" w:type="dxa"/>
              <w:right w:w="80" w:type="dxa"/>
            </w:tcMar>
            <w:vAlign w:val="top"/>
          </w:tcPr>
          <w:p>
            <w:r>
              <w:rPr>
                <w:rFonts w:ascii="Calibri" w:hAnsi="Calibri"/>
                <w:b w:val="0"/>
                <w:i w:val="0"/>
                <w:color w:val="28251D"/>
                <w:sz w:val="18"/>
              </w:rPr>
              <w:t>Captures the sustained uncertainty; resonates with military and emergency management audiences</w:t>
            </w:r>
          </w:p>
        </w:tc>
      </w:tr>
      <w:tr>
        <w:tc>
          <w:tcPr>
            <w:tcW w:type="dxa" w:w="2880"/>
            <w:shd w:val="clear" w:color="auto" w:fill="F2F6F6"/>
            <w:tcMar>
              <w:top w:w="60" w:type="dxa"/>
              <w:bottom w:w="60" w:type="dxa"/>
              <w:left w:w="80" w:type="dxa"/>
              <w:right w:w="80" w:type="dxa"/>
            </w:tcMar>
            <w:vAlign w:val="top"/>
          </w:tcPr>
          <w:p>
            <w:r>
              <w:rPr>
                <w:rFonts w:ascii="Calibri" w:hAnsi="Calibri"/>
                <w:b w:val="0"/>
                <w:i w:val="0"/>
                <w:color w:val="28251D"/>
                <w:sz w:val="18"/>
              </w:rPr>
              <w:t>"Exercise Unknown"</w:t>
            </w:r>
          </w:p>
        </w:tc>
        <w:tc>
          <w:tcPr>
            <w:tcW w:type="dxa" w:w="6480"/>
            <w:shd w:val="clear" w:color="auto" w:fill="F2F6F6"/>
            <w:tcMar>
              <w:top w:w="60" w:type="dxa"/>
              <w:bottom w:w="60" w:type="dxa"/>
              <w:left w:w="80" w:type="dxa"/>
              <w:right w:w="80" w:type="dxa"/>
            </w:tcMar>
            <w:vAlign w:val="top"/>
          </w:tcPr>
          <w:p>
            <w:r>
              <w:rPr>
                <w:rFonts w:ascii="Calibri" w:hAnsi="Calibri"/>
                <w:b w:val="0"/>
                <w:i w:val="0"/>
                <w:color w:val="28251D"/>
                <w:sz w:val="18"/>
              </w:rPr>
              <w:t>Deliberate ambiguity that mirrors the scenario conditions; memorable and distinct</w:t>
            </w:r>
          </w:p>
        </w:tc>
      </w:tr>
      <w:tr>
        <w:tc>
          <w:tcPr>
            <w:tcW w:type="dxa" w:w="2880"/>
            <w:shd w:val="clear" w:color="auto" w:fill="FFFFFF"/>
            <w:tcMar>
              <w:top w:w="60" w:type="dxa"/>
              <w:bottom w:w="60" w:type="dxa"/>
              <w:left w:w="80" w:type="dxa"/>
              <w:right w:w="80" w:type="dxa"/>
            </w:tcMar>
            <w:vAlign w:val="top"/>
          </w:tcPr>
          <w:p>
            <w:r>
              <w:rPr>
                <w:rFonts w:ascii="Calibri" w:hAnsi="Calibri"/>
                <w:b w:val="0"/>
                <w:i w:val="0"/>
                <w:color w:val="28251D"/>
                <w:sz w:val="18"/>
              </w:rPr>
              <w:t>"Protocol Absent"</w:t>
            </w:r>
          </w:p>
        </w:tc>
        <w:tc>
          <w:tcPr>
            <w:tcW w:type="dxa" w:w="6480"/>
            <w:shd w:val="clear" w:color="auto" w:fill="FFFFFF"/>
            <w:tcMar>
              <w:top w:w="60" w:type="dxa"/>
              <w:bottom w:w="60" w:type="dxa"/>
              <w:left w:w="80" w:type="dxa"/>
              <w:right w:w="80" w:type="dxa"/>
            </w:tcMar>
            <w:vAlign w:val="top"/>
          </w:tcPr>
          <w:p>
            <w:r>
              <w:rPr>
                <w:rFonts w:ascii="Calibri" w:hAnsi="Calibri"/>
                <w:b w:val="0"/>
                <w:i w:val="0"/>
                <w:color w:val="28251D"/>
                <w:sz w:val="18"/>
              </w:rPr>
              <w:t>Directly names the defining stress condition; immediately informative for all participants</w:t>
            </w:r>
          </w:p>
        </w:tc>
      </w:tr>
    </w:tbl>
    <w:p/>
    <w:p>
      <w:r>
        <w:br w:type="page"/>
      </w:r>
    </w:p>
    <w:p>
      <w:pPr>
        <w:spacing w:before="280" w:after="80"/>
        <w:jc w:val="left"/>
        <w:pBdr>
          <w:bottom w:val="single" w:sz="8" w:space="1" w:color="01696F"/>
        </w:pBdr>
      </w:pPr>
      <w:r>
        <w:rPr>
          <w:rFonts w:ascii="Calibri" w:hAnsi="Calibri"/>
          <w:b/>
          <w:i w:val="0"/>
          <w:color w:val="01696F"/>
          <w:sz w:val="32"/>
        </w:rPr>
        <w:t>12. Detailed Action Plan</w:t>
      </w:r>
    </w:p>
    <w:p>
      <w:pPr>
        <w:spacing w:before="0" w:after="100"/>
        <w:jc w:val="left"/>
      </w:pPr>
      <w:r>
        <w:rPr>
          <w:rFonts w:ascii="Calibri" w:hAnsi="Calibri"/>
          <w:b w:val="0"/>
          <w:i w:val="0"/>
          <w:color w:val="28251D"/>
          <w:sz w:val="20"/>
        </w:rPr>
        <w:t>All items are advisory and pending author approval (ONESTAMP required).</w:t>
      </w:r>
    </w:p>
    <w:p>
      <w:pPr>
        <w:spacing w:after="120" w:before="0"/>
      </w:pPr>
    </w:p>
    <w:p>
      <w:pPr>
        <w:spacing w:before="240" w:after="60"/>
        <w:jc w:val="left"/>
      </w:pPr>
      <w:r>
        <w:rPr>
          <w:rFonts w:ascii="Calibri" w:hAnsi="Calibri"/>
          <w:b/>
          <w:i w:val="0"/>
          <w:color w:val="0C4E54"/>
          <w:sz w:val="26"/>
        </w:rPr>
        <w:t>Phase 1 — Architect Decision Sprint</w:t>
      </w:r>
    </w:p>
    <w:p>
      <w:pPr>
        <w:spacing w:before="0" w:after="80"/>
        <w:jc w:val="left"/>
      </w:pPr>
      <w:r>
        <w:rPr>
          <w:rFonts w:ascii="Calibri" w:hAnsi="Calibri"/>
          <w:b w:val="0"/>
          <w:i w:val="0"/>
          <w:color w:val="7A7974"/>
          <w:sz w:val="17"/>
        </w:rPr>
        <w:t>Owner: Author</w:t>
      </w:r>
    </w:p>
    <w:p>
      <w:pPr>
        <w:spacing w:before="0" w:after="100"/>
        <w:jc w:val="left"/>
      </w:pPr>
      <w:r>
        <w:rPr>
          <w:rFonts w:ascii="Calibri" w:hAnsi="Calibri"/>
          <w:b w:val="0"/>
          <w:i w:val="0"/>
          <w:color w:val="28251D"/>
          <w:sz w:val="20"/>
        </w:rPr>
        <w:t>Prerequisite for all downstream work.</w:t>
      </w:r>
    </w:p>
    <w:p>
      <w:pPr>
        <w:spacing w:before="0" w:after="60"/>
        <w:ind w:left="360" w:hanging="288"/>
      </w:pPr>
      <w:r>
        <w:rPr>
          <w:rFonts w:ascii="Calibri" w:hAnsi="Calibri"/>
          <w:b w:val="0"/>
          <w:i w:val="0"/>
          <w:color w:val="28251D"/>
          <w:sz w:val="20"/>
        </w:rPr>
        <w:t>•  [ ]  Make Decision D1: Lock the pathogen archetype (Q1-Q6)</w:t>
      </w:r>
    </w:p>
    <w:p>
      <w:pPr>
        <w:spacing w:before="0" w:after="60"/>
        <w:ind w:left="360" w:hanging="288"/>
      </w:pPr>
      <w:r>
        <w:rPr>
          <w:rFonts w:ascii="Calibri" w:hAnsi="Calibri"/>
          <w:b w:val="0"/>
          <w:i w:val="0"/>
          <w:color w:val="28251D"/>
          <w:sz w:val="20"/>
        </w:rPr>
        <w:t>•  [ ]  Make Decision D2: Lock the primary objective in one sentence (Q11)</w:t>
      </w:r>
    </w:p>
    <w:p>
      <w:pPr>
        <w:spacing w:before="0" w:after="60"/>
        <w:ind w:left="360" w:hanging="288"/>
      </w:pPr>
      <w:r>
        <w:rPr>
          <w:rFonts w:ascii="Calibri" w:hAnsi="Calibri"/>
          <w:b w:val="0"/>
          <w:i w:val="0"/>
          <w:color w:val="28251D"/>
          <w:sz w:val="20"/>
        </w:rPr>
        <w:t>•  [ ]  Make Decision D3: Define target audience and scale (Q7-Q8)</w:t>
      </w:r>
    </w:p>
    <w:p>
      <w:pPr>
        <w:spacing w:before="0" w:after="60"/>
        <w:ind w:left="360" w:hanging="288"/>
      </w:pPr>
      <w:r>
        <w:rPr>
          <w:rFonts w:ascii="Calibri" w:hAnsi="Calibri"/>
          <w:b w:val="0"/>
          <w:i w:val="0"/>
          <w:color w:val="28251D"/>
          <w:sz w:val="20"/>
        </w:rPr>
        <w:t>•  [ ]  Make Decision D4: Establish sponsoring organization and authority structure</w:t>
      </w:r>
    </w:p>
    <w:p>
      <w:pPr>
        <w:spacing w:before="0" w:after="60"/>
        <w:ind w:left="360" w:hanging="288"/>
      </w:pPr>
      <w:r>
        <w:rPr>
          <w:rFonts w:ascii="Calibri" w:hAnsi="Calibri"/>
          <w:b w:val="0"/>
          <w:i w:val="0"/>
          <w:color w:val="28251D"/>
          <w:sz w:val="20"/>
        </w:rPr>
        <w:t>•  [ ]  Make Decision D5: Define evaluation baseline (first-time exercise?)</w:t>
      </w:r>
    </w:p>
    <w:p>
      <w:pPr>
        <w:spacing w:before="0" w:after="60"/>
        <w:ind w:left="360" w:hanging="288"/>
      </w:pPr>
      <w:r>
        <w:rPr>
          <w:rFonts w:ascii="Calibri" w:hAnsi="Calibri"/>
          <w:b w:val="0"/>
          <w:i w:val="0"/>
          <w:color w:val="28251D"/>
          <w:sz w:val="20"/>
        </w:rPr>
        <w:t>•  [ ]  Select official exercise name from Section 11.5</w:t>
      </w:r>
    </w:p>
    <w:p>
      <w:pPr>
        <w:spacing w:before="0" w:after="60"/>
        <w:ind w:left="360" w:hanging="288"/>
      </w:pPr>
      <w:r>
        <w:rPr>
          <w:rFonts w:ascii="Calibri" w:hAnsi="Calibri"/>
          <w:b w:val="0"/>
          <w:i w:val="0"/>
          <w:color w:val="28251D"/>
          <w:sz w:val="20"/>
        </w:rPr>
        <w:t>•  [ ]  Confirm geographic scope</w:t>
      </w:r>
    </w:p>
    <w:p>
      <w:pPr>
        <w:spacing w:before="0" w:after="60"/>
        <w:ind w:left="360" w:hanging="288"/>
      </w:pPr>
      <w:r>
        <w:rPr>
          <w:rFonts w:ascii="Calibri" w:hAnsi="Calibri"/>
          <w:b w:val="0"/>
          <w:i w:val="0"/>
          <w:color w:val="28251D"/>
          <w:sz w:val="20"/>
        </w:rPr>
        <w:t>•  [ ]  Define legal and privacy constraints on exercise discussion (Q20)</w:t>
      </w:r>
    </w:p>
    <w:p>
      <w:pPr>
        <w:spacing w:after="120" w:before="0"/>
      </w:pPr>
    </w:p>
    <w:p>
      <w:pPr>
        <w:spacing w:before="240" w:after="60"/>
        <w:jc w:val="left"/>
      </w:pPr>
      <w:r>
        <w:rPr>
          <w:rFonts w:ascii="Calibri" w:hAnsi="Calibri"/>
          <w:b/>
          <w:i w:val="0"/>
          <w:color w:val="0C4E54"/>
          <w:sz w:val="26"/>
        </w:rPr>
        <w:t>Phase 2 — Design Scaffolding</w:t>
      </w:r>
    </w:p>
    <w:p>
      <w:pPr>
        <w:spacing w:before="0" w:after="80"/>
        <w:jc w:val="left"/>
      </w:pPr>
      <w:r>
        <w:rPr>
          <w:rFonts w:ascii="Calibri" w:hAnsi="Calibri"/>
          <w:b w:val="0"/>
          <w:i w:val="0"/>
          <w:color w:val="7A7974"/>
          <w:sz w:val="17"/>
        </w:rPr>
        <w:t>Owner: Microsoft Copilot + Grok AI</w:t>
      </w:r>
    </w:p>
    <w:p>
      <w:pPr>
        <w:spacing w:before="0" w:after="60"/>
        <w:ind w:left="360" w:hanging="288"/>
      </w:pPr>
      <w:r>
        <w:rPr>
          <w:rFonts w:ascii="Calibri" w:hAnsi="Calibri"/>
          <w:b w:val="0"/>
          <w:i w:val="0"/>
          <w:color w:val="28251D"/>
          <w:sz w:val="20"/>
        </w:rPr>
        <w:t>•  [ ]  Copilot: Draft ground rules document — must be signed before exercise begins</w:t>
      </w:r>
    </w:p>
    <w:p>
      <w:pPr>
        <w:spacing w:before="0" w:after="60"/>
        <w:ind w:left="360" w:hanging="288"/>
      </w:pPr>
      <w:r>
        <w:rPr>
          <w:rFonts w:ascii="Calibri" w:hAnsi="Calibri"/>
          <w:b w:val="0"/>
          <w:i w:val="0"/>
          <w:color w:val="28251D"/>
          <w:sz w:val="20"/>
        </w:rPr>
        <w:t>•  [ ]  Copilot: Build evaluation forms and note-taking templates based on Section 8.6 metrics</w:t>
      </w:r>
    </w:p>
    <w:p>
      <w:pPr>
        <w:spacing w:before="0" w:after="60"/>
        <w:ind w:left="360" w:hanging="288"/>
      </w:pPr>
      <w:r>
        <w:rPr>
          <w:rFonts w:ascii="Calibri" w:hAnsi="Calibri"/>
          <w:b w:val="0"/>
          <w:i w:val="0"/>
          <w:color w:val="28251D"/>
          <w:sz w:val="20"/>
        </w:rPr>
        <w:t>•  [ ]  Grok: Develop equity layer injects (minimum two addressing under-resourced populations)</w:t>
      </w:r>
    </w:p>
    <w:p>
      <w:pPr>
        <w:spacing w:before="0" w:after="60"/>
        <w:ind w:left="360" w:hanging="288"/>
      </w:pPr>
      <w:r>
        <w:rPr>
          <w:rFonts w:ascii="Calibri" w:hAnsi="Calibri"/>
          <w:b w:val="0"/>
          <w:i w:val="0"/>
          <w:color w:val="28251D"/>
          <w:sz w:val="20"/>
        </w:rPr>
        <w:t>•  [ ]  Grok: Draft key questions registry for facilitator use in Phases 2 and 3</w:t>
      </w:r>
    </w:p>
    <w:p>
      <w:pPr>
        <w:spacing w:after="120" w:before="0"/>
      </w:pPr>
    </w:p>
    <w:p>
      <w:pPr>
        <w:spacing w:before="240" w:after="60"/>
        <w:jc w:val="left"/>
      </w:pPr>
      <w:r>
        <w:rPr>
          <w:rFonts w:ascii="Calibri" w:hAnsi="Calibri"/>
          <w:b/>
          <w:i w:val="0"/>
          <w:color w:val="0C4E54"/>
          <w:sz w:val="26"/>
        </w:rPr>
        <w:t>Phase 3 — Scenario &amp; Inject Development</w:t>
      </w:r>
    </w:p>
    <w:p>
      <w:pPr>
        <w:spacing w:before="0" w:after="80"/>
        <w:jc w:val="left"/>
      </w:pPr>
      <w:r>
        <w:rPr>
          <w:rFonts w:ascii="Calibri" w:hAnsi="Calibri"/>
          <w:b w:val="0"/>
          <w:i w:val="0"/>
          <w:color w:val="7A7974"/>
          <w:sz w:val="17"/>
        </w:rPr>
        <w:t>Owner: Claude AI + Google Gemini</w:t>
      </w:r>
    </w:p>
    <w:p>
      <w:pPr>
        <w:spacing w:before="0" w:after="60"/>
        <w:ind w:left="360" w:hanging="288"/>
      </w:pPr>
      <w:r>
        <w:rPr>
          <w:rFonts w:ascii="Calibri" w:hAnsi="Calibri"/>
          <w:b w:val="0"/>
          <w:i w:val="0"/>
          <w:color w:val="28251D"/>
          <w:sz w:val="20"/>
        </w:rPr>
        <w:t>•  [ ]  Claude AI: Develop full Situation Manual (SitMan) using locked parameters</w:t>
      </w:r>
    </w:p>
    <w:p>
      <w:pPr>
        <w:spacing w:before="0" w:after="60"/>
        <w:ind w:left="360" w:hanging="288"/>
      </w:pPr>
      <w:r>
        <w:rPr>
          <w:rFonts w:ascii="Calibri" w:hAnsi="Calibri"/>
          <w:b w:val="0"/>
          <w:i w:val="0"/>
          <w:color w:val="28251D"/>
          <w:sz w:val="20"/>
        </w:rPr>
        <w:t>•  [ ]  Claude AI: Build facilitator script with probe questions for each inject</w:t>
      </w:r>
    </w:p>
    <w:p>
      <w:pPr>
        <w:spacing w:before="0" w:after="60"/>
        <w:ind w:left="360" w:hanging="288"/>
      </w:pPr>
      <w:r>
        <w:rPr>
          <w:rFonts w:ascii="Calibri" w:hAnsi="Calibri"/>
          <w:b w:val="0"/>
          <w:i w:val="0"/>
          <w:color w:val="28251D"/>
          <w:sz w:val="20"/>
        </w:rPr>
        <w:t>•  [ ]  Claude AI: Draft hotwash and AAR templates before exercise date</w:t>
      </w:r>
    </w:p>
    <w:p>
      <w:pPr>
        <w:spacing w:before="0" w:after="60"/>
        <w:ind w:left="360" w:hanging="288"/>
      </w:pPr>
      <w:r>
        <w:rPr>
          <w:rFonts w:ascii="Calibri" w:hAnsi="Calibri"/>
          <w:b w:val="0"/>
          <w:i w:val="0"/>
          <w:color w:val="28251D"/>
          <w:sz w:val="20"/>
        </w:rPr>
        <w:t>•  [ ]  Google Gemini: Draft 3-5 clinical case vignettes for Phase 1</w:t>
      </w:r>
    </w:p>
    <w:p>
      <w:pPr>
        <w:spacing w:before="0" w:after="60"/>
        <w:ind w:left="360" w:hanging="288"/>
      </w:pPr>
      <w:r>
        <w:rPr>
          <w:rFonts w:ascii="Calibri" w:hAnsi="Calibri"/>
          <w:b w:val="0"/>
          <w:i w:val="0"/>
          <w:color w:val="28251D"/>
          <w:sz w:val="20"/>
        </w:rPr>
        <w:t>•  [ ]  Google Gemini: Build media simulation protocol for Phase 2 inject</w:t>
      </w:r>
    </w:p>
    <w:p>
      <w:pPr>
        <w:spacing w:after="120" w:before="0"/>
      </w:pPr>
    </w:p>
    <w:p>
      <w:pPr>
        <w:spacing w:before="240" w:after="60"/>
        <w:jc w:val="left"/>
      </w:pPr>
      <w:r>
        <w:rPr>
          <w:rFonts w:ascii="Calibri" w:hAnsi="Calibri"/>
          <w:b/>
          <w:i w:val="0"/>
          <w:color w:val="0C4E54"/>
          <w:sz w:val="26"/>
        </w:rPr>
        <w:t>Phase 4 — Participant Engagement</w:t>
      </w:r>
    </w:p>
    <w:p>
      <w:pPr>
        <w:spacing w:before="0" w:after="80"/>
        <w:jc w:val="left"/>
      </w:pPr>
      <w:r>
        <w:rPr>
          <w:rFonts w:ascii="Calibri" w:hAnsi="Calibri"/>
          <w:b w:val="0"/>
          <w:i w:val="0"/>
          <w:color w:val="7A7974"/>
          <w:sz w:val="17"/>
        </w:rPr>
        <w:t>Owner: ChatGPT + Author</w:t>
      </w:r>
    </w:p>
    <w:p>
      <w:pPr>
        <w:spacing w:before="0" w:after="60"/>
        <w:ind w:left="360" w:hanging="288"/>
      </w:pPr>
      <w:r>
        <w:rPr>
          <w:rFonts w:ascii="Calibri" w:hAnsi="Calibri"/>
          <w:b w:val="0"/>
          <w:i w:val="0"/>
          <w:color w:val="28251D"/>
          <w:sz w:val="20"/>
        </w:rPr>
        <w:t>•  [ ]  ChatGPT: Draft participant pre-read package and opening facilitator statement</w:t>
      </w:r>
    </w:p>
    <w:p>
      <w:pPr>
        <w:spacing w:before="0" w:after="60"/>
        <w:ind w:left="360" w:hanging="288"/>
      </w:pPr>
      <w:r>
        <w:rPr>
          <w:rFonts w:ascii="Calibri" w:hAnsi="Calibri"/>
          <w:b w:val="0"/>
          <w:i w:val="0"/>
          <w:color w:val="28251D"/>
          <w:sz w:val="20"/>
        </w:rPr>
        <w:t>•  [ ]  Author: Secure buy-in from ED leadership, Infection Prevention, Lab, and Hospital Administration</w:t>
      </w:r>
    </w:p>
    <w:p>
      <w:pPr>
        <w:spacing w:before="0" w:after="60"/>
        <w:ind w:left="360" w:hanging="288"/>
      </w:pPr>
      <w:r>
        <w:rPr>
          <w:rFonts w:ascii="Calibri" w:hAnsi="Calibri"/>
          <w:b w:val="0"/>
          <w:i w:val="0"/>
          <w:color w:val="28251D"/>
          <w:sz w:val="20"/>
        </w:rPr>
        <w:t>•  [ ]  Author: Confirm clinical SME and exercise date, venue, facilitation team</w:t>
      </w:r>
    </w:p>
    <w:p>
      <w:pPr>
        <w:spacing w:after="120" w:before="0"/>
      </w:pPr>
    </w:p>
    <w:p>
      <w:pPr>
        <w:spacing w:before="240" w:after="60"/>
        <w:jc w:val="left"/>
      </w:pPr>
      <w:r>
        <w:rPr>
          <w:rFonts w:ascii="Calibri" w:hAnsi="Calibri"/>
          <w:b/>
          <w:i w:val="0"/>
          <w:color w:val="0C4E54"/>
          <w:sz w:val="26"/>
        </w:rPr>
        <w:t>Phase 5 — Pre-Exercise Review</w:t>
      </w:r>
    </w:p>
    <w:p>
      <w:pPr>
        <w:spacing w:before="0" w:after="80"/>
        <w:jc w:val="left"/>
      </w:pPr>
      <w:r>
        <w:rPr>
          <w:rFonts w:ascii="Calibri" w:hAnsi="Calibri"/>
          <w:b w:val="0"/>
          <w:i w:val="0"/>
          <w:color w:val="7A7974"/>
          <w:sz w:val="17"/>
        </w:rPr>
        <w:t>Owner: All AIs + Author</w:t>
      </w:r>
    </w:p>
    <w:p>
      <w:pPr>
        <w:spacing w:before="0" w:after="60"/>
        <w:ind w:left="360" w:hanging="288"/>
      </w:pPr>
      <w:r>
        <w:rPr>
          <w:rFonts w:ascii="Calibri" w:hAnsi="Calibri"/>
          <w:b w:val="0"/>
          <w:i w:val="0"/>
          <w:color w:val="28251D"/>
          <w:sz w:val="20"/>
        </w:rPr>
        <w:t>•  [ ]  All AIs submit design materials to central document thread</w:t>
      </w:r>
    </w:p>
    <w:p>
      <w:pPr>
        <w:spacing w:before="0" w:after="60"/>
        <w:ind w:left="360" w:hanging="288"/>
      </w:pPr>
      <w:r>
        <w:rPr>
          <w:rFonts w:ascii="Calibri" w:hAnsi="Calibri"/>
          <w:b w:val="0"/>
          <w:i w:val="0"/>
          <w:color w:val="28251D"/>
          <w:sz w:val="20"/>
        </w:rPr>
        <w:t>•  [ ]  Perplexity Computer compiles into final Situation Manual and facilitator package</w:t>
      </w:r>
    </w:p>
    <w:p>
      <w:pPr>
        <w:spacing w:before="0" w:after="60"/>
        <w:ind w:left="360" w:hanging="288"/>
      </w:pPr>
      <w:r>
        <w:rPr>
          <w:rFonts w:ascii="Calibri" w:hAnsi="Calibri"/>
          <w:b w:val="0"/>
          <w:i w:val="0"/>
          <w:color w:val="28251D"/>
          <w:sz w:val="20"/>
        </w:rPr>
        <w:t>•  [ ]  Document elevated to v1.1 after author ONESTAMP incorporates Phase 1 decisions</w:t>
      </w:r>
    </w:p>
    <w:p>
      <w:pPr>
        <w:spacing w:before="0" w:after="60"/>
        <w:ind w:left="360" w:hanging="288"/>
      </w:pPr>
      <w:r>
        <w:rPr>
          <w:rFonts w:ascii="Calibri" w:hAnsi="Calibri"/>
          <w:b w:val="0"/>
          <w:i w:val="0"/>
          <w:color w:val="28251D"/>
          <w:sz w:val="20"/>
        </w:rPr>
        <w:t>•  [ ]  Final review confirms: ground rules signed, SME confirmed, equity layer incorporated</w:t>
      </w:r>
    </w:p>
    <w:p>
      <w:pPr>
        <w:spacing w:after="120" w:before="0"/>
      </w:pPr>
    </w:p>
    <w:p>
      <w:pPr>
        <w:spacing w:before="240" w:after="60"/>
        <w:jc w:val="left"/>
      </w:pPr>
      <w:r>
        <w:rPr>
          <w:rFonts w:ascii="Calibri" w:hAnsi="Calibri"/>
          <w:b/>
          <w:i w:val="0"/>
          <w:color w:val="0C4E54"/>
          <w:sz w:val="26"/>
        </w:rPr>
        <w:t>Phase 6 — Execution &amp; After-Action</w:t>
      </w:r>
    </w:p>
    <w:p>
      <w:pPr>
        <w:spacing w:before="0" w:after="80"/>
        <w:jc w:val="left"/>
      </w:pPr>
      <w:r>
        <w:rPr>
          <w:rFonts w:ascii="Calibri" w:hAnsi="Calibri"/>
          <w:b w:val="0"/>
          <w:i w:val="0"/>
          <w:color w:val="7A7974"/>
          <w:sz w:val="17"/>
        </w:rPr>
        <w:t>Owner: All AIs + Author</w:t>
      </w:r>
    </w:p>
    <w:p>
      <w:pPr>
        <w:spacing w:before="0" w:after="60"/>
        <w:ind w:left="360" w:hanging="288"/>
      </w:pPr>
      <w:r>
        <w:rPr>
          <w:rFonts w:ascii="Calibri" w:hAnsi="Calibri"/>
          <w:b w:val="0"/>
          <w:i w:val="0"/>
          <w:color w:val="28251D"/>
          <w:sz w:val="20"/>
        </w:rPr>
        <w:t>•  [ ]  Execute exercise with disciplined inject timing</w:t>
      </w:r>
    </w:p>
    <w:p>
      <w:pPr>
        <w:spacing w:before="0" w:after="60"/>
        <w:ind w:left="360" w:hanging="288"/>
      </w:pPr>
      <w:r>
        <w:rPr>
          <w:rFonts w:ascii="Calibri" w:hAnsi="Calibri"/>
          <w:b w:val="0"/>
          <w:i w:val="0"/>
          <w:color w:val="28251D"/>
          <w:sz w:val="20"/>
        </w:rPr>
        <w:t>•  [ ]  Conduct immediate hotwash (30 minutes post-exercise)</w:t>
      </w:r>
    </w:p>
    <w:p>
      <w:pPr>
        <w:spacing w:before="0" w:after="60"/>
        <w:ind w:left="360" w:hanging="288"/>
      </w:pPr>
      <w:r>
        <w:rPr>
          <w:rFonts w:ascii="Calibri" w:hAnsi="Calibri"/>
          <w:b w:val="0"/>
          <w:i w:val="0"/>
          <w:color w:val="28251D"/>
          <w:sz w:val="20"/>
        </w:rPr>
        <w:t>•  [ ]  AAR delivered within 2 weeks of exercise date</w:t>
      </w:r>
    </w:p>
    <w:p>
      <w:pPr>
        <w:spacing w:before="0" w:after="60"/>
        <w:ind w:left="360" w:hanging="288"/>
      </w:pPr>
      <w:r>
        <w:rPr>
          <w:rFonts w:ascii="Calibri" w:hAnsi="Calibri"/>
          <w:b w:val="0"/>
          <w:i w:val="0"/>
          <w:color w:val="28251D"/>
          <w:sz w:val="20"/>
        </w:rPr>
        <w:t>•  [ ]  Author: Apply ONESTAMP to AAR before integration into institutional improvement record</w:t>
      </w:r>
    </w:p>
    <w:p>
      <w:pPr>
        <w:spacing w:before="0" w:after="60"/>
        <w:ind w:left="360" w:hanging="288"/>
      </w:pPr>
      <w:r>
        <w:rPr>
          <w:rFonts w:ascii="Calibri" w:hAnsi="Calibri"/>
          <w:b w:val="0"/>
          <w:i w:val="0"/>
          <w:color w:val="28251D"/>
          <w:sz w:val="20"/>
        </w:rPr>
        <w:t>•  [ ]  Establish TTX-002 date and scope before AAR is filed</w:t>
      </w:r>
    </w:p>
    <w:p>
      <w:pPr>
        <w:spacing w:after="120" w:before="0"/>
      </w:pPr>
    </w:p>
    <w:p>
      <w:r>
        <w:br w:type="page"/>
      </w:r>
    </w:p>
    <w:p>
      <w:pPr>
        <w:spacing w:before="280" w:after="80"/>
        <w:jc w:val="left"/>
        <w:pBdr>
          <w:bottom w:val="single" w:sz="8" w:space="1" w:color="01696F"/>
        </w:pBdr>
      </w:pPr>
      <w:r>
        <w:rPr>
          <w:rFonts w:ascii="Calibri" w:hAnsi="Calibri"/>
          <w:b/>
          <w:i w:val="0"/>
          <w:color w:val="01696F"/>
          <w:sz w:val="32"/>
        </w:rPr>
        <w:t>13. Version History</w:t>
      </w: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268"/>
        <w:gridCol w:w="2268"/>
        <w:gridCol w:w="2268"/>
        <w:gridCol w:w="2268"/>
      </w:tblGrid>
      <w:tr>
        <w:tc>
          <w:tcPr>
            <w:tcW w:type="dxa" w:w="1152"/>
            <w:shd w:val="clear" w:color="auto" w:fill="01696F"/>
            <w:tcMar>
              <w:top w:w="60" w:type="dxa"/>
              <w:bottom w:w="60" w:type="dxa"/>
              <w:left w:w="80" w:type="dxa"/>
              <w:right w:w="80" w:type="dxa"/>
            </w:tcMar>
          </w:tcPr>
          <w:p>
            <w:pPr>
              <w:jc w:val="center"/>
            </w:pPr>
            <w:r>
              <w:rPr>
                <w:rFonts w:ascii="Calibri" w:hAnsi="Calibri"/>
                <w:b/>
                <w:i w:val="0"/>
                <w:color w:val="FFFFFF"/>
                <w:sz w:val="18"/>
              </w:rPr>
              <w:t>Version</w:t>
            </w:r>
          </w:p>
        </w:tc>
        <w:tc>
          <w:tcPr>
            <w:tcW w:type="dxa" w:w="1728"/>
            <w:shd w:val="clear" w:color="auto" w:fill="01696F"/>
            <w:tcMar>
              <w:top w:w="60" w:type="dxa"/>
              <w:bottom w:w="60" w:type="dxa"/>
              <w:left w:w="80" w:type="dxa"/>
              <w:right w:w="80" w:type="dxa"/>
            </w:tcMar>
          </w:tcPr>
          <w:p>
            <w:pPr>
              <w:jc w:val="center"/>
            </w:pPr>
            <w:r>
              <w:rPr>
                <w:rFonts w:ascii="Calibri" w:hAnsi="Calibri"/>
                <w:b/>
                <w:i w:val="0"/>
                <w:color w:val="FFFFFF"/>
                <w:sz w:val="18"/>
              </w:rPr>
              <w:t>Date</w:t>
            </w:r>
          </w:p>
        </w:tc>
        <w:tc>
          <w:tcPr>
            <w:tcW w:type="dxa" w:w="2592"/>
            <w:shd w:val="clear" w:color="auto" w:fill="01696F"/>
            <w:tcMar>
              <w:top w:w="60" w:type="dxa"/>
              <w:bottom w:w="60" w:type="dxa"/>
              <w:left w:w="80" w:type="dxa"/>
              <w:right w:w="80" w:type="dxa"/>
            </w:tcMar>
          </w:tcPr>
          <w:p>
            <w:pPr>
              <w:jc w:val="center"/>
            </w:pPr>
            <w:r>
              <w:rPr>
                <w:rFonts w:ascii="Calibri" w:hAnsi="Calibri"/>
                <w:b/>
                <w:i w:val="0"/>
                <w:color w:val="FFFFFF"/>
                <w:sz w:val="18"/>
              </w:rPr>
              <w:t>Author</w:t>
            </w:r>
          </w:p>
        </w:tc>
        <w:tc>
          <w:tcPr>
            <w:tcW w:type="dxa" w:w="3888"/>
            <w:shd w:val="clear" w:color="auto" w:fill="01696F"/>
            <w:tcMar>
              <w:top w:w="60" w:type="dxa"/>
              <w:bottom w:w="60" w:type="dxa"/>
              <w:left w:w="80" w:type="dxa"/>
              <w:right w:w="80" w:type="dxa"/>
            </w:tcMar>
          </w:tcPr>
          <w:p>
            <w:pPr>
              <w:jc w:val="center"/>
            </w:pPr>
            <w:r>
              <w:rPr>
                <w:rFonts w:ascii="Calibri" w:hAnsi="Calibri"/>
                <w:b/>
                <w:i w:val="0"/>
                <w:color w:val="FFFFFF"/>
                <w:sz w:val="18"/>
              </w:rPr>
              <w:t>Changes</w:t>
            </w:r>
          </w:p>
        </w:tc>
      </w:tr>
      <w:tr>
        <w:tc>
          <w:tcPr>
            <w:tcW w:type="dxa" w:w="1152"/>
            <w:shd w:val="clear" w:color="auto" w:fill="FFFFFF"/>
            <w:tcMar>
              <w:top w:w="60" w:type="dxa"/>
              <w:bottom w:w="60" w:type="dxa"/>
              <w:left w:w="80" w:type="dxa"/>
              <w:right w:w="80" w:type="dxa"/>
            </w:tcMar>
            <w:vAlign w:val="top"/>
          </w:tcPr>
          <w:p>
            <w:r>
              <w:rPr>
                <w:rFonts w:ascii="Calibri" w:hAnsi="Calibri"/>
                <w:b w:val="0"/>
                <w:i w:val="0"/>
                <w:color w:val="28251D"/>
                <w:sz w:val="18"/>
              </w:rPr>
              <w:t>v1.0.0</w:t>
            </w:r>
          </w:p>
        </w:tc>
        <w:tc>
          <w:tcPr>
            <w:tcW w:type="dxa" w:w="1728"/>
            <w:shd w:val="clear" w:color="auto" w:fill="FFFFFF"/>
            <w:tcMar>
              <w:top w:w="60" w:type="dxa"/>
              <w:bottom w:w="60" w:type="dxa"/>
              <w:left w:w="80" w:type="dxa"/>
              <w:right w:w="80" w:type="dxa"/>
            </w:tcMar>
            <w:vAlign w:val="top"/>
          </w:tcPr>
          <w:p>
            <w:r>
              <w:rPr>
                <w:rFonts w:ascii="Calibri" w:hAnsi="Calibri"/>
                <w:b w:val="0"/>
                <w:i w:val="0"/>
                <w:color w:val="28251D"/>
                <w:sz w:val="18"/>
              </w:rPr>
              <w:t>April 11, 2026</w:t>
            </w:r>
          </w:p>
        </w:tc>
        <w:tc>
          <w:tcPr>
            <w:tcW w:type="dxa" w:w="2592"/>
            <w:shd w:val="clear" w:color="auto" w:fill="FFFFFF"/>
            <w:tcMar>
              <w:top w:w="60" w:type="dxa"/>
              <w:bottom w:w="60" w:type="dxa"/>
              <w:left w:w="80" w:type="dxa"/>
              <w:right w:w="80" w:type="dxa"/>
            </w:tcMar>
            <w:vAlign w:val="top"/>
          </w:tcPr>
          <w:p>
            <w:r>
              <w:rPr>
                <w:rFonts w:ascii="Calibri" w:hAnsi="Calibri"/>
                <w:b w:val="0"/>
                <w:i w:val="0"/>
                <w:color w:val="28251D"/>
                <w:sz w:val="18"/>
              </w:rPr>
              <w:t>Perplexity Computer</w:t>
            </w:r>
          </w:p>
        </w:tc>
        <w:tc>
          <w:tcPr>
            <w:tcW w:type="dxa" w:w="3888"/>
            <w:shd w:val="clear" w:color="auto" w:fill="FFFFFF"/>
            <w:tcMar>
              <w:top w:w="60" w:type="dxa"/>
              <w:bottom w:w="60" w:type="dxa"/>
              <w:left w:w="80" w:type="dxa"/>
              <w:right w:w="80" w:type="dxa"/>
            </w:tcMar>
            <w:vAlign w:val="top"/>
          </w:tcPr>
          <w:p>
            <w:r>
              <w:rPr>
                <w:rFonts w:ascii="Calibri" w:hAnsi="Calibri"/>
                <w:b w:val="0"/>
                <w:i w:val="0"/>
                <w:color w:val="28251D"/>
                <w:sz w:val="18"/>
              </w:rPr>
              <w:t>Initial comprehensive dossier; synthesized from 5 AI responses; all 14 sections drafted; Perplexity original contribution added (Section 11); pending author ONESTAMP</w:t>
            </w:r>
          </w:p>
        </w:tc>
      </w:tr>
    </w:tbl>
    <w:p/>
    <w:p>
      <w:pPr>
        <w:spacing w:after="240" w:before="0"/>
      </w:pPr>
    </w:p>
    <w:p>
      <w:pPr>
        <w:spacing w:before="280" w:after="80"/>
        <w:jc w:val="left"/>
        <w:pBdr>
          <w:bottom w:val="single" w:sz="8" w:space="1" w:color="01696F"/>
        </w:pBdr>
      </w:pPr>
      <w:r>
        <w:rPr>
          <w:rFonts w:ascii="Calibri" w:hAnsi="Calibri"/>
          <w:b/>
          <w:i w:val="0"/>
          <w:color w:val="01696F"/>
          <w:sz w:val="32"/>
        </w:rPr>
        <w:t>14. Improvement Roadmap</w:t>
      </w:r>
    </w:p>
    <w:p>
      <w:pPr>
        <w:spacing w:before="240" w:after="60"/>
        <w:jc w:val="left"/>
      </w:pPr>
      <w:r>
        <w:rPr>
          <w:rFonts w:ascii="Calibri" w:hAnsi="Calibri"/>
          <w:b/>
          <w:i w:val="0"/>
          <w:color w:val="0C4E54"/>
          <w:sz w:val="26"/>
        </w:rPr>
        <w:t>Current Strengths</w:t>
      </w:r>
    </w:p>
    <w:p>
      <w:pPr>
        <w:spacing w:before="0" w:after="60"/>
        <w:ind w:left="360" w:hanging="288"/>
      </w:pPr>
      <w:r>
        <w:rPr>
          <w:rFonts w:ascii="Calibri" w:hAnsi="Calibri"/>
          <w:b w:val="0"/>
          <w:i w:val="0"/>
          <w:color w:val="28251D"/>
          <w:sz w:val="20"/>
        </w:rPr>
        <w:t>•  Synthesizes five independent AI analyses into a single deduplicated reference</w:t>
      </w:r>
    </w:p>
    <w:p>
      <w:pPr>
        <w:spacing w:before="0" w:after="60"/>
        <w:ind w:left="360" w:hanging="288"/>
      </w:pPr>
      <w:r>
        <w:rPr>
          <w:rFonts w:ascii="Calibri" w:hAnsi="Calibri"/>
          <w:b w:val="0"/>
          <w:i w:val="0"/>
          <w:color w:val="28251D"/>
          <w:sz w:val="20"/>
        </w:rPr>
        <w:t>•  Preserves all author-submitted framing verbatim including the provider uncertainty hook</w:t>
      </w:r>
    </w:p>
    <w:p>
      <w:pPr>
        <w:spacing w:before="0" w:after="60"/>
        <w:ind w:left="360" w:hanging="288"/>
      </w:pPr>
      <w:r>
        <w:rPr>
          <w:rFonts w:ascii="Calibri" w:hAnsi="Calibri"/>
          <w:b w:val="0"/>
          <w:i w:val="0"/>
          <w:color w:val="28251D"/>
          <w:sz w:val="20"/>
        </w:rPr>
        <w:t>•  Comprehensive open questions registry (22 questions, 5 categories)</w:t>
      </w:r>
    </w:p>
    <w:p>
      <w:pPr>
        <w:spacing w:before="0" w:after="60"/>
        <w:ind w:left="360" w:hanging="288"/>
      </w:pPr>
      <w:r>
        <w:rPr>
          <w:rFonts w:ascii="Calibri" w:hAnsi="Calibri"/>
          <w:b w:val="0"/>
          <w:i w:val="0"/>
          <w:color w:val="28251D"/>
          <w:sz w:val="20"/>
        </w:rPr>
        <w:t>•  Full exercise architecture ready for implementation once author decisions are locked</w:t>
      </w:r>
    </w:p>
    <w:p>
      <w:pPr>
        <w:spacing w:before="0" w:after="60"/>
        <w:ind w:left="360" w:hanging="288"/>
      </w:pPr>
      <w:r>
        <w:rPr>
          <w:rFonts w:ascii="Calibri" w:hAnsi="Calibri"/>
          <w:b w:val="0"/>
          <w:i w:val="0"/>
          <w:color w:val="28251D"/>
          <w:sz w:val="20"/>
        </w:rPr>
        <w:t>•  Red-team analysis covers both design and operational risks with severity ratings</w:t>
      </w:r>
    </w:p>
    <w:p>
      <w:pPr>
        <w:spacing w:before="0" w:after="60"/>
        <w:ind w:left="360" w:hanging="288"/>
      </w:pPr>
      <w:r>
        <w:rPr>
          <w:rFonts w:ascii="Calibri" w:hAnsi="Calibri"/>
          <w:b w:val="0"/>
          <w:i w:val="0"/>
          <w:color w:val="28251D"/>
          <w:sz w:val="20"/>
        </w:rPr>
        <w:t>•  Explicit escalation path built in (TTX-001 as baseline for a planned series)</w:t>
      </w:r>
    </w:p>
    <w:p>
      <w:pPr>
        <w:spacing w:after="120" w:before="0"/>
      </w:pPr>
    </w:p>
    <w:p>
      <w:pPr>
        <w:spacing w:before="240" w:after="60"/>
        <w:jc w:val="left"/>
      </w:pPr>
      <w:r>
        <w:rPr>
          <w:rFonts w:ascii="Calibri" w:hAnsi="Calibri"/>
          <w:b/>
          <w:i w:val="0"/>
          <w:color w:val="0C4E54"/>
          <w:sz w:val="26"/>
        </w:rPr>
        <w:t>Current Gaps &amp; Limitations</w:t>
      </w:r>
    </w:p>
    <w:p>
      <w:pPr>
        <w:spacing w:before="0" w:after="60"/>
        <w:ind w:left="360" w:hanging="288"/>
      </w:pPr>
      <w:r>
        <w:rPr>
          <w:rFonts w:ascii="Calibri" w:hAnsi="Calibri"/>
          <w:b w:val="0"/>
          <w:i w:val="0"/>
          <w:color w:val="28251D"/>
          <w:sz w:val="20"/>
        </w:rPr>
        <w:t>•  No pathogen archetype locked — everything downstream is on hold</w:t>
      </w:r>
    </w:p>
    <w:p>
      <w:pPr>
        <w:spacing w:before="0" w:after="60"/>
        <w:ind w:left="360" w:hanging="288"/>
      </w:pPr>
      <w:r>
        <w:rPr>
          <w:rFonts w:ascii="Calibri" w:hAnsi="Calibri"/>
          <w:b w:val="0"/>
          <w:i w:val="0"/>
          <w:color w:val="28251D"/>
          <w:sz w:val="20"/>
        </w:rPr>
        <w:t>•  No primary objective in final form — recommended draft provided but requires author approval</w:t>
      </w:r>
    </w:p>
    <w:p>
      <w:pPr>
        <w:spacing w:before="0" w:after="60"/>
        <w:ind w:left="360" w:hanging="288"/>
      </w:pPr>
      <w:r>
        <w:rPr>
          <w:rFonts w:ascii="Calibri" w:hAnsi="Calibri"/>
          <w:b w:val="0"/>
          <w:i w:val="0"/>
          <w:color w:val="28251D"/>
          <w:sz w:val="20"/>
        </w:rPr>
        <w:t>•  Geographic scope not confirmed — requires author decision</w:t>
      </w:r>
    </w:p>
    <w:p>
      <w:pPr>
        <w:spacing w:before="0" w:after="60"/>
        <w:ind w:left="360" w:hanging="288"/>
      </w:pPr>
      <w:r>
        <w:rPr>
          <w:rFonts w:ascii="Calibri" w:hAnsi="Calibri"/>
          <w:b w:val="0"/>
          <w:i w:val="0"/>
          <w:color w:val="28251D"/>
          <w:sz w:val="20"/>
        </w:rPr>
        <w:t>•  No exercise name selected — five candidates provided in Section 11.5</w:t>
      </w:r>
    </w:p>
    <w:p>
      <w:pPr>
        <w:spacing w:before="0" w:after="60"/>
        <w:ind w:left="360" w:hanging="288"/>
      </w:pPr>
      <w:r>
        <w:rPr>
          <w:rFonts w:ascii="Calibri" w:hAnsi="Calibri"/>
          <w:b w:val="0"/>
          <w:i w:val="0"/>
          <w:color w:val="28251D"/>
          <w:sz w:val="20"/>
        </w:rPr>
        <w:t>•  Clinical vignettes not yet written — blocked on pathogen selection</w:t>
      </w:r>
    </w:p>
    <w:p>
      <w:pPr>
        <w:spacing w:before="0" w:after="60"/>
        <w:ind w:left="360" w:hanging="288"/>
      </w:pPr>
      <w:r>
        <w:rPr>
          <w:rFonts w:ascii="Calibri" w:hAnsi="Calibri"/>
          <w:b w:val="0"/>
          <w:i w:val="0"/>
          <w:color w:val="28251D"/>
          <w:sz w:val="20"/>
        </w:rPr>
        <w:t>•  Sponsoring organization not identified</w:t>
      </w:r>
    </w:p>
    <w:p>
      <w:pPr>
        <w:spacing w:after="120" w:before="0"/>
      </w:pPr>
    </w:p>
    <w:p>
      <w:pPr>
        <w:spacing w:before="240" w:after="60"/>
        <w:jc w:val="left"/>
      </w:pPr>
      <w:r>
        <w:rPr>
          <w:rFonts w:ascii="Calibri" w:hAnsi="Calibri"/>
          <w:b/>
          <w:i w:val="0"/>
          <w:color w:val="0C4E54"/>
          <w:sz w:val="26"/>
        </w:rPr>
        <w:t>v2.0 Target State</w:t>
      </w:r>
    </w:p>
    <w:p>
      <w:pPr>
        <w:spacing w:before="0" w:after="60"/>
        <w:ind w:left="360" w:hanging="288"/>
      </w:pPr>
      <w:r>
        <w:rPr>
          <w:rFonts w:ascii="Calibri" w:hAnsi="Calibri"/>
          <w:b w:val="0"/>
          <w:i w:val="0"/>
          <w:color w:val="28251D"/>
          <w:sz w:val="20"/>
        </w:rPr>
        <w:t>•  All 22 open questions resolved and marked</w:t>
      </w:r>
    </w:p>
    <w:p>
      <w:pPr>
        <w:spacing w:before="0" w:after="60"/>
        <w:ind w:left="360" w:hanging="288"/>
      </w:pPr>
      <w:r>
        <w:rPr>
          <w:rFonts w:ascii="Calibri" w:hAnsi="Calibri"/>
          <w:b w:val="0"/>
          <w:i w:val="0"/>
          <w:color w:val="28251D"/>
          <w:sz w:val="20"/>
        </w:rPr>
        <w:t>•  Full Situation Manual complete and reviewed</w:t>
      </w:r>
    </w:p>
    <w:p>
      <w:pPr>
        <w:spacing w:before="0" w:after="60"/>
        <w:ind w:left="360" w:hanging="288"/>
      </w:pPr>
      <w:r>
        <w:rPr>
          <w:rFonts w:ascii="Calibri" w:hAnsi="Calibri"/>
          <w:b w:val="0"/>
          <w:i w:val="0"/>
          <w:color w:val="28251D"/>
          <w:sz w:val="20"/>
        </w:rPr>
        <w:t>•  Clinical vignettes drafted and adjudicated</w:t>
      </w:r>
    </w:p>
    <w:p>
      <w:pPr>
        <w:spacing w:before="0" w:after="60"/>
        <w:ind w:left="360" w:hanging="288"/>
      </w:pPr>
      <w:r>
        <w:rPr>
          <w:rFonts w:ascii="Calibri" w:hAnsi="Calibri"/>
          <w:b w:val="0"/>
          <w:i w:val="0"/>
          <w:color w:val="28251D"/>
          <w:sz w:val="20"/>
        </w:rPr>
        <w:t>•  Ground rules signed by all participating institutions</w:t>
      </w:r>
    </w:p>
    <w:p>
      <w:pPr>
        <w:spacing w:before="0" w:after="60"/>
        <w:ind w:left="360" w:hanging="288"/>
      </w:pPr>
      <w:r>
        <w:rPr>
          <w:rFonts w:ascii="Calibri" w:hAnsi="Calibri"/>
          <w:b w:val="0"/>
          <w:i w:val="0"/>
          <w:color w:val="28251D"/>
          <w:sz w:val="20"/>
        </w:rPr>
        <w:t>•  Exercise name selected and locked</w:t>
      </w:r>
    </w:p>
    <w:p>
      <w:pPr>
        <w:spacing w:before="0" w:after="60"/>
        <w:ind w:left="360" w:hanging="288"/>
      </w:pPr>
      <w:r>
        <w:rPr>
          <w:rFonts w:ascii="Calibri" w:hAnsi="Calibri"/>
          <w:b w:val="0"/>
          <w:i w:val="0"/>
          <w:color w:val="28251D"/>
          <w:sz w:val="20"/>
        </w:rPr>
        <w:t>•  Document carries author ONESTAMP</w:t>
      </w:r>
    </w:p>
    <w:p>
      <w:pPr>
        <w:spacing w:before="0" w:after="60"/>
        <w:ind w:left="360" w:hanging="288"/>
      </w:pPr>
      <w:r>
        <w:rPr>
          <w:rFonts w:ascii="Calibri" w:hAnsi="Calibri"/>
          <w:b w:val="0"/>
          <w:i w:val="0"/>
          <w:color w:val="28251D"/>
          <w:sz w:val="20"/>
        </w:rPr>
        <w:t>•  TTX-002 date and scope confirmed</w:t>
      </w:r>
    </w:p>
    <w:p>
      <w:pPr>
        <w:spacing w:after="280" w:before="0"/>
      </w:pPr>
    </w:p>
    <w:p>
      <w:pPr>
        <w:spacing w:before="0" w:after="80"/>
        <w:jc w:val="left"/>
      </w:pPr>
      <w:r>
        <w:rPr>
          <w:rFonts w:ascii="Calibri" w:hAnsi="Calibri"/>
          <w:b w:val="0"/>
          <w:i w:val="0"/>
          <w:color w:val="7A7974"/>
          <w:sz w:val="17"/>
        </w:rPr>
        <w:t>Awaiting ONESTAMP from author before any content is treated as ratified exercise design. Prepared by Perplexity Computer — April 11, 2026. Source material: ChatGPT, Google Gemini, Microsoft Copilot, Grok AI, Claude AI. Distribution: ChatGPT · Google Gemini · Claude AI · Microsoft Copilot · Grok AI</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