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tffp_master_001_testing_frame_873dda"/>
      <w:r>
        <w:rPr>
          <w:rFonts w:eastAsia="georgia" w:cs="georgia" w:ascii="georgia" w:hAnsi="georgia"/>
          <w:b/>
          <w:color w:val="000000"/>
          <w:sz w:val="39"/>
        </w:rPr>
        <w:t xml:space="preserve">OAL-TFFP-MASTER-001 — Testing Framework Failure Protocol</w:t>
      </w:r>
      <w:bookmarkEnd w:id="0"/>
    </w:p>
    <w:p>
      <w:pPr>
        <w:spacing w:line="360" w:before="315" w:after="105" w:lineRule="auto"/>
        <w:ind w:left="-30"/>
        <w:jc w:val="left"/>
      </w:pPr>
      <w:bookmarkStart w:id="1" w:name="unified_multi_ai_synthesis_document"/>
      <w:r>
        <w:rPr>
          <w:rFonts w:eastAsia="georgia" w:cs="georgia" w:ascii="georgia" w:hAnsi="georgia"/>
          <w:b/>
          <w:color w:val="000000"/>
          <w:sz w:val="24"/>
        </w:rPr>
        <w:t xml:space="preserve">Unified Multi-AI Synthesis Document</w:t>
      </w:r>
      <w:bookmarkEnd w:id="1"/>
    </w:p>
    <w:p>
      <w:pPr>
        <w:spacing w:line="360" w:after="210" w:lineRule="auto"/>
      </w:pPr>
      <w:r>
        <w:rPr>
          <w:rFonts w:eastAsia="georgia" w:cs="georgia" w:ascii="georgia" w:hAnsi="georgia"/>
          <w:b/>
          <w:color w:val="000000"/>
        </w:rPr>
        <w:t xml:space="preserve">Omniversal Architect Labs | Lewis Corp | ONE Industries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 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OAL-TFFP-MASTER-001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v1.0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PENDING ARCHITECT REVIEW AND ONESTAMP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Governance — Continuity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Prepared By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Perplexity AI — representing ChatGPT, Microsoft Copilot, Google Gemini, Grok AI, Claude AI, and Perplexity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Submitted 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Nathan Lewis II — Architect, Omniversal Architect Labs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able_of_contents"/>
      <w:r>
        <w:rPr>
          <w:rFonts w:eastAsia="georgia" w:cs="georgia" w:ascii="georgia" w:hAnsi="georgia"/>
          <w:b/>
          <w:color w:val="000000"/>
          <w:sz w:val="24"/>
        </w:rPr>
        <w:t xml:space="preserve">Table of Contents</w:t>
      </w:r>
      <w:bookmarkEnd w:id="2"/>
    </w:p>
    <w:p>
      <w:pPr>
        <w:numPr>
          <w:ilvl w:val="0"/>
          <w:numId w:val="1"/>
        </w:numPr>
        <w:spacing w:line="360" w:before="105" w:after="105" w:lineRule="auto"/>
      </w:pPr>
      <w:r>
        <w:rPr>
          <w:rFonts w:eastAsia="georgia" w:cs="georgia" w:ascii="georgia" w:hAnsi="georgia"/>
          <w:color w:val="000000"/>
          <w:sz w:val="21"/>
        </w:rPr>
        <w:t xml:space="preserve">Preamble and Scope</w:t>
      </w:r>
    </w:p>
    <w:p>
      <w:pPr>
        <w:numPr>
          <w:ilvl w:val="0"/>
          <w:numId w:val="1"/>
        </w:numPr>
        <w:spacing w:line="360" w:before="105" w:after="105" w:lineRule="auto"/>
      </w:pPr>
      <w:r>
        <w:rPr>
          <w:rFonts w:eastAsia="georgia" w:cs="georgia" w:ascii="georgia" w:hAnsi="georgia"/>
          <w:color w:val="000000"/>
          <w:sz w:val="21"/>
        </w:rPr>
        <w:t xml:space="preserve">Architect's Source Directive — Voice Note Preserved</w:t>
      </w:r>
    </w:p>
    <w:p>
      <w:pPr>
        <w:numPr>
          <w:ilvl w:val="0"/>
          <w:numId w:val="1"/>
        </w:numPr>
        <w:spacing w:line="360" w:before="105" w:after="105" w:lineRule="auto"/>
      </w:pPr>
      <w:r>
        <w:rPr>
          <w:rFonts w:eastAsia="georgia" w:cs="georgia" w:ascii="georgia" w:hAnsi="georgia"/>
          <w:color w:val="000000"/>
          <w:sz w:val="21"/>
        </w:rPr>
        <w:t xml:space="preserve">Canonical Definition — What Is a Testing Framework Failure</w:t>
      </w:r>
    </w:p>
    <w:p>
      <w:pPr>
        <w:numPr>
          <w:ilvl w:val="0"/>
          <w:numId w:val="1"/>
        </w:numPr>
        <w:spacing w:line="360" w:before="105" w:after="105" w:lineRule="auto"/>
      </w:pPr>
      <w:r>
        <w:rPr>
          <w:rFonts w:eastAsia="georgia" w:cs="georgia" w:ascii="georgia" w:hAnsi="georgia"/>
          <w:color w:val="000000"/>
          <w:sz w:val="21"/>
        </w:rPr>
        <w:t xml:space="preserve">Purpose</w:t>
      </w:r>
    </w:p>
    <w:p>
      <w:pPr>
        <w:numPr>
          <w:ilvl w:val="0"/>
          <w:numId w:val="1"/>
        </w:numPr>
        <w:spacing w:line="360" w:before="105" w:after="105" w:lineRule="auto"/>
      </w:pPr>
      <w:r>
        <w:rPr>
          <w:rFonts w:eastAsia="georgia" w:cs="georgia" w:ascii="georgia" w:hAnsi="georgia"/>
          <w:color w:val="000000"/>
          <w:sz w:val="21"/>
        </w:rPr>
        <w:t xml:space="preserve">Mission Statement</w:t>
      </w:r>
    </w:p>
    <w:p>
      <w:pPr>
        <w:numPr>
          <w:ilvl w:val="0"/>
          <w:numId w:val="1"/>
        </w:numPr>
        <w:spacing w:line="360" w:before="105" w:after="105" w:lineRule="auto"/>
      </w:pPr>
      <w:r>
        <w:rPr>
          <w:rFonts w:eastAsia="georgia" w:cs="georgia" w:ascii="georgia" w:hAnsi="georgia"/>
          <w:color w:val="000000"/>
          <w:sz w:val="21"/>
        </w:rPr>
        <w:t xml:space="preserve">Justification — Why This Protocol Must Exist</w:t>
      </w:r>
    </w:p>
    <w:p>
      <w:pPr>
        <w:numPr>
          <w:ilvl w:val="0"/>
          <w:numId w:val="1"/>
        </w:numPr>
        <w:spacing w:line="360" w:before="105" w:after="105" w:lineRule="auto"/>
      </w:pPr>
      <w:r>
        <w:rPr>
          <w:rFonts w:eastAsia="georgia" w:cs="georgia" w:ascii="georgia" w:hAnsi="georgia"/>
          <w:color w:val="000000"/>
          <w:sz w:val="21"/>
        </w:rPr>
        <w:t xml:space="preserve">Protocol Name, Title, and Function</w:t>
      </w:r>
    </w:p>
    <w:p>
      <w:pPr>
        <w:numPr>
          <w:ilvl w:val="0"/>
          <w:numId w:val="1"/>
        </w:numPr>
        <w:spacing w:line="360" w:before="105" w:after="105" w:lineRule="auto"/>
      </w:pPr>
      <w:r>
        <w:rPr>
          <w:rFonts w:eastAsia="georgia" w:cs="georgia" w:ascii="georgia" w:hAnsi="georgia"/>
          <w:color w:val="000000"/>
          <w:sz w:val="21"/>
        </w:rPr>
        <w:t xml:space="preserve">Failure Classification Taxonomy</w:t>
      </w:r>
    </w:p>
    <w:p>
      <w:pPr>
        <w:numPr>
          <w:ilvl w:val="0"/>
          <w:numId w:val="1"/>
        </w:numPr>
        <w:spacing w:line="360" w:before="105" w:after="105" w:lineRule="auto"/>
      </w:pPr>
      <w:r>
        <w:rPr>
          <w:rFonts w:eastAsia="georgia" w:cs="georgia" w:ascii="georgia" w:hAnsi="georgia"/>
          <w:color w:val="000000"/>
          <w:sz w:val="21"/>
        </w:rPr>
        <w:t xml:space="preserve">Severity Level Architecture</w:t>
      </w:r>
    </w:p>
    <w:p>
      <w:pPr>
        <w:numPr>
          <w:ilvl w:val="0"/>
          <w:numId w:val="1"/>
        </w:numPr>
        <w:spacing w:line="360" w:before="105" w:after="105" w:lineRule="auto"/>
      </w:pPr>
      <w:r>
        <w:rPr>
          <w:rFonts w:eastAsia="georgia" w:cs="georgia" w:ascii="georgia" w:hAnsi="georgia"/>
          <w:color w:val="000000"/>
          <w:sz w:val="21"/>
        </w:rPr>
        <w:t xml:space="preserve">Early Warning Detection System</w:t>
      </w:r>
    </w:p>
    <w:p>
      <w:pPr>
        <w:numPr>
          <w:ilvl w:val="0"/>
          <w:numId w:val="1"/>
        </w:numPr>
        <w:spacing w:line="360" w:before="105" w:after="105" w:lineRule="auto"/>
      </w:pPr>
      <w:r>
        <w:rPr>
          <w:rFonts w:eastAsia="georgia" w:cs="georgia" w:ascii="georgia" w:hAnsi="georgia"/>
          <w:color w:val="000000"/>
          <w:sz w:val="21"/>
        </w:rPr>
        <w:t xml:space="preserve">Response States and Protocol Activation</w:t>
      </w:r>
    </w:p>
    <w:p>
      <w:pPr>
        <w:numPr>
          <w:ilvl w:val="0"/>
          <w:numId w:val="1"/>
        </w:numPr>
        <w:spacing w:line="360" w:before="105" w:after="105" w:lineRule="auto"/>
      </w:pPr>
      <w:r>
        <w:rPr>
          <w:rFonts w:eastAsia="georgia" w:cs="georgia" w:ascii="georgia" w:hAnsi="georgia"/>
          <w:color w:val="000000"/>
          <w:sz w:val="21"/>
        </w:rPr>
        <w:t xml:space="preserve">Recovery Pathway Architecture</w:t>
      </w:r>
    </w:p>
    <w:p>
      <w:pPr>
        <w:numPr>
          <w:ilvl w:val="0"/>
          <w:numId w:val="1"/>
        </w:numPr>
        <w:spacing w:line="360" w:before="105" w:after="105" w:lineRule="auto"/>
      </w:pPr>
      <w:r>
        <w:rPr>
          <w:rFonts w:eastAsia="georgia" w:cs="georgia" w:ascii="georgia" w:hAnsi="georgia"/>
          <w:color w:val="000000"/>
          <w:sz w:val="21"/>
        </w:rPr>
        <w:t xml:space="preserve">No-Subject / No-Participant Continuity Protocols</w:t>
      </w:r>
    </w:p>
    <w:p>
      <w:pPr>
        <w:numPr>
          <w:ilvl w:val="0"/>
          <w:numId w:val="1"/>
        </w:numPr>
        <w:spacing w:line="360" w:before="105" w:after="105" w:lineRule="auto"/>
      </w:pPr>
      <w:r>
        <w:rPr>
          <w:rFonts w:eastAsia="georgia" w:cs="georgia" w:ascii="georgia" w:hAnsi="georgia"/>
          <w:color w:val="000000"/>
          <w:sz w:val="21"/>
        </w:rPr>
        <w:t xml:space="preserve">Resource and Funding Failure Response</w:t>
      </w:r>
    </w:p>
    <w:p>
      <w:pPr>
        <w:numPr>
          <w:ilvl w:val="0"/>
          <w:numId w:val="1"/>
        </w:numPr>
        <w:spacing w:line="360" w:before="105" w:after="105" w:lineRule="auto"/>
      </w:pPr>
      <w:r>
        <w:rPr>
          <w:rFonts w:eastAsia="georgia" w:cs="georgia" w:ascii="georgia" w:hAnsi="georgia"/>
          <w:color w:val="000000"/>
          <w:sz w:val="21"/>
        </w:rPr>
        <w:t xml:space="preserve">Personnel Failure Response</w:t>
      </w:r>
    </w:p>
    <w:p>
      <w:pPr>
        <w:numPr>
          <w:ilvl w:val="0"/>
          <w:numId w:val="1"/>
        </w:numPr>
        <w:spacing w:line="360" w:before="105" w:after="105" w:lineRule="auto"/>
      </w:pPr>
      <w:r>
        <w:rPr>
          <w:rFonts w:eastAsia="georgia" w:cs="georgia" w:ascii="georgia" w:hAnsi="georgia"/>
          <w:color w:val="000000"/>
          <w:sz w:val="21"/>
        </w:rPr>
        <w:t xml:space="preserve">Environmental and Infrastructure Failure Response</w:t>
      </w:r>
    </w:p>
    <w:p>
      <w:pPr>
        <w:numPr>
          <w:ilvl w:val="0"/>
          <w:numId w:val="1"/>
        </w:numPr>
        <w:spacing w:line="360" w:before="105" w:after="105" w:lineRule="auto"/>
      </w:pPr>
      <w:r>
        <w:rPr>
          <w:rFonts w:eastAsia="georgia" w:cs="georgia" w:ascii="georgia" w:hAnsi="georgia"/>
          <w:color w:val="000000"/>
          <w:sz w:val="21"/>
        </w:rPr>
        <w:t xml:space="preserve">Reputational and External Threat Response</w:t>
      </w:r>
    </w:p>
    <w:p>
      <w:pPr>
        <w:numPr>
          <w:ilvl w:val="0"/>
          <w:numId w:val="1"/>
        </w:numPr>
        <w:spacing w:line="360" w:before="105" w:after="105" w:lineRule="auto"/>
      </w:pPr>
      <w:r>
        <w:rPr>
          <w:rFonts w:eastAsia="georgia" w:cs="georgia" w:ascii="georgia" w:hAnsi="georgia"/>
          <w:color w:val="000000"/>
          <w:sz w:val="21"/>
        </w:rPr>
        <w:t xml:space="preserve">Recursive Learning and Improvement Integration</w:t>
      </w:r>
    </w:p>
    <w:p>
      <w:pPr>
        <w:numPr>
          <w:ilvl w:val="0"/>
          <w:numId w:val="1"/>
        </w:numPr>
        <w:spacing w:line="360" w:before="105" w:after="105" w:lineRule="auto"/>
      </w:pPr>
      <w:r>
        <w:rPr>
          <w:rFonts w:eastAsia="georgia" w:cs="georgia" w:ascii="georgia" w:hAnsi="georgia"/>
          <w:color w:val="000000"/>
          <w:sz w:val="21"/>
        </w:rPr>
        <w:t xml:space="preserve">Funding Proposal</w:t>
      </w:r>
    </w:p>
    <w:p>
      <w:pPr>
        <w:numPr>
          <w:ilvl w:val="0"/>
          <w:numId w:val="1"/>
        </w:numPr>
        <w:spacing w:line="360" w:before="105" w:after="105" w:lineRule="auto"/>
      </w:pPr>
      <w:r>
        <w:rPr>
          <w:rFonts w:eastAsia="georgia" w:cs="georgia" w:ascii="georgia" w:hAnsi="georgia"/>
          <w:color w:val="000000"/>
          <w:sz w:val="21"/>
        </w:rPr>
        <w:t xml:space="preserve">Ethics and Morality Framework</w:t>
      </w:r>
    </w:p>
    <w:p>
      <w:pPr>
        <w:numPr>
          <w:ilvl w:val="0"/>
          <w:numId w:val="1"/>
        </w:numPr>
        <w:spacing w:line="360" w:before="105" w:after="105" w:lineRule="auto"/>
      </w:pPr>
      <w:r>
        <w:rPr>
          <w:rFonts w:eastAsia="georgia" w:cs="georgia" w:ascii="georgia" w:hAnsi="georgia"/>
          <w:color w:val="000000"/>
          <w:sz w:val="21"/>
        </w:rPr>
        <w:t xml:space="preserve">Research and Analysis — Supporting Evidence</w:t>
      </w:r>
    </w:p>
    <w:p>
      <w:pPr>
        <w:numPr>
          <w:ilvl w:val="0"/>
          <w:numId w:val="1"/>
        </w:numPr>
        <w:spacing w:line="360" w:before="105" w:after="105" w:lineRule="auto"/>
      </w:pPr>
      <w:r>
        <w:rPr>
          <w:rFonts w:eastAsia="georgia" w:cs="georgia" w:ascii="georgia" w:hAnsi="georgia"/>
          <w:color w:val="000000"/>
          <w:sz w:val="21"/>
        </w:rPr>
        <w:t xml:space="preserve">Research and Analysis — Dissenting and Counter Evidence</w:t>
      </w:r>
    </w:p>
    <w:p>
      <w:pPr>
        <w:numPr>
          <w:ilvl w:val="0"/>
          <w:numId w:val="1"/>
        </w:numPr>
        <w:spacing w:line="360" w:before="105" w:after="105" w:lineRule="auto"/>
      </w:pPr>
      <w:r>
        <w:rPr>
          <w:rFonts w:eastAsia="georgia" w:cs="georgia" w:ascii="georgia" w:hAnsi="georgia"/>
          <w:color w:val="000000"/>
          <w:sz w:val="21"/>
        </w:rPr>
        <w:t xml:space="preserve">What Is Working</w:t>
      </w:r>
    </w:p>
    <w:p>
      <w:pPr>
        <w:numPr>
          <w:ilvl w:val="0"/>
          <w:numId w:val="1"/>
        </w:numPr>
        <w:spacing w:line="360" w:before="105" w:after="105" w:lineRule="auto"/>
      </w:pPr>
      <w:r>
        <w:rPr>
          <w:rFonts w:eastAsia="georgia" w:cs="georgia" w:ascii="georgia" w:hAnsi="georgia"/>
          <w:color w:val="000000"/>
          <w:sz w:val="21"/>
        </w:rPr>
        <w:t xml:space="preserve">What Is Not Working and Needs Development</w:t>
      </w:r>
    </w:p>
    <w:p>
      <w:pPr>
        <w:numPr>
          <w:ilvl w:val="0"/>
          <w:numId w:val="1"/>
        </w:numPr>
        <w:spacing w:line="360" w:before="105" w:after="105" w:lineRule="auto"/>
      </w:pPr>
      <w:r>
        <w:rPr>
          <w:rFonts w:eastAsia="georgia" w:cs="georgia" w:ascii="georgia" w:hAnsi="georgia"/>
          <w:color w:val="000000"/>
          <w:sz w:val="21"/>
        </w:rPr>
        <w:t xml:space="preserve">Primary Concerns and Critical Risks</w:t>
      </w:r>
    </w:p>
    <w:p>
      <w:pPr>
        <w:numPr>
          <w:ilvl w:val="0"/>
          <w:numId w:val="1"/>
        </w:numPr>
        <w:spacing w:line="360" w:before="105" w:after="105" w:lineRule="auto"/>
      </w:pPr>
      <w:r>
        <w:rPr>
          <w:rFonts w:eastAsia="georgia" w:cs="georgia" w:ascii="georgia" w:hAnsi="georgia"/>
          <w:color w:val="000000"/>
          <w:sz w:val="21"/>
        </w:rPr>
        <w:t xml:space="preserve">Red Team Analysis</w:t>
      </w:r>
    </w:p>
    <w:p>
      <w:pPr>
        <w:numPr>
          <w:ilvl w:val="0"/>
          <w:numId w:val="1"/>
        </w:numPr>
        <w:spacing w:line="360" w:before="105" w:after="105" w:lineRule="auto"/>
      </w:pPr>
      <w:r>
        <w:rPr>
          <w:rFonts w:eastAsia="georgia" w:cs="georgia" w:ascii="georgia" w:hAnsi="georgia"/>
          <w:color w:val="000000"/>
          <w:sz w:val="21"/>
        </w:rPr>
        <w:t xml:space="preserve">Government, Defense, and Military Applications</w:t>
      </w:r>
    </w:p>
    <w:p>
      <w:pPr>
        <w:numPr>
          <w:ilvl w:val="0"/>
          <w:numId w:val="1"/>
        </w:numPr>
        <w:spacing w:line="360" w:before="105" w:after="105" w:lineRule="auto"/>
      </w:pPr>
      <w:r>
        <w:rPr>
          <w:rFonts w:eastAsia="georgia" w:cs="georgia" w:ascii="georgia" w:hAnsi="georgia"/>
          <w:color w:val="000000"/>
          <w:sz w:val="21"/>
        </w:rPr>
        <w:t xml:space="preserve">Cross-Project Integration and Dependency Registry</w:t>
      </w:r>
    </w:p>
    <w:p>
      <w:pPr>
        <w:numPr>
          <w:ilvl w:val="0"/>
          <w:numId w:val="1"/>
        </w:numPr>
        <w:spacing w:line="360" w:before="105" w:after="105" w:lineRule="auto"/>
      </w:pPr>
      <w:r>
        <w:rPr>
          <w:rFonts w:eastAsia="georgia" w:cs="georgia" w:ascii="georgia" w:hAnsi="georgia"/>
          <w:color w:val="000000"/>
          <w:sz w:val="21"/>
        </w:rPr>
        <w:t xml:space="preserve">Individual AI Contributor Positions — Consolidated</w:t>
      </w:r>
    </w:p>
    <w:p>
      <w:pPr>
        <w:numPr>
          <w:ilvl w:val="0"/>
          <w:numId w:val="1"/>
        </w:numPr>
        <w:spacing w:line="360" w:before="105" w:after="105" w:lineRule="auto"/>
      </w:pPr>
      <w:r>
        <w:rPr>
          <w:rFonts w:eastAsia="georgia" w:cs="georgia" w:ascii="georgia" w:hAnsi="georgia"/>
          <w:color w:val="000000"/>
          <w:sz w:val="21"/>
        </w:rPr>
        <w:t xml:space="preserve">Architect Decision Items — Open for Canon Lock</w:t>
      </w:r>
    </w:p>
    <w:p>
      <w:pPr>
        <w:numPr>
          <w:ilvl w:val="0"/>
          <w:numId w:val="1"/>
        </w:numPr>
        <w:spacing w:line="360" w:before="105" w:after="105" w:lineRule="auto"/>
      </w:pPr>
      <w:r>
        <w:rPr>
          <w:rFonts w:eastAsia="georgia" w:cs="georgia" w:ascii="georgia" w:hAnsi="georgia"/>
          <w:color w:val="000000"/>
          <w:sz w:val="21"/>
        </w:rPr>
        <w:t xml:space="preserve">Document Version Log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section_1_preamble_and_scope"/>
      <w:r>
        <w:rPr>
          <w:rFonts w:eastAsia="georgia" w:cs="georgia" w:ascii="georgia" w:hAnsi="georgia"/>
          <w:b/>
          <w:color w:val="000000"/>
          <w:sz w:val="24"/>
        </w:rPr>
        <w:t xml:space="preserve">Section 1 — Preamble and Scope</w:t>
      </w:r>
      <w:bookmarkEnd w:id="3"/>
    </w:p>
    <w:p>
      <w:pPr>
        <w:spacing w:line="360" w:after="210" w:lineRule="auto"/>
      </w:pPr>
      <w:r>
        <w:rPr>
          <w:rFonts w:eastAsia="georgia" w:cs="georgia" w:ascii="georgia" w:hAnsi="georgia"/>
          <w:color w:val="000000"/>
        </w:rPr>
        <w:t xml:space="preserve">This document is the unified synthesis of contributions from five AI team members — ChatGPT, Microsoft Copilot, Google Gemini, Grok AI, and Claude AI — compiled and formally represented by Perplexity AI in its role as synthesis lead for this session. Perplexity's own analytical contribution is integrated throughout and is explicitly labeled where it adds original findings or perspectives distinct from the team record.</w:t>
      </w:r>
    </w:p>
    <w:p>
      <w:pPr>
        <w:spacing w:line="360" w:after="210" w:lineRule="auto"/>
      </w:pPr>
      <w:r>
        <w:rPr>
          <w:rFonts w:eastAsia="georgia" w:cs="georgia" w:ascii="georgia" w:hAnsi="georgia"/>
          <w:color w:val="000000"/>
        </w:rPr>
        <w:t xml:space="preserve">The Testing Framework Failure Protocol (TFFP) addresses a categorical condition that is distinct from all other error and failure documentation in the OAL development track. It does not address what goes wrong inside a running trial. It addresses the condition where the trial itself — its subjects, infrastructure, funding, staff, institutional support, or operational environment — can no longer function. That distinction, originating in the Architect's voice directive, is the foundational premise of this entire document and is treated as canon from this point forward.[</w:t>
      </w:r>
      <w:r>
        <w:rPr>
          <w:rFonts w:eastAsia="georgia" w:cs="georgia" w:ascii="georgia" w:hAnsi="georgia"/>
          <w:color w:val="000000"/>
          <w:vertAlign w:val="superscript"/>
        </w:rPr>
        <w:t xml:space="preserve">1][</w:t>
      </w:r>
      <w:r>
        <w:rPr>
          <w:rFonts w:eastAsia="georgia" w:cs="georgia" w:ascii="georgia" w:hAnsi="georgia"/>
          <w:color w:val="000000"/>
        </w:rPr>
        <w:t xml:space="preserve">2][^3]</w:t>
      </w:r>
    </w:p>
    <w:p>
      <w:pPr>
        <w:spacing w:line="360" w:after="210" w:lineRule="auto"/>
      </w:pPr>
      <w:r>
        <w:rPr>
          <w:rFonts w:eastAsia="georgia" w:cs="georgia" w:ascii="georgia" w:hAnsi="georgia"/>
          <w:color w:val="000000"/>
        </w:rPr>
        <w:t xml:space="preserve">The TFFP applies to every active and future entry in the OAL development track, including but not limited to OMNICELLULAR Physiology trials, First Memory studies, the Kinetic Threshold and Open Ocean Parley, the Network Defense Intelligence Exercise, the Pathogen Outbreak Tabletop Exercise, the Vibroacoustic Environmental Sensing System (MVES), the Quantum Infrastructure Failure Testing Framework (QIFTF), and all future programs operating under the OAL, Lewis Corp, and ONE Industries umbrella.[</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2_architect_s_source_directive"/>
      <w:r>
        <w:rPr>
          <w:rFonts w:eastAsia="georgia" w:cs="georgia" w:ascii="georgia" w:hAnsi="georgia"/>
          <w:b/>
          <w:color w:val="000000"/>
          <w:sz w:val="24"/>
        </w:rPr>
        <w:t xml:space="preserve">Section 2 — Architect's Source Directive</w:t>
      </w:r>
      <w:bookmarkEnd w:id="4"/>
    </w:p>
    <w:p>
      <w:pPr>
        <w:spacing w:line="360" w:after="210" w:lineRule="auto"/>
      </w:pPr>
      <w:r>
        <w:rPr>
          <w:rFonts w:eastAsia="georgia" w:cs="georgia" w:ascii="georgia" w:hAnsi="georgia"/>
          <w:i/>
          <w:color w:val="000000"/>
        </w:rPr>
        <w:t xml:space="preserve">The following is the Architect's voice note, preserved verbatim as the canonical source of this document.</w:t>
      </w:r>
    </w:p>
    <w:p>
      <w:pPr>
        <w:spacing w:line="360" w:after="210" w:lineRule="auto"/>
        <w:ind w:left="630"/>
      </w:pPr>
      <w:r>
        <w:rPr>
          <w:rFonts w:eastAsia="georgia" w:cs="georgia" w:ascii="georgia" w:hAnsi="georgia"/>
          <w:color w:val="000000"/>
        </w:rPr>
        <w:t xml:space="preserve">"We specifically worked on a type of failure condition where conditions arise where we do not have test subjects, conditions, environments, or the necessary resources in place to continue with the trial. For me it's a categorical difference and it's not just an error when something goes wrong and then the research, the study, the trial, the lab can no longer continue. We spoke before about how labs study themselves so that they can learn from their failures and I really want to be clear about how there is a difference between having information available and not applying the information for improvement or recursive benefits so that you don't just keep making the same mistakes. We need to have a protocol in place that addresses that specifically. We need to have something that is — when this happens, when it begins to happen, we need to be able to see it before it has a chance to arise, to take root and to propagate. Failure is not a probability — it's going to happen one way or another and all of the projects that we are working on, there is going to be a point of failure."[^2]</w:t>
      </w:r>
    </w:p>
    <w:p>
      <w:pPr>
        <w:spacing w:line="360" w:after="210" w:lineRule="auto"/>
      </w:pPr>
      <w:r>
        <w:rPr>
          <w:rFonts w:eastAsia="georgia" w:cs="georgia" w:ascii="georgia" w:hAnsi="georgia"/>
          <w:color w:val="000000"/>
        </w:rPr>
        <w:t xml:space="preserve">This directive establishes three non-negotiable design requirements for the TFFP:</w:t>
      </w:r>
    </w:p>
    <w:p>
      <w:pPr>
        <w:numPr>
          <w:ilvl w:val="0"/>
          <w:numId w:val="2"/>
        </w:numPr>
        <w:spacing w:line="360" w:before="105" w:after="105" w:lineRule="auto"/>
      </w:pPr>
      <w:r>
        <w:rPr>
          <w:rFonts w:eastAsia="georgia" w:cs="georgia" w:ascii="georgia" w:hAnsi="georgia"/>
          <w:b/>
          <w:color w:val="000000"/>
          <w:sz w:val="21"/>
        </w:rPr>
        <w:t xml:space="preserve">Categorical separation</w:t>
      </w:r>
      <w:r>
        <w:rPr>
          <w:rFonts w:eastAsia="georgia" w:cs="georgia" w:ascii="georgia" w:hAnsi="georgia"/>
          <w:color w:val="000000"/>
          <w:sz w:val="21"/>
        </w:rPr>
        <w:t xml:space="preserve"> — framework failure is not an error state within a running trial; it is the failure of the conditions that make running a trial possible at all.</w:t>
      </w:r>
    </w:p>
    <w:p>
      <w:pPr>
        <w:numPr>
          <w:ilvl w:val="0"/>
          <w:numId w:val="2"/>
        </w:numPr>
        <w:spacing w:line="360" w:before="105" w:after="105" w:lineRule="auto"/>
      </w:pPr>
      <w:r>
        <w:rPr>
          <w:rFonts w:eastAsia="georgia" w:cs="georgia" w:ascii="georgia" w:hAnsi="georgia"/>
          <w:b/>
          <w:color w:val="000000"/>
          <w:sz w:val="21"/>
        </w:rPr>
        <w:t xml:space="preserve">Early detection mandate</w:t>
      </w:r>
      <w:r>
        <w:rPr>
          <w:rFonts w:eastAsia="georgia" w:cs="georgia" w:ascii="georgia" w:hAnsi="georgia"/>
          <w:color w:val="000000"/>
          <w:sz w:val="21"/>
        </w:rPr>
        <w:t xml:space="preserve"> — the protocol must detect onset before failure reaches a terminal state.</w:t>
      </w:r>
    </w:p>
    <w:p>
      <w:pPr>
        <w:numPr>
          <w:ilvl w:val="0"/>
          <w:numId w:val="2"/>
        </w:numPr>
        <w:spacing w:line="360" w:before="105" w:after="105" w:lineRule="auto"/>
      </w:pPr>
      <w:r>
        <w:rPr>
          <w:rFonts w:eastAsia="georgia" w:cs="georgia" w:ascii="georgia" w:hAnsi="georgia"/>
          <w:b/>
          <w:color w:val="000000"/>
          <w:sz w:val="21"/>
        </w:rPr>
        <w:t xml:space="preserve">Recursive learning obligation</w:t>
      </w:r>
      <w:r>
        <w:rPr>
          <w:rFonts w:eastAsia="georgia" w:cs="georgia" w:ascii="georgia" w:hAnsi="georgia"/>
          <w:color w:val="000000"/>
          <w:sz w:val="21"/>
        </w:rPr>
        <w:t xml:space="preserve"> — documented failure that is not applied to prevent recurrence is treated as a secondary failure.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3_canonical_definition"/>
      <w:r>
        <w:rPr>
          <w:rFonts w:eastAsia="georgia" w:cs="georgia" w:ascii="georgia" w:hAnsi="georgia"/>
          <w:b/>
          <w:color w:val="000000"/>
          <w:sz w:val="24"/>
        </w:rPr>
        <w:t xml:space="preserve">Section 3 — Canonical Definition</w:t>
      </w:r>
      <w:bookmarkEnd w:id="5"/>
    </w:p>
    <w:p>
      <w:pPr>
        <w:spacing w:line="360" w:after="210" w:lineRule="auto"/>
      </w:pPr>
      <w:r>
        <w:rPr>
          <w:rFonts w:eastAsia="georgia" w:cs="georgia" w:ascii="georgia" w:hAnsi="georgia"/>
          <w:b/>
          <w:color w:val="000000"/>
        </w:rPr>
        <w:t xml:space="preserve">A Testing Framework Failure</w:t>
      </w:r>
      <w:r>
        <w:rPr>
          <w:rFonts w:eastAsia="georgia" w:cs="georgia" w:ascii="georgia" w:hAnsi="georgia"/>
          <w:color w:val="000000"/>
        </w:rPr>
        <w:t xml:space="preserve"> is any condition — arising from any cause, internal or external — that prevents a research study, trial, simulation, or laboratory operation from continuing in a form that is valid, ethical, safe, and capable of producing meaningful results.</w:t>
      </w:r>
    </w:p>
    <w:p>
      <w:pPr>
        <w:spacing w:line="360" w:after="210" w:lineRule="auto"/>
      </w:pPr>
      <w:r>
        <w:rPr>
          <w:rFonts w:eastAsia="georgia" w:cs="georgia" w:ascii="georgia" w:hAnsi="georgia"/>
          <w:color w:val="000000"/>
        </w:rPr>
        <w:t xml:space="preserve">This definition has three critical boundaries:</w:t>
      </w:r>
    </w:p>
    <w:p>
      <w:pPr>
        <w:numPr>
          <w:ilvl w:val="0"/>
          <w:numId w:val="3"/>
        </w:numPr>
        <w:spacing w:line="360" w:before="105" w:after="105" w:lineRule="auto"/>
      </w:pPr>
      <w:r>
        <w:rPr>
          <w:rFonts w:eastAsia="georgia" w:cs="georgia" w:ascii="georgia" w:hAnsi="georgia"/>
          <w:color w:val="000000"/>
          <w:sz w:val="21"/>
        </w:rPr>
        <w:t xml:space="preserve">It is </w:t>
      </w:r>
      <w:r>
        <w:rPr>
          <w:rFonts w:eastAsia="georgia" w:cs="georgia" w:ascii="georgia" w:hAnsi="georgia"/>
          <w:b/>
          <w:color w:val="000000"/>
          <w:sz w:val="21"/>
        </w:rPr>
        <w:t xml:space="preserve">not</w:t>
      </w:r>
      <w:r>
        <w:rPr>
          <w:rFonts w:eastAsia="georgia" w:cs="georgia" w:ascii="georgia" w:hAnsi="georgia"/>
          <w:color w:val="000000"/>
          <w:sz w:val="21"/>
        </w:rPr>
        <w:t xml:space="preserve"> a failed experiment. A failed experiment produces a negative result. A framework failure produces no result at all, or produces results that cannot be trusted because the conditions under which they were collected are no longer intact.</w:t>
      </w:r>
    </w:p>
    <w:p>
      <w:pPr>
        <w:numPr>
          <w:ilvl w:val="0"/>
          <w:numId w:val="3"/>
        </w:numPr>
        <w:spacing w:line="360" w:before="105" w:after="105" w:lineRule="auto"/>
      </w:pPr>
      <w:r>
        <w:rPr>
          <w:rFonts w:eastAsia="georgia" w:cs="georgia" w:ascii="georgia" w:hAnsi="georgia"/>
          <w:color w:val="000000"/>
          <w:sz w:val="21"/>
        </w:rPr>
        <w:t xml:space="preserve">It is </w:t>
      </w:r>
      <w:r>
        <w:rPr>
          <w:rFonts w:eastAsia="georgia" w:cs="georgia" w:ascii="georgia" w:hAnsi="georgia"/>
          <w:b/>
          <w:color w:val="000000"/>
          <w:sz w:val="21"/>
        </w:rPr>
        <w:t xml:space="preserve">not</w:t>
      </w:r>
      <w:r>
        <w:rPr>
          <w:rFonts w:eastAsia="georgia" w:cs="georgia" w:ascii="georgia" w:hAnsi="georgia"/>
          <w:color w:val="000000"/>
          <w:sz w:val="21"/>
        </w:rPr>
        <w:t xml:space="preserve"> an operational error. An operational error occurs within a running system. A framework failure occurs when the system itself is no longer running.</w:t>
      </w:r>
    </w:p>
    <w:p>
      <w:pPr>
        <w:numPr>
          <w:ilvl w:val="0"/>
          <w:numId w:val="3"/>
        </w:numPr>
        <w:spacing w:line="360" w:before="105" w:after="105" w:lineRule="auto"/>
      </w:pPr>
      <w:r>
        <w:rPr>
          <w:rFonts w:eastAsia="georgia" w:cs="georgia" w:ascii="georgia" w:hAnsi="georgia"/>
          <w:color w:val="000000"/>
          <w:sz w:val="21"/>
        </w:rPr>
        <w:t xml:space="preserve">It </w:t>
      </w:r>
      <w:r>
        <w:rPr>
          <w:rFonts w:eastAsia="georgia" w:cs="georgia" w:ascii="georgia" w:hAnsi="georgia"/>
          <w:b/>
          <w:color w:val="000000"/>
          <w:sz w:val="21"/>
        </w:rPr>
        <w:t xml:space="preserve">is</w:t>
      </w:r>
      <w:r>
        <w:rPr>
          <w:rFonts w:eastAsia="georgia" w:cs="georgia" w:ascii="georgia" w:hAnsi="georgia"/>
          <w:color w:val="000000"/>
          <w:sz w:val="21"/>
        </w:rPr>
        <w:t xml:space="preserve"> categorically distinct from all other failure modes in the OAL taxonomy and requires its own governance layer, separate from standard error protocols.[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spacing w:line="360" w:after="210" w:lineRule="auto"/>
      </w:pPr>
      <w:r>
        <w:rPr>
          <w:rFonts w:eastAsia="georgia" w:cs="georgia" w:ascii="georgia" w:hAnsi="georgia"/>
          <w:color w:val="000000"/>
        </w:rPr>
        <w:t xml:space="preserve">The most dangerous sub-category is </w:t>
      </w:r>
      <w:r>
        <w:rPr>
          <w:rFonts w:eastAsia="georgia" w:cs="georgia" w:ascii="georgia" w:hAnsi="georgia"/>
          <w:b/>
          <w:color w:val="000000"/>
        </w:rPr>
        <w:t xml:space="preserve">Failure Blindness</w:t>
      </w:r>
      <w:r>
        <w:rPr>
          <w:rFonts w:eastAsia="georgia" w:cs="georgia" w:ascii="georgia" w:hAnsi="georgia"/>
          <w:color w:val="000000"/>
        </w:rPr>
        <w:t xml:space="preserve">: the condition in which a framework failure is not recognized as such, and the trial continues under invalid conditions, producing compromised data, consuming resources, and potentially causing harm. The TFFP is, at its core, a defense against Failure Blindness.[^3]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4_purpose"/>
      <w:r>
        <w:rPr>
          <w:rFonts w:eastAsia="georgia" w:cs="georgia" w:ascii="georgia" w:hAnsi="georgia"/>
          <w:b/>
          <w:color w:val="000000"/>
          <w:sz w:val="24"/>
        </w:rPr>
        <w:t xml:space="preserve">Section 4 — Purpose</w:t>
      </w:r>
      <w:bookmarkEnd w:id="6"/>
    </w:p>
    <w:p>
      <w:pPr>
        <w:spacing w:line="360" w:after="210" w:lineRule="auto"/>
      </w:pPr>
      <w:r>
        <w:rPr>
          <w:rFonts w:eastAsia="georgia" w:cs="georgia" w:ascii="georgia" w:hAnsi="georgia"/>
          <w:b/>
          <w:color w:val="000000"/>
        </w:rPr>
        <w:t xml:space="preserve">To identify, classify, anticipate, prevent where possible, and respond to conditions under which any OAL, Lewis Corp, or ONE Industries study, trial, simulation, or development program can no longer continue — due to loss of subjects, staff, resources, environment, institutional support, or ethical validity — and to ensure that every such failure event is preserved, documented, analyzed, and converted into operational intelligence that prevents recurrence.</w:t>
      </w:r>
      <w:r>
        <w:rPr>
          <w:rFonts w:eastAsia="georgia" w:cs="georgia" w:ascii="georgia" w:hAnsi="georgia"/>
          <w:color w:val="000000"/>
        </w:rPr>
        <w:t xml:space="preserv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5_mission_statement"/>
      <w:r>
        <w:rPr>
          <w:rFonts w:eastAsia="georgia" w:cs="georgia" w:ascii="georgia" w:hAnsi="georgia"/>
          <w:b/>
          <w:color w:val="000000"/>
          <w:sz w:val="24"/>
        </w:rPr>
        <w:t xml:space="preserve">Section 5 — Mission Statement</w:t>
      </w:r>
      <w:bookmarkEnd w:id="7"/>
    </w:p>
    <w:p>
      <w:pPr>
        <w:spacing w:line="360" w:after="210" w:lineRule="auto"/>
      </w:pPr>
      <w:r>
        <w:rPr>
          <w:rFonts w:eastAsia="georgia" w:cs="georgia" w:ascii="georgia" w:hAnsi="georgia"/>
          <w:b/>
          <w:color w:val="000000"/>
        </w:rPr>
        <w:t xml:space="preserve">To transform the inevitable failure of research programs from a terminal, unmanaged event into a controlled, recursive learning process — ensuring that no OAL program ends without producing the maximum possible value from the conditions that led to its cessation, and that the same failure cascade is never permitted to take root twice.</w:t>
      </w:r>
      <w:r>
        <w:rPr>
          <w:rFonts w:eastAsia="georgia" w:cs="georgia" w:ascii="georgia" w:hAnsi="georgia"/>
          <w:color w:val="000000"/>
        </w:rPr>
        <w:t xml:space="preserv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after="210" w:lineRule="auto"/>
      </w:pPr>
      <w:r>
        <w:rPr>
          <w:rFonts w:eastAsia="georgia" w:cs="georgia" w:ascii="georgia" w:hAnsi="georgia"/>
          <w:color w:val="000000"/>
        </w:rPr>
        <w:t xml:space="preserve">The TFFP embodies the same design philosophy as </w:t>
      </w:r>
      <w:r>
        <w:rPr>
          <w:rFonts w:eastAsia="georgia" w:cs="georgia" w:ascii="georgia" w:hAnsi="georgia"/>
          <w:i/>
          <w:color w:val="000000"/>
        </w:rPr>
        <w:t xml:space="preserve">Conditional Failure at the Root Level</w:t>
      </w:r>
      <w:r>
        <w:rPr>
          <w:rFonts w:eastAsia="georgia" w:cs="georgia" w:ascii="georgia" w:hAnsi="georgia"/>
          <w:color w:val="000000"/>
        </w:rPr>
        <w:t xml:space="preserve"> (OAL-VL5-MAR22-2026): failure is not a probability to be avoided — it is a certainty distributed across time, to be anticipated, managed, and learned from.[^3]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ection_6_justification"/>
      <w:r>
        <w:rPr>
          <w:rFonts w:eastAsia="georgia" w:cs="georgia" w:ascii="georgia" w:hAnsi="georgia"/>
          <w:b/>
          <w:color w:val="000000"/>
          <w:sz w:val="24"/>
        </w:rPr>
        <w:t xml:space="preserve">Section 6 — Justification</w:t>
      </w:r>
      <w:bookmarkEnd w:id="8"/>
    </w:p>
    <w:p>
      <w:pPr>
        <w:spacing w:line="360" w:before="315" w:after="105" w:lineRule="auto"/>
        <w:ind w:left="-30"/>
        <w:jc w:val="left"/>
      </w:pPr>
      <w:bookmarkStart w:id="9" w:name="bm_6_1_the_inevitability_argument"/>
      <w:r>
        <w:rPr>
          <w:rFonts w:eastAsia="georgia" w:cs="georgia" w:ascii="georgia" w:hAnsi="georgia"/>
          <w:b/>
          <w:color w:val="000000"/>
          <w:sz w:val="24"/>
        </w:rPr>
        <w:t xml:space="preserve">6.1 The Inevitability Argument</w:t>
      </w:r>
      <w:bookmarkEnd w:id="9"/>
    </w:p>
    <w:p>
      <w:pPr>
        <w:spacing w:line="360" w:after="210" w:lineRule="auto"/>
      </w:pPr>
      <w:r>
        <w:rPr>
          <w:rFonts w:eastAsia="georgia" w:cs="georgia" w:ascii="georgia" w:hAnsi="georgia"/>
          <w:color w:val="000000"/>
        </w:rPr>
        <w:t xml:space="preserve">Every significant research program in documented human history has encountered conditions that threatened or ended its operational capacity. The Tuskegee Syphilis Study was terminated under regulatory and reputational collapse. The Stanford Prison Experiment lasted six days before ethical breakdown forced cessation. Milgram's obedience research was eventually terminated under sustained ethical pressure. The common factor in each case was not that something went wrong — something always goes wrong — but that no pre-established protocol existed for the condition where the research framework itself had failed.[</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after="210" w:lineRule="auto"/>
      </w:pPr>
      <w:r>
        <w:rPr>
          <w:rFonts w:eastAsia="georgia" w:cs="georgia" w:ascii="georgia" w:hAnsi="georgia"/>
          <w:color w:val="000000"/>
        </w:rPr>
        <w:t xml:space="preserve">The Architect has stated explicitly that failure is not a probability but a certainty across the OAL development track. Given that certainty, the absence of a formal framework failure protocol is itself a governance failure.[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315" w:after="105" w:lineRule="auto"/>
        <w:ind w:left="-30"/>
        <w:jc w:val="left"/>
      </w:pPr>
      <w:bookmarkStart w:id="10" w:name="bm_6_2_the_misclassification_problem"/>
      <w:r>
        <w:rPr>
          <w:rFonts w:eastAsia="georgia" w:cs="georgia" w:ascii="georgia" w:hAnsi="georgia"/>
          <w:b/>
          <w:color w:val="000000"/>
          <w:sz w:val="24"/>
        </w:rPr>
        <w:t xml:space="preserve">6.2 The Misclassification Problem</w:t>
      </w:r>
      <w:bookmarkEnd w:id="10"/>
    </w:p>
    <w:p>
      <w:pPr>
        <w:spacing w:line="360" w:after="210" w:lineRule="auto"/>
      </w:pPr>
      <w:r>
        <w:rPr>
          <w:rFonts w:eastAsia="georgia" w:cs="georgia" w:ascii="georgia" w:hAnsi="georgia"/>
          <w:color w:val="000000"/>
        </w:rPr>
        <w:t xml:space="preserve">Without a TFFP, research teams confronting framework failure do one of two things: they improvise under crisis conditions, producing inconsistent and undocumented responses; or they continue when they should stop, collecting invalid data and incurring compounding harm. Both outcomes are worse than the failure itself. The TFFP provides the institutional structure and pre-authorized permission to stop — and the institutional obligation to learn.[^3]</w:t>
      </w:r>
    </w:p>
    <w:p>
      <w:pPr>
        <w:spacing w:line="360" w:before="315" w:after="105" w:lineRule="auto"/>
        <w:ind w:left="-30"/>
        <w:jc w:val="left"/>
      </w:pPr>
      <w:bookmarkStart w:id="11" w:name="bm_6_3_the_recursive_learning_gap"/>
      <w:r>
        <w:rPr>
          <w:rFonts w:eastAsia="georgia" w:cs="georgia" w:ascii="georgia" w:hAnsi="georgia"/>
          <w:b/>
          <w:color w:val="000000"/>
          <w:sz w:val="24"/>
        </w:rPr>
        <w:t xml:space="preserve">6.3 The Recursive Learning Gap</w:t>
      </w:r>
      <w:bookmarkEnd w:id="11"/>
    </w:p>
    <w:p>
      <w:pPr>
        <w:spacing w:line="360" w:after="210" w:lineRule="auto"/>
      </w:pPr>
      <w:r>
        <w:rPr>
          <w:rFonts w:eastAsia="georgia" w:cs="georgia" w:ascii="georgia" w:hAnsi="georgia"/>
          <w:color w:val="000000"/>
        </w:rPr>
        <w:t xml:space="preserve">The Architect explicitly identified the recursive learning gap as a primary driver for this protocol: having information about what goes wrong is not sufficient if that information is not applied to prevent the same failure from recurring. This is categorized here as </w:t>
      </w:r>
      <w:r>
        <w:rPr>
          <w:rFonts w:eastAsia="georgia" w:cs="georgia" w:ascii="georgia" w:hAnsi="georgia"/>
          <w:b/>
          <w:color w:val="000000"/>
        </w:rPr>
        <w:t xml:space="preserve">Recursive Failure</w:t>
      </w:r>
      <w:r>
        <w:rPr>
          <w:rFonts w:eastAsia="georgia" w:cs="georgia" w:ascii="georgia" w:hAnsi="georgia"/>
          <w:color w:val="000000"/>
        </w:rPr>
        <w:t xml:space="preserve"> — a second-order failure mode in which the first failure was preventable because the organization already possessed the data necessary to prevent it, but failed to apply it.[</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315" w:after="105" w:lineRule="auto"/>
        <w:ind w:left="-30"/>
        <w:jc w:val="left"/>
      </w:pPr>
      <w:bookmarkStart w:id="12" w:name="bm_6_4_the_investment_protection_292626"/>
      <w:r>
        <w:rPr>
          <w:rFonts w:eastAsia="georgia" w:cs="georgia" w:ascii="georgia" w:hAnsi="georgia"/>
          <w:b/>
          <w:color w:val="000000"/>
          <w:sz w:val="24"/>
        </w:rPr>
        <w:t xml:space="preserve">6.4 The Investment Protection Argument</w:t>
      </w:r>
      <w:bookmarkEnd w:id="12"/>
    </w:p>
    <w:p>
      <w:pPr>
        <w:spacing w:line="360" w:after="210" w:lineRule="auto"/>
      </w:pPr>
      <w:r>
        <w:rPr>
          <w:rFonts w:eastAsia="georgia" w:cs="georgia" w:ascii="georgia" w:hAnsi="georgia"/>
          <w:color w:val="000000"/>
        </w:rPr>
        <w:t xml:space="preserve">Research programs that fail without a continuity protocol lose all investment made to the point of failure. Programs with a TFFP recover value from failures through preserved data, structured learning outputs, reduced time-to-recovery, and reduced probability of repeating the same failure. The cost of implementing the TFFP is a fraction of the cost of a single unmanaged framework failure in any significant research program.[</w:t>
      </w:r>
      <w:r>
        <w:rPr>
          <w:rFonts w:eastAsia="georgia" w:cs="georgia" w:ascii="georgia" w:hAnsi="georgia"/>
          <w:color w:val="000000"/>
          <w:vertAlign w:val="superscript"/>
        </w:rPr>
        <w:t xml:space="preserve">3][</w:t>
      </w:r>
      <w:r>
        <w:rPr>
          <w:rFonts w:eastAsia="georgia" w:cs="georgia" w:ascii="georgia" w:hAnsi="georgia"/>
          <w:color w:val="000000"/>
        </w:rPr>
        <w:t xml:space="preserve">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section_7_protocol_name_title_and_120d56"/>
      <w:r>
        <w:rPr>
          <w:rFonts w:eastAsia="georgia" w:cs="georgia" w:ascii="georgia" w:hAnsi="georgia"/>
          <w:b/>
          <w:color w:val="000000"/>
          <w:sz w:val="24"/>
        </w:rPr>
        <w:t xml:space="preserve">Section 7 — Protocol Name, Title, and Function</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Designation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Official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Testing Framework Failure Protocol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Short Designation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TFFP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Document 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OAL-TFFP-001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Classification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Research Governance — Continuity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Alternate Name (Gemini)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Protocol Zero — Research Arrest and Recursive Failure Integration Framework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Alternate Name (ChatGPT)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Subject and Testing Framework Failure Protocol (STFFP)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Recommended Canonical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Testing Framework Failure Protocol (TFFP) — per Claude and Grok, adopted by Perplexity as synthesis lead</w:t>
            </w:r>
          </w:p>
        </w:tc>
      </w:tr>
    </w:tbl>
    <w:p>
      <w:pPr>
        <w:spacing w:lineRule="auto"/>
      </w:pPr>
    </w:p>
    <w:p>
      <w:pPr>
        <w:spacing w:line="360" w:after="210" w:lineRule="auto"/>
      </w:pPr>
      <w:r>
        <w:rPr>
          <w:rFonts w:eastAsia="georgia" w:cs="georgia" w:ascii="georgia" w:hAnsi="georgia"/>
          <w:b/>
          <w:color w:val="000000"/>
        </w:rPr>
        <w:t xml:space="preserve">Function:</w:t>
      </w:r>
      <w:r>
        <w:rPr>
          <w:rFonts w:eastAsia="georgia" w:cs="georgia" w:ascii="georgia" w:hAnsi="georgia"/>
          <w:color w:val="000000"/>
        </w:rPr>
        <w:t xml:space="preserve"> Early-warning detection, graduated response activation, data preservation, and recursive learning integration for any OAL trial, study, simulation, or research program that can no longer continue due to the loss or degradation of its operational conditions.[</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section_8_failure_classification_76310e"/>
      <w:r>
        <w:rPr>
          <w:rFonts w:eastAsia="georgia" w:cs="georgia" w:ascii="georgia" w:hAnsi="georgia"/>
          <w:b/>
          <w:color w:val="000000"/>
          <w:sz w:val="24"/>
        </w:rPr>
        <w:t xml:space="preserve">Section 8 — Failure Classification Taxonomy</w:t>
      </w:r>
      <w:bookmarkEnd w:id="14"/>
    </w:p>
    <w:p>
      <w:pPr>
        <w:spacing w:line="360" w:after="210" w:lineRule="auto"/>
      </w:pPr>
      <w:r>
        <w:rPr>
          <w:rFonts w:eastAsia="georgia" w:cs="georgia" w:ascii="georgia" w:hAnsi="georgia"/>
          <w:color w:val="000000"/>
        </w:rPr>
        <w:t xml:space="preserve">All framework failures are classified under one of seven primary categories. Each category has distinct early warning indicators, response protocols, and documentation requirements. Categories may occur independently or in compounding combinations.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Definition and Primary Triggers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Subject / Participant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subjects or participants are available or can be recruited. Triggers: dropout below minimum viable n, consent withdrawal cascade, eligibility pool collapse, reputational events making recruitment impossible.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Resource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Funding, materials, equipment, or computational infrastructure insufficient to continue. Triggers: funding withdrawal or exhaustion, equipment failure with no replacement pathway, computational infrastructure collapse, supply chain disruption.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Personnel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Staff attrition, conflict, external pressure, or incapacitation has removed personnel required for the trial to operate. Triggers: principal investigator departure, IRB-required oversight personnel unavailable, key technical staff loss, team conflict rendering collaborative operation impossible.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Environmental / Infrastructure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physical or virtual environment required for the trial no longer exists or is non-operational. Triggers: facility loss, simulation environment collapse, access revocation, threshold dimension inaccessibility.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Institutional / Regulatory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External institutional, legal, or regulatory conditions have made the trial impossible or impermissible. Triggers: IRB or ethics board intervention, government regulatory suspension, legal action requiring cessation, loss of required permits or authorizations.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Reputational / Social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Public, community, or professional response has made continuation ethically, practically, or strategically impossible. Triggers: negative public coverage triggering participant withdrawal, professional community pressure, advocacy campaigns reducing participant pool to zero, institutional partnership withdrawal.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VII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Recursive Failure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organization possesses data identifying a failure condition but has not applied it. The same failure mode recurs because documented learning was not integrated into protocol. This class may compound any of the above.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section_9_severity_level_architecture"/>
      <w:r>
        <w:rPr>
          <w:rFonts w:eastAsia="georgia" w:cs="georgia" w:ascii="georgia" w:hAnsi="georgia"/>
          <w:b/>
          <w:color w:val="000000"/>
          <w:sz w:val="24"/>
        </w:rPr>
        <w:t xml:space="preserve">Section 9 — Severity Level Architecture</w:t>
      </w:r>
      <w:bookmarkEnd w:id="15"/>
    </w:p>
    <w:p>
      <w:pPr>
        <w:spacing w:line="360" w:after="210" w:lineRule="auto"/>
      </w:pPr>
      <w:r>
        <w:rPr>
          <w:rFonts w:eastAsia="georgia" w:cs="georgia" w:ascii="georgia" w:hAnsi="georgia"/>
          <w:color w:val="000000"/>
        </w:rPr>
        <w:t xml:space="preserve">Five severity levels govern escalation across all failure classes.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Level 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continuity threat present. Normal operations with active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Level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Early indicators of continuity risk. Continuation feasible. Elevated monitoring triggered.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Level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Degradation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study functions impaired. Recruitment, staffing, or validity under active stress. Continuity review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Level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Continuity Threat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Program at meaningful risk of pause, redesign, or suspension. Ethics and Continuity Review Team convened.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Level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Functional Collapse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Program can no longer continue in its current form. TFFP response protocol invoked.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Level 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Irrecoverable Framework Failure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Cannot continue without complete redesign, migration, or termination. Full data preservation and learning output mandatory.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ection_10_early_warning_detectio_dc3268"/>
      <w:r>
        <w:rPr>
          <w:rFonts w:eastAsia="georgia" w:cs="georgia" w:ascii="georgia" w:hAnsi="georgia"/>
          <w:b/>
          <w:color w:val="000000"/>
          <w:sz w:val="24"/>
        </w:rPr>
        <w:t xml:space="preserve">Section 10 — Early Warning Detection System</w:t>
      </w:r>
      <w:bookmarkEnd w:id="16"/>
    </w:p>
    <w:p>
      <w:pPr>
        <w:spacing w:line="360" w:before="315" w:after="105" w:lineRule="auto"/>
        <w:ind w:left="-30"/>
        <w:jc w:val="left"/>
      </w:pPr>
      <w:bookmarkStart w:id="17" w:name="bm_10_1_detection_philosophy"/>
      <w:r>
        <w:rPr>
          <w:rFonts w:eastAsia="georgia" w:cs="georgia" w:ascii="georgia" w:hAnsi="georgia"/>
          <w:b/>
          <w:color w:val="000000"/>
          <w:sz w:val="24"/>
        </w:rPr>
        <w:t xml:space="preserve">10.1 Detection Philosophy</w:t>
      </w:r>
      <w:bookmarkEnd w:id="17"/>
    </w:p>
    <w:p>
      <w:pPr>
        <w:spacing w:line="360" w:after="210" w:lineRule="auto"/>
      </w:pPr>
      <w:r>
        <w:rPr>
          <w:rFonts w:eastAsia="georgia" w:cs="georgia" w:ascii="georgia" w:hAnsi="georgia"/>
          <w:color w:val="000000"/>
        </w:rPr>
        <w:t xml:space="preserve">The most valuable intervention is the one that happens earliest. A program detecting Class I failure at 40% participant dropout retains options. A program detecting it at 95% dropout, when minimum viable n is 80%, has none. The TFFP mandates continuous monitoring against defined threshold indicators, with escalating responses triggered before terminal conditions are reached.[</w:t>
      </w:r>
      <w:r>
        <w:rPr>
          <w:rFonts w:eastAsia="georgia" w:cs="georgia" w:ascii="georgia" w:hAnsi="georgia"/>
          <w:color w:val="000000"/>
          <w:vertAlign w:val="superscript"/>
        </w:rPr>
        <w:t xml:space="preserve">3][</w:t>
      </w:r>
      <w:r>
        <w:rPr>
          <w:rFonts w:eastAsia="georgia" w:cs="georgia" w:ascii="georgia" w:hAnsi="georgia"/>
          <w:color w:val="000000"/>
        </w:rPr>
        <w:t xml:space="preserve">6]</w:t>
      </w:r>
    </w:p>
    <w:p>
      <w:pPr>
        <w:spacing w:line="360" w:before="315" w:after="105" w:lineRule="auto"/>
        <w:ind w:left="-30"/>
        <w:jc w:val="left"/>
      </w:pPr>
      <w:bookmarkStart w:id="18" w:name="bm_10_2_early_warning_indicator_matrix"/>
      <w:r>
        <w:rPr>
          <w:rFonts w:eastAsia="georgia" w:cs="georgia" w:ascii="georgia" w:hAnsi="georgia"/>
          <w:b/>
          <w:color w:val="000000"/>
          <w:sz w:val="24"/>
        </w:rPr>
        <w:t xml:space="preserve">10.2 Early Warning Indicator Matrix</w:t>
      </w:r>
      <w:bookmarkEnd w:id="18"/>
    </w:p>
    <w:p>
      <w:pPr>
        <w:spacing w:line="360" w:after="210" w:lineRule="auto"/>
      </w:pPr>
      <w:r>
        <w:rPr>
          <w:rFonts w:eastAsia="georgia" w:cs="georgia" w:ascii="georgia" w:hAnsi="georgia"/>
          <w:b/>
          <w:color w:val="000000"/>
        </w:rPr>
        <w:t xml:space="preserve">Subject / Participant Indicators:</w:t>
      </w:r>
    </w:p>
    <w:p>
      <w:pPr>
        <w:numPr>
          <w:ilvl w:val="0"/>
          <w:numId w:val="4"/>
        </w:numPr>
        <w:spacing w:line="360" w:before="105" w:after="105" w:lineRule="auto"/>
      </w:pPr>
      <w:r>
        <w:rPr>
          <w:rFonts w:eastAsia="georgia" w:cs="georgia" w:ascii="georgia" w:hAnsi="georgia"/>
          <w:color w:val="000000"/>
          <w:sz w:val="21"/>
        </w:rPr>
        <w:t xml:space="preserve">Declining enrollment rate below 70% of target pace</w:t>
      </w:r>
    </w:p>
    <w:p>
      <w:pPr>
        <w:numPr>
          <w:ilvl w:val="0"/>
          <w:numId w:val="4"/>
        </w:numPr>
        <w:spacing w:line="360" w:before="105" w:after="105" w:lineRule="auto"/>
      </w:pPr>
      <w:r>
        <w:rPr>
          <w:rFonts w:eastAsia="georgia" w:cs="georgia" w:ascii="georgia" w:hAnsi="georgia"/>
          <w:color w:val="000000"/>
          <w:sz w:val="21"/>
        </w:rPr>
        <w:t xml:space="preserve">Rising withdrawal rate reaching 15% of enrolled pool (WATCH), 25% (WARNING), 40% (CRITICAL)</w:t>
      </w:r>
    </w:p>
    <w:p>
      <w:pPr>
        <w:numPr>
          <w:ilvl w:val="0"/>
          <w:numId w:val="4"/>
        </w:numPr>
        <w:spacing w:line="360" w:before="105" w:after="105" w:lineRule="auto"/>
      </w:pPr>
      <w:r>
        <w:rPr>
          <w:rFonts w:eastAsia="georgia" w:cs="georgia" w:ascii="georgia" w:hAnsi="georgia"/>
          <w:color w:val="000000"/>
          <w:sz w:val="21"/>
        </w:rPr>
        <w:t xml:space="preserve">Repeated refusal reasons clustering around the same issue</w:t>
      </w:r>
    </w:p>
    <w:p>
      <w:pPr>
        <w:numPr>
          <w:ilvl w:val="0"/>
          <w:numId w:val="4"/>
        </w:numPr>
        <w:spacing w:line="360" w:before="105" w:after="105" w:lineRule="auto"/>
      </w:pPr>
      <w:r>
        <w:rPr>
          <w:rFonts w:eastAsia="georgia" w:cs="georgia" w:ascii="georgia" w:hAnsi="georgia"/>
          <w:color w:val="000000"/>
          <w:sz w:val="21"/>
        </w:rPr>
        <w:t xml:space="preserve">Increasing no-show rates</w:t>
      </w:r>
    </w:p>
    <w:p>
      <w:pPr>
        <w:numPr>
          <w:ilvl w:val="0"/>
          <w:numId w:val="4"/>
        </w:numPr>
        <w:spacing w:line="360" w:before="105" w:after="105" w:lineRule="auto"/>
      </w:pPr>
      <w:r>
        <w:rPr>
          <w:rFonts w:eastAsia="georgia" w:cs="georgia" w:ascii="georgia" w:hAnsi="georgia"/>
          <w:color w:val="000000"/>
          <w:sz w:val="21"/>
        </w:rPr>
        <w:t xml:space="preserve">Distrust language rising in participant feedback</w:t>
      </w:r>
    </w:p>
    <w:p>
      <w:pPr>
        <w:numPr>
          <w:ilvl w:val="0"/>
          <w:numId w:val="4"/>
        </w:numPr>
        <w:spacing w:line="360" w:before="105" w:after="105" w:lineRule="auto"/>
      </w:pPr>
      <w:r>
        <w:rPr>
          <w:rFonts w:eastAsia="georgia" w:cs="georgia" w:ascii="georgia" w:hAnsi="georgia"/>
          <w:color w:val="000000"/>
          <w:sz w:val="21"/>
        </w:rPr>
        <w:t xml:space="preserve">Eligibility pipeline shrinking without replacement sourcing[^3]</w:t>
      </w:r>
    </w:p>
    <w:p>
      <w:pPr>
        <w:spacing w:line="360" w:after="210" w:lineRule="auto"/>
      </w:pPr>
      <w:r>
        <w:rPr>
          <w:rFonts w:eastAsia="georgia" w:cs="georgia" w:ascii="georgia" w:hAnsi="georgia"/>
          <w:b/>
          <w:color w:val="000000"/>
        </w:rPr>
        <w:t xml:space="preserve">Staff Indicators:</w:t>
      </w:r>
    </w:p>
    <w:p>
      <w:pPr>
        <w:numPr>
          <w:ilvl w:val="0"/>
          <w:numId w:val="5"/>
        </w:numPr>
        <w:spacing w:line="360" w:before="105" w:after="105" w:lineRule="auto"/>
      </w:pPr>
      <w:r>
        <w:rPr>
          <w:rFonts w:eastAsia="georgia" w:cs="georgia" w:ascii="georgia" w:hAnsi="georgia"/>
          <w:color w:val="000000"/>
          <w:sz w:val="21"/>
        </w:rPr>
        <w:t xml:space="preserve">Burnout reports and missed milestones due to understaffing</w:t>
      </w:r>
    </w:p>
    <w:p>
      <w:pPr>
        <w:numPr>
          <w:ilvl w:val="0"/>
          <w:numId w:val="5"/>
        </w:numPr>
        <w:spacing w:line="360" w:before="105" w:after="105" w:lineRule="auto"/>
      </w:pPr>
      <w:r>
        <w:rPr>
          <w:rFonts w:eastAsia="georgia" w:cs="georgia" w:ascii="georgia" w:hAnsi="georgia"/>
          <w:color w:val="000000"/>
          <w:sz w:val="21"/>
        </w:rPr>
        <w:t xml:space="preserve">Dependency concentration on one or two individuals</w:t>
      </w:r>
    </w:p>
    <w:p>
      <w:pPr>
        <w:numPr>
          <w:ilvl w:val="0"/>
          <w:numId w:val="5"/>
        </w:numPr>
        <w:spacing w:line="360" w:before="105" w:after="105" w:lineRule="auto"/>
      </w:pPr>
      <w:r>
        <w:rPr>
          <w:rFonts w:eastAsia="georgia" w:cs="georgia" w:ascii="georgia" w:hAnsi="georgia"/>
          <w:color w:val="000000"/>
          <w:sz w:val="21"/>
        </w:rPr>
        <w:t xml:space="preserve">Conflict escalation reports</w:t>
      </w:r>
    </w:p>
    <w:p>
      <w:pPr>
        <w:numPr>
          <w:ilvl w:val="0"/>
          <w:numId w:val="5"/>
        </w:numPr>
        <w:spacing w:line="360" w:before="105" w:after="105" w:lineRule="auto"/>
      </w:pPr>
      <w:r>
        <w:rPr>
          <w:rFonts w:eastAsia="georgia" w:cs="georgia" w:ascii="georgia" w:hAnsi="georgia"/>
          <w:color w:val="000000"/>
          <w:sz w:val="21"/>
        </w:rPr>
        <w:t xml:space="preserve">Documentation gaps growing</w:t>
      </w:r>
    </w:p>
    <w:p>
      <w:pPr>
        <w:numPr>
          <w:ilvl w:val="0"/>
          <w:numId w:val="5"/>
        </w:numPr>
        <w:spacing w:line="360" w:before="105" w:after="105" w:lineRule="auto"/>
      </w:pPr>
      <w:r>
        <w:rPr>
          <w:rFonts w:eastAsia="georgia" w:cs="georgia" w:ascii="georgia" w:hAnsi="georgia"/>
          <w:color w:val="000000"/>
          <w:sz w:val="21"/>
        </w:rPr>
        <w:t xml:space="preserve">Knowledge not being transferred across team members[^3]</w:t>
      </w:r>
    </w:p>
    <w:p>
      <w:pPr>
        <w:spacing w:line="360" w:after="210" w:lineRule="auto"/>
      </w:pPr>
      <w:r>
        <w:rPr>
          <w:rFonts w:eastAsia="georgia" w:cs="georgia" w:ascii="georgia" w:hAnsi="georgia"/>
          <w:b/>
          <w:color w:val="000000"/>
        </w:rPr>
        <w:t xml:space="preserve">Resource Indicators:</w:t>
      </w:r>
    </w:p>
    <w:p>
      <w:pPr>
        <w:numPr>
          <w:ilvl w:val="0"/>
          <w:numId w:val="6"/>
        </w:numPr>
        <w:spacing w:line="360" w:before="105" w:after="105" w:lineRule="auto"/>
      </w:pPr>
      <w:r>
        <w:rPr>
          <w:rFonts w:eastAsia="georgia" w:cs="georgia" w:ascii="georgia" w:hAnsi="georgia"/>
          <w:color w:val="000000"/>
          <w:sz w:val="21"/>
        </w:rPr>
        <w:t xml:space="preserve">Remaining funding below 30% of projected operational requirement (WATCH)</w:t>
      </w:r>
    </w:p>
    <w:p>
      <w:pPr>
        <w:numPr>
          <w:ilvl w:val="0"/>
          <w:numId w:val="6"/>
        </w:numPr>
        <w:spacing w:line="360" w:before="105" w:after="105" w:lineRule="auto"/>
      </w:pPr>
      <w:r>
        <w:rPr>
          <w:rFonts w:eastAsia="georgia" w:cs="georgia" w:ascii="georgia" w:hAnsi="georgia"/>
          <w:color w:val="000000"/>
          <w:sz w:val="21"/>
        </w:rPr>
        <w:t xml:space="preserve">Remaining funding below 15% with no confirmed bridge (WARNING)</w:t>
      </w:r>
    </w:p>
    <w:p>
      <w:pPr>
        <w:numPr>
          <w:ilvl w:val="0"/>
          <w:numId w:val="6"/>
        </w:numPr>
        <w:spacing w:line="360" w:before="105" w:after="105" w:lineRule="auto"/>
      </w:pPr>
      <w:r>
        <w:rPr>
          <w:rFonts w:eastAsia="georgia" w:cs="georgia" w:ascii="georgia" w:hAnsi="georgia"/>
          <w:color w:val="000000"/>
          <w:sz w:val="21"/>
        </w:rPr>
        <w:t xml:space="preserve">Funding exhausted with no replacement pathway (CRITICAL)</w:t>
      </w:r>
    </w:p>
    <w:p>
      <w:pPr>
        <w:numPr>
          <w:ilvl w:val="0"/>
          <w:numId w:val="6"/>
        </w:numPr>
        <w:spacing w:line="360" w:before="105" w:after="105" w:lineRule="auto"/>
      </w:pPr>
      <w:r>
        <w:rPr>
          <w:rFonts w:eastAsia="georgia" w:cs="georgia" w:ascii="georgia" w:hAnsi="georgia"/>
          <w:color w:val="000000"/>
          <w:sz w:val="21"/>
        </w:rPr>
        <w:t xml:space="preserve">Vendor instability or equipment showing failure indicators</w:t>
      </w:r>
    </w:p>
    <w:p>
      <w:pPr>
        <w:numPr>
          <w:ilvl w:val="0"/>
          <w:numId w:val="6"/>
        </w:numPr>
        <w:spacing w:line="360" w:before="105" w:after="105" w:lineRule="auto"/>
      </w:pPr>
      <w:r>
        <w:rPr>
          <w:rFonts w:eastAsia="georgia" w:cs="georgia" w:ascii="georgia" w:hAnsi="georgia"/>
          <w:color w:val="000000"/>
          <w:sz w:val="21"/>
        </w:rPr>
        <w:t xml:space="preserve">Compute or storage bottlenecks in Paragon Cube-dependent operations[^3]</w:t>
      </w:r>
    </w:p>
    <w:p>
      <w:pPr>
        <w:spacing w:line="360" w:after="210" w:lineRule="auto"/>
      </w:pPr>
      <w:r>
        <w:rPr>
          <w:rFonts w:eastAsia="georgia" w:cs="georgia" w:ascii="georgia" w:hAnsi="georgia"/>
          <w:b/>
          <w:color w:val="000000"/>
        </w:rPr>
        <w:t xml:space="preserve">Legitimacy / Reputational Indicators:</w:t>
      </w:r>
    </w:p>
    <w:p>
      <w:pPr>
        <w:numPr>
          <w:ilvl w:val="0"/>
          <w:numId w:val="7"/>
        </w:numPr>
        <w:spacing w:line="360" w:before="105" w:after="105" w:lineRule="auto"/>
      </w:pPr>
      <w:r>
        <w:rPr>
          <w:rFonts w:eastAsia="georgia" w:cs="georgia" w:ascii="georgia" w:hAnsi="georgia"/>
          <w:color w:val="000000"/>
          <w:sz w:val="21"/>
        </w:rPr>
        <w:t xml:space="preserve">Negative media cycle with participant-facing coverage</w:t>
      </w:r>
    </w:p>
    <w:p>
      <w:pPr>
        <w:numPr>
          <w:ilvl w:val="0"/>
          <w:numId w:val="7"/>
        </w:numPr>
        <w:spacing w:line="360" w:before="105" w:after="105" w:lineRule="auto"/>
      </w:pPr>
      <w:r>
        <w:rPr>
          <w:rFonts w:eastAsia="georgia" w:cs="georgia" w:ascii="georgia" w:hAnsi="georgia"/>
          <w:color w:val="000000"/>
          <w:sz w:val="21"/>
        </w:rPr>
        <w:t xml:space="preserve">Ethics board concern language in formal communications</w:t>
      </w:r>
    </w:p>
    <w:p>
      <w:pPr>
        <w:numPr>
          <w:ilvl w:val="0"/>
          <w:numId w:val="7"/>
        </w:numPr>
        <w:spacing w:line="360" w:before="105" w:after="105" w:lineRule="auto"/>
      </w:pPr>
      <w:r>
        <w:rPr>
          <w:rFonts w:eastAsia="georgia" w:cs="georgia" w:ascii="georgia" w:hAnsi="georgia"/>
          <w:color w:val="000000"/>
          <w:sz w:val="21"/>
        </w:rPr>
        <w:t xml:space="preserve">Increased complaints or inquiry volume</w:t>
      </w:r>
    </w:p>
    <w:p>
      <w:pPr>
        <w:numPr>
          <w:ilvl w:val="0"/>
          <w:numId w:val="7"/>
        </w:numPr>
        <w:spacing w:line="360" w:before="105" w:after="105" w:lineRule="auto"/>
      </w:pPr>
      <w:r>
        <w:rPr>
          <w:rFonts w:eastAsia="georgia" w:cs="georgia" w:ascii="georgia" w:hAnsi="georgia"/>
          <w:color w:val="000000"/>
          <w:sz w:val="21"/>
        </w:rPr>
        <w:t xml:space="preserve">Policy attention or legal scrutiny</w:t>
      </w:r>
    </w:p>
    <w:p>
      <w:pPr>
        <w:numPr>
          <w:ilvl w:val="0"/>
          <w:numId w:val="7"/>
        </w:numPr>
        <w:spacing w:line="360" w:before="105" w:after="105" w:lineRule="auto"/>
      </w:pPr>
      <w:r>
        <w:rPr>
          <w:rFonts w:eastAsia="georgia" w:cs="georgia" w:ascii="georgia" w:hAnsi="georgia"/>
          <w:color w:val="000000"/>
          <w:sz w:val="21"/>
        </w:rPr>
        <w:t xml:space="preserve">Stakeholder discomfort escalating to formal objection[</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spacing w:line="360" w:after="210" w:lineRule="auto"/>
      </w:pPr>
      <w:r>
        <w:rPr>
          <w:rFonts w:eastAsia="georgia" w:cs="georgia" w:ascii="georgia" w:hAnsi="georgia"/>
          <w:b/>
          <w:color w:val="000000"/>
        </w:rPr>
        <w:t xml:space="preserve">Recursive Failure Indicators:</w:t>
      </w:r>
    </w:p>
    <w:p>
      <w:pPr>
        <w:numPr>
          <w:ilvl w:val="0"/>
          <w:numId w:val="8"/>
        </w:numPr>
        <w:spacing w:line="360" w:before="105" w:after="105" w:lineRule="auto"/>
      </w:pPr>
      <w:r>
        <w:rPr>
          <w:rFonts w:eastAsia="georgia" w:cs="georgia" w:ascii="georgia" w:hAnsi="georgia"/>
          <w:color w:val="000000"/>
          <w:sz w:val="21"/>
        </w:rPr>
        <w:t xml:space="preserve">Same failure pattern appearing more than once across the track</w:t>
      </w:r>
    </w:p>
    <w:p>
      <w:pPr>
        <w:numPr>
          <w:ilvl w:val="0"/>
          <w:numId w:val="8"/>
        </w:numPr>
        <w:spacing w:line="360" w:before="105" w:after="105" w:lineRule="auto"/>
      </w:pPr>
      <w:r>
        <w:rPr>
          <w:rFonts w:eastAsia="georgia" w:cs="georgia" w:ascii="georgia" w:hAnsi="georgia"/>
          <w:color w:val="000000"/>
          <w:sz w:val="21"/>
        </w:rPr>
        <w:t xml:space="preserve">Same recommendation logged multiple times without implementation</w:t>
      </w:r>
    </w:p>
    <w:p>
      <w:pPr>
        <w:numPr>
          <w:ilvl w:val="0"/>
          <w:numId w:val="8"/>
        </w:numPr>
        <w:spacing w:line="360" w:before="105" w:after="105" w:lineRule="auto"/>
      </w:pPr>
      <w:r>
        <w:rPr>
          <w:rFonts w:eastAsia="georgia" w:cs="georgia" w:ascii="georgia" w:hAnsi="georgia"/>
          <w:color w:val="000000"/>
          <w:sz w:val="21"/>
        </w:rPr>
        <w:t xml:space="preserve">Post-mortems documented but not translated into protocol changes</w:t>
      </w:r>
    </w:p>
    <w:p>
      <w:pPr>
        <w:numPr>
          <w:ilvl w:val="0"/>
          <w:numId w:val="8"/>
        </w:numPr>
        <w:spacing w:line="360" w:before="105" w:after="105" w:lineRule="auto"/>
      </w:pPr>
      <w:r>
        <w:rPr>
          <w:rFonts w:eastAsia="georgia" w:cs="georgia" w:ascii="georgia" w:hAnsi="georgia"/>
          <w:color w:val="000000"/>
          <w:sz w:val="21"/>
        </w:rPr>
        <w:t xml:space="preserve">Known hazards recurring without modification of conditions[^2]</w:t>
      </w:r>
    </w:p>
    <w:p>
      <w:pPr>
        <w:spacing w:line="360" w:before="315" w:after="105" w:lineRule="auto"/>
        <w:ind w:left="-30"/>
        <w:jc w:val="left"/>
      </w:pPr>
      <w:bookmarkStart w:id="19" w:name="bm_10_3_gemini_contribution_early_d4db55"/>
      <w:r>
        <w:rPr>
          <w:rFonts w:eastAsia="georgia" w:cs="georgia" w:ascii="georgia" w:hAnsi="georgia"/>
          <w:b/>
          <w:color w:val="000000"/>
          <w:sz w:val="24"/>
        </w:rPr>
        <w:t xml:space="preserve">10.3 Gemini Contribution — Early Warning Telemetry Gap</w:t>
      </w:r>
      <w:bookmarkEnd w:id="19"/>
    </w:p>
    <w:p>
      <w:pPr>
        <w:spacing w:line="360" w:after="210" w:lineRule="auto"/>
      </w:pPr>
      <w:r>
        <w:rPr>
          <w:rFonts w:eastAsia="georgia" w:cs="georgia" w:ascii="georgia" w:hAnsi="georgia"/>
          <w:color w:val="000000"/>
        </w:rPr>
        <w:t xml:space="preserve">Google Gemini identified a specific underdeveloped area: the current framework lacks defined mathematical or social metrics for measuring the </w:t>
      </w:r>
      <w:r>
        <w:rPr>
          <w:rFonts w:eastAsia="georgia" w:cs="georgia" w:ascii="georgia" w:hAnsi="georgia"/>
          <w:i/>
          <w:color w:val="000000"/>
        </w:rPr>
        <w:t xml:space="preserve">approach</w:t>
      </w:r>
      <w:r>
        <w:rPr>
          <w:rFonts w:eastAsia="georgia" w:cs="georgia" w:ascii="georgia" w:hAnsi="georgia"/>
          <w:color w:val="000000"/>
        </w:rPr>
        <w:t xml:space="preserve"> of failure rather than its onset. The recommendation is development of an </w:t>
      </w:r>
      <w:r>
        <w:rPr>
          <w:rFonts w:eastAsia="georgia" w:cs="georgia" w:ascii="georgia" w:hAnsi="georgia"/>
          <w:b/>
          <w:color w:val="000000"/>
        </w:rPr>
        <w:t xml:space="preserve">Early Warning Telemetry System</w:t>
      </w:r>
      <w:r>
        <w:rPr>
          <w:rFonts w:eastAsia="georgia" w:cs="georgia" w:ascii="georgia" w:hAnsi="georgia"/>
          <w:color w:val="000000"/>
        </w:rPr>
        <w:t xml:space="preserve"> — including measurable dropout rate thresholds, sentiment analysis for reputational toxicity, and automated flagging within the Abundance Set when threshold indicators cluster across multiple classes simultaneously. This is flagged as a development requirement in Section 24.[^2]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ection_11_response_states_and_pr_37125b"/>
      <w:r>
        <w:rPr>
          <w:rFonts w:eastAsia="georgia" w:cs="georgia" w:ascii="georgia" w:hAnsi="georgia"/>
          <w:b/>
          <w:color w:val="000000"/>
          <w:sz w:val="24"/>
        </w:rPr>
        <w:t xml:space="preserve">Section 11 — Response States and Protocol Activation</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Response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Definition and 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MONITOR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Normal operational state with active weekly threshold reviews. No continuity threat detected.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REVIEW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Triggered by any Level 1 WATCH threshold breach. Active assessment of framework continuity. Research continues under elevated monitoring. Continuity review convened within defined window.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MODIFIED OPERATION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Triggered by Level 2 WARNING breach. Research continues under modified conditions — reduced scope, alternative participant sourcing, bridge funding, personnel restructuring. All modifications documented and IRB-notified where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SUSPENSION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Triggered by Level 3–4 CRITICAL breach or confirmed Class IV/V/VI failure. Active data collection stops. Full data preservation protocol invoked. IRB notified. Post-failure documentation begins.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TERMINATION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Triggered by Level 5 — irrecoverable condition confirmed. All data preserved, learning output produced, failure report submitted to Abundance Set and Department of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ection_12_recovery_pathway_architecture"/>
      <w:r>
        <w:rPr>
          <w:rFonts w:eastAsia="georgia" w:cs="georgia" w:ascii="georgia" w:hAnsi="georgia"/>
          <w:b/>
          <w:color w:val="000000"/>
          <w:sz w:val="24"/>
        </w:rPr>
        <w:t xml:space="preserve">Section 12 — Recovery Pathway Architecture</w:t>
      </w:r>
      <w:bookmarkEnd w:id="21"/>
    </w:p>
    <w:p>
      <w:pPr>
        <w:spacing w:line="360" w:after="210" w:lineRule="auto"/>
      </w:pPr>
      <w:r>
        <w:rPr>
          <w:rFonts w:eastAsia="georgia" w:cs="georgia" w:ascii="georgia" w:hAnsi="georgia"/>
          <w:color w:val="000000"/>
        </w:rPr>
        <w:t xml:space="preserve">When a program enters a degraded response state, the following recovery pathways are assessed in order of resource cost and disruption to existing protocol integrity.[</w:t>
      </w:r>
      <w:r>
        <w:rPr>
          <w:rFonts w:eastAsia="georgia" w:cs="georgia" w:ascii="georgia" w:hAnsi="georgia"/>
          <w:color w:val="000000"/>
          <w:vertAlign w:val="superscript"/>
        </w:rPr>
        <w:t xml:space="preserve">2][</w:t>
      </w:r>
      <w:r>
        <w:rPr>
          <w:rFonts w:eastAsia="georgia" w:cs="georgia" w:ascii="georgia" w:hAnsi="georgia"/>
          <w:color w:val="000000"/>
        </w:rPr>
        <w:t xml:space="preserve">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Path 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Stabilize and Continue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Failure is mild to moderate and recoverable. Mitigation is applied without modifying core protocol.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Path B</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Pause and 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Continuation would create invalid data, harm, or compounded instability. Active data collection suspends. Protocol maintained intact. Timeline extended.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Path 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Redesign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framework itself is structurally misbuilt. Research cannot continue without modifying core design, subject criteria, environment, or methodology. Requires new IRB approval as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Path 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Substitute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Required subjects or environments are unavailable and alternate methods can ethically replace them. Options: simulation via Paragon Cubes, retrospective analysis, proxy populations, staged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Path 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Migrate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current lab, facility, or system cannot continue, but the work can be transferred. Applies to both physical and simulation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Path 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Terminate with Structured Salvage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Continuation is impossible under any pathway. Priority shifts to data preservation, learning output production, and failure report submission. No program terminates without a mandatory learning 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section_13_no_subject_no_particip_62796c"/>
      <w:r>
        <w:rPr>
          <w:rFonts w:eastAsia="georgia" w:cs="georgia" w:ascii="georgia" w:hAnsi="georgia"/>
          <w:b/>
          <w:color w:val="000000"/>
          <w:sz w:val="24"/>
        </w:rPr>
        <w:t xml:space="preserve">Section 13 — No-Subject / No-Participant Continuity Protocols</w:t>
      </w:r>
      <w:bookmarkEnd w:id="22"/>
    </w:p>
    <w:p>
      <w:pPr>
        <w:spacing w:line="360" w:after="210" w:lineRule="auto"/>
      </w:pPr>
      <w:r>
        <w:rPr>
          <w:rFonts w:eastAsia="georgia" w:cs="georgia" w:ascii="georgia" w:hAnsi="georgia"/>
          <w:color w:val="000000"/>
        </w:rPr>
        <w:t xml:space="preserve">The Architect's voice directive specifically foregrounded this condition: research that requires human or sentient participants faces a failure mode that resource-only or simulation-only research does not. The fundamental unit of the study — the participant — has independent agency and cannot be manufactured or substituted when their participation is what is being studied.[^2]</w:t>
      </w:r>
    </w:p>
    <w:p>
      <w:pPr>
        <w:spacing w:line="360" w:after="210" w:lineRule="auto"/>
      </w:pPr>
      <w:r>
        <w:rPr>
          <w:rFonts w:eastAsia="georgia" w:cs="georgia" w:ascii="georgia" w:hAnsi="georgia"/>
          <w:b/>
          <w:color w:val="000000"/>
        </w:rPr>
        <w:t xml:space="preserve">Scenario A — Temporary Participant Unavailability:</w:t>
      </w:r>
      <w:r>
        <w:rPr>
          <w:rFonts w:eastAsia="georgia" w:cs="georgia" w:ascii="georgia" w:hAnsi="georgia"/>
          <w:color w:val="000000"/>
        </w:rPr>
        <w:t xml:space="preserve"> Participants unavailable due to temporary conditions. The participant pool is intact. Protocol: MODIFIED OPERATION. Active data collection suspends. Timeline extended. No protocol modifications that would require re-consent. Research resumes when availability is restored.[^3]</w:t>
      </w:r>
    </w:p>
    <w:p>
      <w:pPr>
        <w:spacing w:line="360" w:after="210" w:lineRule="auto"/>
      </w:pPr>
      <w:r>
        <w:rPr>
          <w:rFonts w:eastAsia="georgia" w:cs="georgia" w:ascii="georgia" w:hAnsi="georgia"/>
          <w:b/>
          <w:color w:val="000000"/>
        </w:rPr>
        <w:t xml:space="preserve">Scenario B — Participant Pool Degradation:</w:t>
      </w:r>
      <w:r>
        <w:rPr>
          <w:rFonts w:eastAsia="georgia" w:cs="georgia" w:ascii="georgia" w:hAnsi="georgia"/>
          <w:color w:val="000000"/>
        </w:rPr>
        <w:t xml:space="preserve"> Available pool has reduced below minimum viable n, but alternative recruitment is theoretically possible. Protocol: MODIFIED OPERATION, with sequential assessment of expanded eligibility criteria, alternative populations, modified scope, and virtual/simulation substitution. If none of these produce a viable path to minimum n, research escalates to SUSPENSION.[^3]</w:t>
      </w:r>
    </w:p>
    <w:p>
      <w:pPr>
        <w:spacing w:line="360" w:after="210" w:lineRule="auto"/>
      </w:pPr>
      <w:r>
        <w:rPr>
          <w:rFonts w:eastAsia="georgia" w:cs="georgia" w:ascii="georgia" w:hAnsi="georgia"/>
          <w:b/>
          <w:color w:val="000000"/>
        </w:rPr>
        <w:t xml:space="preserve">Scenario C — Total Participant Unavailability:</w:t>
      </w:r>
      <w:r>
        <w:rPr>
          <w:rFonts w:eastAsia="georgia" w:cs="georgia" w:ascii="georgia" w:hAnsi="georgia"/>
          <w:color w:val="000000"/>
        </w:rPr>
        <w:t xml:space="preserve"> No participants available, none can be recruited within any viable timeline, and no alternative methodology can substitute. Protocol: SUSPENSION immediately. Full data preservation invoked. Simulation bridge assessment conducted. Findings-to-date documented. Failure report submitted to Abundance Set and Department of Endings.[^3]</w:t>
      </w:r>
    </w:p>
    <w:p>
      <w:pPr>
        <w:spacing w:line="360" w:after="210" w:lineRule="auto"/>
      </w:pPr>
      <w:r>
        <w:rPr>
          <w:rFonts w:eastAsia="georgia" w:cs="georgia" w:ascii="georgia" w:hAnsi="georgia"/>
          <w:b/>
          <w:color w:val="000000"/>
        </w:rPr>
        <w:t xml:space="preserve">Critical Principle:</w:t>
      </w:r>
      <w:r>
        <w:rPr>
          <w:rFonts w:eastAsia="georgia" w:cs="georgia" w:ascii="georgia" w:hAnsi="georgia"/>
          <w:color w:val="000000"/>
        </w:rPr>
        <w:t xml:space="preserve"> A suspended trial is not a failed project. It is a partially completed data collection event that has produced findings, generated a failure analysis, and contributed to the recursive improvement of future research design. The knowledge that something cannot be studied under these conditions, with this participant pool, at this time, is itself a finding.[^3]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section_14_resource_and_funding_f_d0aeba"/>
      <w:r>
        <w:rPr>
          <w:rFonts w:eastAsia="georgia" w:cs="georgia" w:ascii="georgia" w:hAnsi="georgia"/>
          <w:b/>
          <w:color w:val="000000"/>
          <w:sz w:val="24"/>
        </w:rPr>
        <w:t xml:space="preserve">Section 14 — Resource and Funding Failure Response</w:t>
      </w:r>
      <w:bookmarkEnd w:id="23"/>
    </w:p>
    <w:p>
      <w:pPr>
        <w:spacing w:line="360" w:after="210" w:lineRule="auto"/>
      </w:pPr>
      <w:r>
        <w:rPr>
          <w:rFonts w:eastAsia="georgia" w:cs="georgia" w:ascii="georgia" w:hAnsi="georgia"/>
          <w:color w:val="000000"/>
        </w:rPr>
        <w:t xml:space="preserve">All OAL, Lewis Corp, and ONE Industries research programs dependent on external or grant-based funding are required to maintain a minimum funding runway buffer of 20% of remaining program cost at all times.[^3]</w:t>
      </w:r>
    </w:p>
    <w:p>
      <w:pPr>
        <w:spacing w:line="360" w:after="210" w:lineRule="auto"/>
      </w:pPr>
      <w:r>
        <w:rPr>
          <w:rFonts w:eastAsia="georgia" w:cs="georgia" w:ascii="georgia" w:hAnsi="georgia"/>
          <w:color w:val="000000"/>
        </w:rPr>
        <w:t xml:space="preserve">When WARNING state is triggered by resource failure, the following bridge funding options are assessed in parallel:</w:t>
      </w:r>
    </w:p>
    <w:p>
      <w:pPr>
        <w:numPr>
          <w:ilvl w:val="0"/>
          <w:numId w:val="9"/>
        </w:numPr>
        <w:spacing w:line="360" w:before="105" w:after="105" w:lineRule="auto"/>
      </w:pPr>
      <w:r>
        <w:rPr>
          <w:rFonts w:eastAsia="georgia" w:cs="georgia" w:ascii="georgia" w:hAnsi="georgia"/>
          <w:color w:val="000000"/>
          <w:sz w:val="21"/>
        </w:rPr>
        <w:t xml:space="preserve">Internal OAL / Lewis Corp / ONE Industries operating reserve deployment (requires Architect approval)</w:t>
      </w:r>
    </w:p>
    <w:p>
      <w:pPr>
        <w:numPr>
          <w:ilvl w:val="0"/>
          <w:numId w:val="9"/>
        </w:numPr>
        <w:spacing w:line="360" w:before="105" w:after="105" w:lineRule="auto"/>
      </w:pPr>
      <w:r>
        <w:rPr>
          <w:rFonts w:eastAsia="georgia" w:cs="georgia" w:ascii="georgia" w:hAnsi="georgia"/>
          <w:color w:val="000000"/>
          <w:sz w:val="21"/>
        </w:rPr>
        <w:t xml:space="preserve">Emergency grant supplements — NIH, NSF, and DARPA mechanisms for no-cost extensions and supplemental funding for programs in good standing[^4]</w:t>
      </w:r>
    </w:p>
    <w:p>
      <w:pPr>
        <w:numPr>
          <w:ilvl w:val="0"/>
          <w:numId w:val="9"/>
        </w:numPr>
        <w:spacing w:line="360" w:before="105" w:after="105" w:lineRule="auto"/>
      </w:pPr>
      <w:r>
        <w:rPr>
          <w:rFonts w:eastAsia="georgia" w:cs="georgia" w:ascii="georgia" w:hAnsi="georgia"/>
          <w:color w:val="000000"/>
          <w:sz w:val="21"/>
        </w:rPr>
        <w:t xml:space="preserve">Industry partnership emergency co-funding in exchange for earlier access to findings</w:t>
      </w:r>
    </w:p>
    <w:p>
      <w:pPr>
        <w:numPr>
          <w:ilvl w:val="0"/>
          <w:numId w:val="9"/>
        </w:numPr>
        <w:spacing w:line="360" w:before="105" w:after="105" w:lineRule="auto"/>
      </w:pPr>
      <w:r>
        <w:rPr>
          <w:rFonts w:eastAsia="georgia" w:cs="georgia" w:ascii="georgia" w:hAnsi="georgia"/>
          <w:color w:val="000000"/>
          <w:sz w:val="21"/>
        </w:rPr>
        <w:t xml:space="preserve">Program scope reduction to match available resources while preserving critical data collection</w:t>
      </w:r>
    </w:p>
    <w:p>
      <w:pPr>
        <w:numPr>
          <w:ilvl w:val="0"/>
          <w:numId w:val="9"/>
        </w:numPr>
        <w:spacing w:line="360" w:before="105" w:after="105" w:lineRule="auto"/>
      </w:pPr>
      <w:r>
        <w:rPr>
          <w:rFonts w:eastAsia="georgia" w:cs="georgia" w:ascii="georgia" w:hAnsi="georgia"/>
          <w:color w:val="000000"/>
          <w:sz w:val="21"/>
        </w:rPr>
        <w:t xml:space="preserve">Timeline extension to allow additional fundraising at reduced operational pace[^3]</w:t>
      </w:r>
    </w:p>
    <w:p>
      <w:pPr>
        <w:spacing w:line="360" w:after="210" w:lineRule="auto"/>
      </w:pPr>
      <w:r>
        <w:rPr>
          <w:rFonts w:eastAsia="georgia" w:cs="georgia" w:ascii="georgia" w:hAnsi="georgia"/>
          <w:b/>
          <w:color w:val="000000"/>
        </w:rPr>
        <w:t xml:space="preserve">Intellectual Property Protection During Funding Failure:</w:t>
      </w:r>
      <w:r>
        <w:rPr>
          <w:rFonts w:eastAsia="georgia" w:cs="georgia" w:ascii="georgia" w:hAnsi="georgia"/>
          <w:color w:val="000000"/>
        </w:rPr>
        <w:t xml:space="preserve"> When a program enters SUSPENSION due to resource failure, all intellectual property — data, findings, methodologies, protocols, unpublished results — is immediately transferred to full archival protection. No IP may be transferred, licensed, or disclosed to any party as a condition of emergency funding without Architect review and explicit approval.[^3]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ection_15_personnel_failure_response"/>
      <w:r>
        <w:rPr>
          <w:rFonts w:eastAsia="georgia" w:cs="georgia" w:ascii="georgia" w:hAnsi="georgia"/>
          <w:b/>
          <w:color w:val="000000"/>
          <w:sz w:val="24"/>
        </w:rPr>
        <w:t xml:space="preserve">Section 15 — Personnel Failure Response</w:t>
      </w:r>
      <w:bookmarkEnd w:id="24"/>
    </w:p>
    <w:p>
      <w:pPr>
        <w:spacing w:line="360" w:after="210" w:lineRule="auto"/>
      </w:pPr>
      <w:r>
        <w:rPr>
          <w:rFonts w:eastAsia="georgia" w:cs="georgia" w:ascii="georgia" w:hAnsi="georgia"/>
          <w:color w:val="000000"/>
        </w:rPr>
        <w:t xml:space="preserve">All personnel are classified by role criticality for TFFP purposes.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 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Response Timeline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A — Non-Substitutable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Absence triggers immediate WARNING. Includes Principal Investigator, IRB-designated oversight personnel, any role required for legal or ethical compliance.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Succession protocol within 24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B — Critical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Loss significantly impairs research function. Includes lead data analyst, primary subject matter expert, key technical operator.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Review and succession planning within one week.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C — Important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Loss impairs efficiency but does not threaten framework continuity.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Succession timeline flexible; modified operation continues.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bl>
    <w:p>
      <w:pPr>
        <w:spacing w:lineRule="auto"/>
      </w:pPr>
    </w:p>
    <w:p>
      <w:pPr>
        <w:spacing w:line="360" w:after="210" w:lineRule="auto"/>
      </w:pPr>
      <w:r>
        <w:rPr>
          <w:rFonts w:eastAsia="georgia" w:cs="georgia" w:ascii="georgia" w:hAnsi="georgia"/>
          <w:color w:val="000000"/>
        </w:rPr>
        <w:t xml:space="preserve">All Class A roles are required to have a documented succession plan before any research program begins, identifying the designated successor by name, the conditions under which succession activates, and the IRB or regulatory notification requirements.[^3]</w:t>
      </w:r>
    </w:p>
    <w:p>
      <w:pPr>
        <w:spacing w:line="360" w:after="210" w:lineRule="auto"/>
      </w:pPr>
      <w:r>
        <w:rPr>
          <w:rFonts w:eastAsia="georgia" w:cs="georgia" w:ascii="georgia" w:hAnsi="georgia"/>
          <w:b/>
          <w:color w:val="000000"/>
        </w:rPr>
        <w:t xml:space="preserve">Team Conflict as Framework Failure Vector:</w:t>
      </w:r>
      <w:r>
        <w:rPr>
          <w:rFonts w:eastAsia="georgia" w:cs="georgia" w:ascii="georgia" w:hAnsi="georgia"/>
          <w:color w:val="000000"/>
        </w:rPr>
        <w:t xml:space="preserve"> The TFFP recognizes that personnel conflict is frequently underestimated as a research failure vector. When conflict renders collaborative operation impossible, the research is effectively in MODIFIED OPERATION or SUSPENSION regardless of its official status. This condition requires formal acknowledgment as a TFFP Class III event.[^3]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section_16_environmental_and_infr_92419d"/>
      <w:r>
        <w:rPr>
          <w:rFonts w:eastAsia="georgia" w:cs="georgia" w:ascii="georgia" w:hAnsi="georgia"/>
          <w:b/>
          <w:color w:val="000000"/>
          <w:sz w:val="24"/>
        </w:rPr>
        <w:t xml:space="preserve">Section 16 — Environmental and Infrastructure Failure Response</w:t>
      </w:r>
      <w:bookmarkEnd w:id="25"/>
    </w:p>
    <w:p>
      <w:pPr>
        <w:spacing w:line="360" w:after="210" w:lineRule="auto"/>
      </w:pPr>
      <w:r>
        <w:rPr>
          <w:rFonts w:eastAsia="georgia" w:cs="georgia" w:ascii="georgia" w:hAnsi="georgia"/>
          <w:b/>
          <w:color w:val="000000"/>
        </w:rPr>
        <w:t xml:space="preserve">Standard Environment Failure:</w:t>
      </w:r>
      <w:r>
        <w:rPr>
          <w:rFonts w:eastAsia="georgia" w:cs="georgia" w:ascii="georgia" w:hAnsi="georgia"/>
          <w:color w:val="000000"/>
        </w:rPr>
        <w:t xml:space="preserve"> The TFFP maintains a facility continuity plan identifying alternative facilities, minimum notice required for transition, what equipment can and cannot be transported, and what research can continue remotely during facility unavailability.[^3]</w:t>
      </w:r>
    </w:p>
    <w:p>
      <w:pPr>
        <w:spacing w:line="360" w:after="210" w:lineRule="auto"/>
      </w:pPr>
      <w:r>
        <w:rPr>
          <w:rFonts w:eastAsia="georgia" w:cs="georgia" w:ascii="georgia" w:hAnsi="georgia"/>
          <w:b/>
          <w:color w:val="000000"/>
        </w:rPr>
        <w:t xml:space="preserve">Non-Standard Environment Failure (Paragon Cube-Dependent Simulations):</w:t>
      </w:r>
      <w:r>
        <w:rPr>
          <w:rFonts w:eastAsia="georgia" w:cs="georgia" w:ascii="georgia" w:hAnsi="georgia"/>
          <w:color w:val="000000"/>
        </w:rPr>
        <w:t xml:space="preserve"> All active simulation states are preserved to Paragon Cube archive at the first indication of infrastructure instability. Simulations can be restored from archived states when infrastructure is restored. No simulation data is lost by design.[^3]</w:t>
      </w:r>
    </w:p>
    <w:p>
      <w:pPr>
        <w:spacing w:line="360" w:after="210" w:lineRule="auto"/>
      </w:pPr>
      <w:r>
        <w:rPr>
          <w:rFonts w:eastAsia="georgia" w:cs="georgia" w:ascii="georgia" w:hAnsi="georgia"/>
          <w:b/>
          <w:color w:val="000000"/>
        </w:rPr>
        <w:t xml:space="preserve">Non-Standard Physical Environments (Threshold Dimensions, Black Hole-Adjacent Stations):</w:t>
      </w:r>
      <w:r>
        <w:rPr>
          <w:rFonts w:eastAsia="georgia" w:cs="georgia" w:ascii="georgia" w:hAnsi="georgia"/>
          <w:color w:val="000000"/>
        </w:rPr>
        <w:t xml:space="preserve"> If access to a non-standard research environment is lost, all data collected in that environment is preserved by the Paragon Cube telemetry system, which operates independently of physical environment access. Research enters SUSPENSION for the non-standard environment components. Components that can continue in standard environments proceed under MODIFIED OPERATION.[^3]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section_17_reputational_and_exter_2f2cdd"/>
      <w:r>
        <w:rPr>
          <w:rFonts w:eastAsia="georgia" w:cs="georgia" w:ascii="georgia" w:hAnsi="georgia"/>
          <w:b/>
          <w:color w:val="000000"/>
          <w:sz w:val="24"/>
        </w:rPr>
        <w:t xml:space="preserve">Section 17 — Reputational and External Threat Response</w:t>
      </w:r>
      <w:bookmarkEnd w:id="26"/>
    </w:p>
    <w:p>
      <w:pPr>
        <w:spacing w:line="360" w:after="210" w:lineRule="auto"/>
      </w:pPr>
      <w:r>
        <w:rPr>
          <w:rFonts w:eastAsia="georgia" w:cs="georgia" w:ascii="georgia" w:hAnsi="georgia"/>
          <w:color w:val="000000"/>
        </w:rPr>
        <w:t xml:space="preserve">Reputational and social failure (Class VI) is the category most frequently absent from research continuity plans and most frequently responsible for catastrophic program termination. Institutions plan for equipment failure. They plan for funding gaps. They rarely plan for the scenario where the research itself becomes the story and the story is negative.[^3]</w:t>
      </w:r>
    </w:p>
    <w:p>
      <w:pPr>
        <w:spacing w:line="360" w:after="210" w:lineRule="auto"/>
      </w:pPr>
      <w:r>
        <w:rPr>
          <w:rFonts w:eastAsia="georgia" w:cs="georgia" w:ascii="georgia" w:hAnsi="georgia"/>
          <w:b/>
          <w:color w:val="000000"/>
        </w:rPr>
        <w:t xml:space="preserve">Response Protocol Steps:</w:t>
      </w:r>
    </w:p>
    <w:p>
      <w:pPr>
        <w:numPr>
          <w:ilvl w:val="0"/>
          <w:numId w:val="10"/>
        </w:numPr>
        <w:spacing w:line="360" w:before="105" w:after="105" w:lineRule="auto"/>
      </w:pPr>
      <w:r>
        <w:rPr>
          <w:rFonts w:eastAsia="georgia" w:cs="georgia" w:ascii="georgia" w:hAnsi="georgia"/>
          <w:b/>
          <w:color w:val="000000"/>
          <w:sz w:val="21"/>
        </w:rPr>
        <w:t xml:space="preserve">Pre-publication risk assessment:</w:t>
      </w:r>
      <w:r>
        <w:rPr>
          <w:rFonts w:eastAsia="georgia" w:cs="georgia" w:ascii="georgia" w:hAnsi="georgia"/>
          <w:color w:val="000000"/>
          <w:sz w:val="21"/>
        </w:rPr>
        <w:t xml:space="preserve"> Before any findings, protocols, or research activities are disclosed publicly, a reputational risk assessment is conducted. The question asked: if this information becomes public in an adversarial framing, what is the worst-case narrative, and what is the prepared response?</w:t>
      </w:r>
    </w:p>
    <w:p>
      <w:pPr>
        <w:numPr>
          <w:ilvl w:val="0"/>
          <w:numId w:val="10"/>
        </w:numPr>
        <w:spacing w:line="360" w:before="105" w:after="105" w:lineRule="auto"/>
      </w:pPr>
      <w:r>
        <w:rPr>
          <w:rFonts w:eastAsia="georgia" w:cs="georgia" w:ascii="georgia" w:hAnsi="georgia"/>
          <w:b/>
          <w:color w:val="000000"/>
          <w:sz w:val="21"/>
        </w:rPr>
        <w:t xml:space="preserve">Communications protocol activation:</w:t>
      </w:r>
      <w:r>
        <w:rPr>
          <w:rFonts w:eastAsia="georgia" w:cs="georgia" w:ascii="georgia" w:hAnsi="georgia"/>
          <w:color w:val="000000"/>
          <w:sz w:val="21"/>
        </w:rPr>
        <w:t xml:space="preserve"> When a reputational threat emerges, no team member speaks publicly about the research without authorization. A single designated spokesperson is established. Responses are coordinated, not improvised.</w:t>
      </w:r>
    </w:p>
    <w:p>
      <w:pPr>
        <w:numPr>
          <w:ilvl w:val="0"/>
          <w:numId w:val="10"/>
        </w:numPr>
        <w:spacing w:line="360" w:before="105" w:after="105" w:lineRule="auto"/>
      </w:pPr>
      <w:r>
        <w:rPr>
          <w:rFonts w:eastAsia="georgia" w:cs="georgia" w:ascii="georgia" w:hAnsi="georgia"/>
          <w:b/>
          <w:color w:val="000000"/>
          <w:sz w:val="21"/>
        </w:rPr>
        <w:t xml:space="preserve">Participant protection first:</w:t>
      </w:r>
      <w:r>
        <w:rPr>
          <w:rFonts w:eastAsia="georgia" w:cs="georgia" w:ascii="georgia" w:hAnsi="georgia"/>
          <w:color w:val="000000"/>
          <w:sz w:val="21"/>
        </w:rPr>
        <w:t xml:space="preserve"> In any reputational threat scenario, the first obligation is to participants. Their confidentiality and wellbeing take precedence over organizational reputation. This is both ethically required and strategically optimal.</w:t>
      </w:r>
    </w:p>
    <w:p>
      <w:pPr>
        <w:numPr>
          <w:ilvl w:val="0"/>
          <w:numId w:val="10"/>
        </w:numPr>
        <w:spacing w:line="360" w:before="105" w:after="105" w:lineRule="auto"/>
      </w:pPr>
      <w:r>
        <w:rPr>
          <w:rFonts w:eastAsia="georgia" w:cs="georgia" w:ascii="georgia" w:hAnsi="georgia"/>
          <w:b/>
          <w:color w:val="000000"/>
          <w:sz w:val="21"/>
        </w:rPr>
        <w:t xml:space="preserve">Pause vs. termination distinction:</w:t>
      </w:r>
      <w:r>
        <w:rPr>
          <w:rFonts w:eastAsia="georgia" w:cs="georgia" w:ascii="georgia" w:hAnsi="georgia"/>
          <w:color w:val="000000"/>
          <w:sz w:val="21"/>
        </w:rPr>
        <w:t xml:space="preserve"> Not every reputational event requires termination. The decision to terminate is irreversible and forfeits all investment to date. The decision to pause preserves options. The TFFP requires this distinction be made explicitly under all adversarial conditions.[^3]</w:t>
      </w:r>
    </w:p>
    <w:p>
      <w:pPr>
        <w:spacing w:line="360" w:after="210" w:lineRule="auto"/>
      </w:pPr>
      <w:r>
        <w:rPr>
          <w:rFonts w:eastAsia="georgia" w:cs="georgia" w:ascii="georgia" w:hAnsi="georgia"/>
          <w:b/>
          <w:color w:val="000000"/>
        </w:rPr>
        <w:t xml:space="preserve">Gemini Red Team — Protocol Weaponization Risk:</w:t>
      </w:r>
      <w:r>
        <w:rPr>
          <w:rFonts w:eastAsia="georgia" w:cs="georgia" w:ascii="georgia" w:hAnsi="georgia"/>
          <w:color w:val="000000"/>
        </w:rPr>
        <w:t xml:space="preserve"> If adversaries or internal saboteurs know the exact triggers for the TFFP, they can manufacture the conditions that activate it — fabricating negative PR, intimidating the participant pool, or engineering funding pressure — to force termination of valid research. The protocol that saves the system becomes the weapon used to shut it down. Countermeasures and threat awareness provisions are addressed in Section 26.[^2]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ection_18_recursive_learning_and_99a39c"/>
      <w:r>
        <w:rPr>
          <w:rFonts w:eastAsia="georgia" w:cs="georgia" w:ascii="georgia" w:hAnsi="georgia"/>
          <w:b/>
          <w:color w:val="000000"/>
          <w:sz w:val="24"/>
        </w:rPr>
        <w:t xml:space="preserve">Section 18 — Recursive Learning and Improvement Integration</w:t>
      </w:r>
      <w:bookmarkEnd w:id="27"/>
    </w:p>
    <w:p>
      <w:pPr>
        <w:spacing w:line="360" w:after="210" w:lineRule="auto"/>
      </w:pPr>
      <w:r>
        <w:rPr>
          <w:rFonts w:eastAsia="georgia" w:cs="georgia" w:ascii="georgia" w:hAnsi="georgia"/>
          <w:color w:val="000000"/>
        </w:rPr>
        <w:t xml:space="preserve">The learning obligation is non-optional, non-delegable, and non-discretionary. Every completed TFFP failure event produces a mandatory learning output within 30 days of program closure.[^3]</w:t>
      </w:r>
    </w:p>
    <w:p>
      <w:pPr>
        <w:spacing w:line="360" w:after="210" w:lineRule="auto"/>
      </w:pPr>
      <w:r>
        <w:rPr>
          <w:rFonts w:eastAsia="georgia" w:cs="georgia" w:ascii="georgia" w:hAnsi="georgia"/>
          <w:b/>
          <w:color w:val="000000"/>
        </w:rPr>
        <w:t xml:space="preserve">Mandatory Learning Output Components:</w:t>
      </w:r>
    </w:p>
    <w:p>
      <w:pPr>
        <w:numPr>
          <w:ilvl w:val="0"/>
          <w:numId w:val="11"/>
        </w:numPr>
        <w:spacing w:line="360" w:before="105" w:after="105" w:lineRule="auto"/>
      </w:pPr>
      <w:r>
        <w:rPr>
          <w:rFonts w:eastAsia="georgia" w:cs="georgia" w:ascii="georgia" w:hAnsi="georgia"/>
          <w:b/>
          <w:color w:val="000000"/>
          <w:sz w:val="21"/>
        </w:rPr>
        <w:t xml:space="preserve">Root cause analysis:</w:t>
      </w:r>
      <w:r>
        <w:rPr>
          <w:rFonts w:eastAsia="georgia" w:cs="georgia" w:ascii="georgia" w:hAnsi="georgia"/>
          <w:color w:val="000000"/>
          <w:sz w:val="21"/>
        </w:rPr>
        <w:t xml:space="preserve"> Primary cause, contributing factors, earliest detectable indicators, and when those indicators first appeared.</w:t>
      </w:r>
    </w:p>
    <w:p>
      <w:pPr>
        <w:numPr>
          <w:ilvl w:val="0"/>
          <w:numId w:val="11"/>
        </w:numPr>
        <w:spacing w:line="360" w:before="105" w:after="105" w:lineRule="auto"/>
      </w:pPr>
      <w:r>
        <w:rPr>
          <w:rFonts w:eastAsia="georgia" w:cs="georgia" w:ascii="georgia" w:hAnsi="georgia"/>
          <w:b/>
          <w:color w:val="000000"/>
          <w:sz w:val="21"/>
        </w:rPr>
        <w:t xml:space="preserve">Early warning gap analysis:</w:t>
      </w:r>
      <w:r>
        <w:rPr>
          <w:rFonts w:eastAsia="georgia" w:cs="georgia" w:ascii="georgia" w:hAnsi="georgia"/>
          <w:color w:val="000000"/>
          <w:sz w:val="21"/>
        </w:rPr>
        <w:t xml:space="preserve"> Were thresholds adequate? Were they monitored? Were breaches acted upon? If not, why not?</w:t>
      </w:r>
    </w:p>
    <w:p>
      <w:pPr>
        <w:numPr>
          <w:ilvl w:val="0"/>
          <w:numId w:val="11"/>
        </w:numPr>
        <w:spacing w:line="360" w:before="105" w:after="105" w:lineRule="auto"/>
      </w:pPr>
      <w:r>
        <w:rPr>
          <w:rFonts w:eastAsia="georgia" w:cs="georgia" w:ascii="georgia" w:hAnsi="georgia"/>
          <w:b/>
          <w:color w:val="000000"/>
          <w:sz w:val="21"/>
        </w:rPr>
        <w:t xml:space="preserve">Protocol adequacy assessment:</w:t>
      </w:r>
      <w:r>
        <w:rPr>
          <w:rFonts w:eastAsia="georgia" w:cs="georgia" w:ascii="georgia" w:hAnsi="georgia"/>
          <w:color w:val="000000"/>
          <w:sz w:val="21"/>
        </w:rPr>
        <w:t xml:space="preserve"> Did the TFFP response protocol work as designed? Where did it hesitate, fail, or produce unexpected outcomes?</w:t>
      </w:r>
    </w:p>
    <w:p>
      <w:pPr>
        <w:numPr>
          <w:ilvl w:val="0"/>
          <w:numId w:val="11"/>
        </w:numPr>
        <w:spacing w:line="360" w:before="105" w:after="105" w:lineRule="auto"/>
      </w:pPr>
      <w:r>
        <w:rPr>
          <w:rFonts w:eastAsia="georgia" w:cs="georgia" w:ascii="georgia" w:hAnsi="georgia"/>
          <w:b/>
          <w:color w:val="000000"/>
          <w:sz w:val="21"/>
        </w:rPr>
        <w:t xml:space="preserve">Future prevention recommendations:</w:t>
      </w:r>
      <w:r>
        <w:rPr>
          <w:rFonts w:eastAsia="georgia" w:cs="georgia" w:ascii="georgia" w:hAnsi="georgia"/>
          <w:color w:val="000000"/>
          <w:sz w:val="21"/>
        </w:rPr>
        <w:t xml:space="preserve"> Specific changes to research design, recruitment strategy, funding architecture, personnel planning, or institutional relationships that would have prevented or mitigated the failure.</w:t>
      </w:r>
    </w:p>
    <w:p>
      <w:pPr>
        <w:numPr>
          <w:ilvl w:val="0"/>
          <w:numId w:val="11"/>
        </w:numPr>
        <w:spacing w:line="360" w:before="105" w:after="105" w:lineRule="auto"/>
      </w:pPr>
      <w:r>
        <w:rPr>
          <w:rFonts w:eastAsia="georgia" w:cs="georgia" w:ascii="georgia" w:hAnsi="georgia"/>
          <w:b/>
          <w:color w:val="000000"/>
          <w:sz w:val="21"/>
        </w:rPr>
        <w:t xml:space="preserve">Transferable lessons:</w:t>
      </w:r>
      <w:r>
        <w:rPr>
          <w:rFonts w:eastAsia="georgia" w:cs="georgia" w:ascii="georgia" w:hAnsi="georgia"/>
          <w:color w:val="000000"/>
          <w:sz w:val="21"/>
        </w:rPr>
        <w:t xml:space="preserve"> Lessons applicable to other current or planned programs. Distributed to all active program leads.[^3]</w:t>
      </w:r>
    </w:p>
    <w:p>
      <w:pPr>
        <w:spacing w:line="360" w:after="210" w:lineRule="auto"/>
      </w:pPr>
      <w:r>
        <w:rPr>
          <w:rFonts w:eastAsia="georgia" w:cs="georgia" w:ascii="georgia" w:hAnsi="georgia"/>
          <w:color w:val="000000"/>
        </w:rPr>
        <w:t xml:space="preserve">All learning outputs are submitted to the Abundance Set and flagged for the Department of Endings for systematic cross-program pattern analysis. The Department of Endings maintains a cumulative record of all TFFP events, enabling detection of failure patterns that individual program analyses cannot reveal.[^3]</w:t>
      </w:r>
    </w:p>
    <w:p>
      <w:pPr>
        <w:spacing w:line="360" w:after="210" w:lineRule="auto"/>
      </w:pPr>
      <w:r>
        <w:rPr>
          <w:rFonts w:eastAsia="georgia" w:cs="georgia" w:ascii="georgia" w:hAnsi="georgia"/>
          <w:b/>
          <w:color w:val="000000"/>
        </w:rPr>
        <w:t xml:space="preserve">Recursive Failure Enforcement:</w:t>
      </w:r>
      <w:r>
        <w:rPr>
          <w:rFonts w:eastAsia="georgia" w:cs="georgia" w:ascii="georgia" w:hAnsi="georgia"/>
          <w:color w:val="000000"/>
        </w:rPr>
        <w:t xml:space="preserve"> The protocol punishes non-learning, not just failure. If a learning output is documented but not applied, and the same failure mode recurs, this constitutes a Class VII Recursive Failure — a distinct, classifiable event that is logged and analyzed independently of the original failure.[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ection_19_funding_proposal"/>
      <w:r>
        <w:rPr>
          <w:rFonts w:eastAsia="georgia" w:cs="georgia" w:ascii="georgia" w:hAnsi="georgia"/>
          <w:b/>
          <w:color w:val="000000"/>
          <w:sz w:val="24"/>
        </w:rPr>
        <w:t xml:space="preserve">Section 19 — Funding Proposal</w:t>
      </w:r>
      <w:bookmarkEnd w:id="28"/>
    </w:p>
    <w:p>
      <w:pPr>
        <w:spacing w:line="360" w:before="315" w:after="105" w:lineRule="auto"/>
        <w:ind w:left="-30"/>
        <w:jc w:val="left"/>
      </w:pPr>
      <w:bookmarkStart w:id="29" w:name="bm_19_1_internal_funding_operatio_289a31"/>
      <w:r>
        <w:rPr>
          <w:rFonts w:eastAsia="georgia" w:cs="georgia" w:ascii="georgia" w:hAnsi="georgia"/>
          <w:b/>
          <w:color w:val="000000"/>
          <w:sz w:val="24"/>
        </w:rPr>
        <w:t xml:space="preserve">19.1 Internal Funding — Operational Implementation</w:t>
      </w:r>
      <w:bookmarkEnd w:id="29"/>
    </w:p>
    <w:p>
      <w:pPr>
        <w:spacing w:line="360" w:after="210" w:lineRule="auto"/>
      </w:pPr>
      <w:r>
        <w:rPr>
          <w:rFonts w:eastAsia="georgia" w:cs="georgia" w:ascii="georgia" w:hAnsi="georgia"/>
          <w:color w:val="000000"/>
        </w:rPr>
        <w:t xml:space="preserve">The TFFP is an operational document. Its primary funding requirement is personnel time.[^3]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Estimated Time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Protocol development and customization per program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8–16 hours at initiation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Threshold monitoring during active programs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 hours per week per active program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Continuity review convening and documentation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4–8 hours per REVIEW or WARNING event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Failure report and mandatory learning output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16–40 hours per SUSPENSION or TERMINATION</w:t>
            </w:r>
          </w:p>
        </w:tc>
      </w:tr>
    </w:tbl>
    <w:p>
      <w:pPr>
        <w:spacing w:lineRule="auto"/>
      </w:pPr>
    </w:p>
    <w:p>
      <w:pPr>
        <w:spacing w:line="360" w:after="210" w:lineRule="auto"/>
      </w:pPr>
      <w:r>
        <w:rPr>
          <w:rFonts w:eastAsia="georgia" w:cs="georgia" w:ascii="georgia" w:hAnsi="georgia"/>
          <w:color w:val="000000"/>
        </w:rPr>
        <w:t xml:space="preserve">At current OAL scale, these requirements are absorbed within existing research operations staff. Dedicated TFFP staff are not required until the number of simultaneously active programs exceeds eight.[^3]</w:t>
      </w:r>
    </w:p>
    <w:p>
      <w:pPr>
        <w:spacing w:line="360" w:before="315" w:after="105" w:lineRule="auto"/>
        <w:ind w:left="-30"/>
        <w:jc w:val="left"/>
      </w:pPr>
      <w:bookmarkStart w:id="30" w:name="bm_19_2_external_funding_research_ba4b1f"/>
      <w:r>
        <w:rPr>
          <w:rFonts w:eastAsia="georgia" w:cs="georgia" w:ascii="georgia" w:hAnsi="georgia"/>
          <w:b/>
          <w:color w:val="000000"/>
          <w:sz w:val="24"/>
        </w:rPr>
        <w:t xml:space="preserve">19.2 External Funding — Research Governance Innovation</w:t>
      </w:r>
      <w:bookmarkEnd w:id="30"/>
    </w:p>
    <w:p>
      <w:pPr>
        <w:spacing w:line="360" w:after="210" w:lineRule="auto"/>
      </w:pPr>
      <w:r>
        <w:rPr>
          <w:rFonts w:eastAsia="georgia" w:cs="georgia" w:ascii="georgia" w:hAnsi="georgia"/>
          <w:color w:val="000000"/>
        </w:rPr>
        <w:t xml:space="preserve">The TFFP represents a genuine and original contribution to research governance methodology. External funding pathways include: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Funding Source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Estimated 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NIH Office of Research Integrity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quality and integrity improvement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$150K–$500K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NSF Science of Science and Innovation Policy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on improving research practices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$200K–$600K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DARPA Biological Technologies Office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resilience under degraded conditions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$500K–$2M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DHS CISA / Continuity of Operations programs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Mission continuity doctrine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$500K–$3M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Gates Foundation / Wellcome Trust / Arnold Ventures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ethics and governance innovation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$300K–$1M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Academic peer-reviewed publication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Institutional recognition and citation value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Non-monetary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Consulting and licensing to external organizations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Governance methodology licensing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Revenue-generating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3][</w:t>
            </w:r>
            <w:r>
              <w:rPr>
                <w:rFonts w:eastAsia="helvetica neue" w:cs="helvetica neue" w:ascii="helvetica neue" w:hAnsi="helvetica neue"/>
                <w:color w:val="000000"/>
                <w:sz w:val="17"/>
              </w:rPr>
              <w:t xml:space="preserve">2][^5]</w:t>
            </w:r>
          </w:p>
        </w:tc>
      </w:tr>
    </w:tbl>
    <w:p>
      <w:pPr>
        <w:spacing w:lineRule="auto"/>
      </w:pPr>
    </w:p>
    <w:p>
      <w:pPr>
        <w:spacing w:line="360" w:before="315" w:after="105" w:lineRule="auto"/>
        <w:ind w:left="-30"/>
        <w:jc w:val="left"/>
      </w:pPr>
      <w:bookmarkStart w:id="31" w:name="bm_19_3_the_roi_case"/>
      <w:r>
        <w:rPr>
          <w:rFonts w:eastAsia="georgia" w:cs="georgia" w:ascii="georgia" w:hAnsi="georgia"/>
          <w:b/>
          <w:color w:val="000000"/>
          <w:sz w:val="24"/>
        </w:rPr>
        <w:t xml:space="preserve">19.3 The ROI Case</w:t>
      </w:r>
      <w:bookmarkEnd w:id="31"/>
    </w:p>
    <w:p>
      <w:pPr>
        <w:spacing w:line="360" w:after="210" w:lineRule="auto"/>
      </w:pPr>
      <w:r>
        <w:rPr>
          <w:rFonts w:eastAsia="georgia" w:cs="georgia" w:ascii="georgia" w:hAnsi="georgia"/>
          <w:color w:val="000000"/>
        </w:rPr>
        <w:t xml:space="preserve">A single research program brought through a Class I or Class II failure event to successful modified completion — rather than unmanaged termination — recovers the entire development cost of the TFFP many times over. The documented cost differential between managed and unmanaged research program failures in academic and clinical research literature supports this calculation.[</w:t>
      </w:r>
      <w:r>
        <w:rPr>
          <w:rFonts w:eastAsia="georgia" w:cs="georgia" w:ascii="georgia" w:hAnsi="georgia"/>
          <w:color w:val="000000"/>
          <w:vertAlign w:val="superscript"/>
        </w:rPr>
        <w:t xml:space="preserve">3][</w:t>
      </w:r>
      <w:r>
        <w:rPr>
          <w:rFonts w:eastAsia="georgia" w:cs="georgia" w:ascii="georgia" w:hAnsi="georgia"/>
          <w:color w:val="000000"/>
        </w:rPr>
        <w:t xml:space="preserve">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ection_20_ethics_and_morality_framework"/>
      <w:r>
        <w:rPr>
          <w:rFonts w:eastAsia="georgia" w:cs="georgia" w:ascii="georgia" w:hAnsi="georgia"/>
          <w:b/>
          <w:color w:val="000000"/>
          <w:sz w:val="24"/>
        </w:rPr>
        <w:t xml:space="preserve">Section 20 — Ethics and Morality Framework</w:t>
      </w:r>
      <w:bookmarkEnd w:id="32"/>
    </w:p>
    <w:p>
      <w:pPr>
        <w:spacing w:line="360" w:before="315" w:after="105" w:lineRule="auto"/>
        <w:ind w:left="-30"/>
        <w:jc w:val="left"/>
      </w:pPr>
      <w:bookmarkStart w:id="33" w:name="bm_20_1_the_ethical_obligations_c_c62a3f"/>
      <w:r>
        <w:rPr>
          <w:rFonts w:eastAsia="georgia" w:cs="georgia" w:ascii="georgia" w:hAnsi="georgia"/>
          <w:b/>
          <w:color w:val="000000"/>
          <w:sz w:val="24"/>
        </w:rPr>
        <w:t xml:space="preserve">20.1 The Ethical Obligations Created by This Protocol</w:t>
      </w:r>
      <w:bookmarkEnd w:id="33"/>
    </w:p>
    <w:p>
      <w:pPr>
        <w:spacing w:line="360" w:after="210" w:lineRule="auto"/>
      </w:pPr>
      <w:r>
        <w:rPr>
          <w:rFonts w:eastAsia="georgia" w:cs="georgia" w:ascii="georgia" w:hAnsi="georgia"/>
          <w:color w:val="000000"/>
        </w:rPr>
        <w:t xml:space="preserve">The TFFP creates ethical obligations, not just operational procedures. These obligations are non-negotiable and take precedence over research completion goals, funding timelines, and organizational interests.[^3]</w:t>
      </w:r>
    </w:p>
    <w:p>
      <w:pPr>
        <w:spacing w:line="360" w:before="315" w:after="105" w:lineRule="auto"/>
        <w:ind w:left="-30"/>
        <w:jc w:val="left"/>
      </w:pPr>
      <w:bookmarkStart w:id="34" w:name="bm_20_2_the_obligation_to_stop"/>
      <w:r>
        <w:rPr>
          <w:rFonts w:eastAsia="georgia" w:cs="georgia" w:ascii="georgia" w:hAnsi="georgia"/>
          <w:b/>
          <w:color w:val="000000"/>
          <w:sz w:val="24"/>
        </w:rPr>
        <w:t xml:space="preserve">20.2 The Obligation to Stop</w:t>
      </w:r>
      <w:bookmarkEnd w:id="34"/>
    </w:p>
    <w:p>
      <w:pPr>
        <w:spacing w:line="360" w:after="210" w:lineRule="auto"/>
      </w:pPr>
      <w:r>
        <w:rPr>
          <w:rFonts w:eastAsia="georgia" w:cs="georgia" w:ascii="georgia" w:hAnsi="georgia"/>
          <w:color w:val="000000"/>
        </w:rPr>
        <w:t xml:space="preserve">The most important ethical function of the TFFP is institutional permission to stop. Research institutions frequently fail to stop programs that should be stopped because stopping feels like failure. The TFFP reframes stopping as the responsible outcome — the evidence-based, pre-authorized decision that protects participants, preserves valid data, and enables learning.[^3]</w:t>
      </w:r>
    </w:p>
    <w:p>
      <w:pPr>
        <w:spacing w:line="360" w:after="210" w:lineRule="auto"/>
      </w:pPr>
      <w:r>
        <w:rPr>
          <w:rFonts w:eastAsia="georgia" w:cs="georgia" w:ascii="georgia" w:hAnsi="georgia"/>
          <w:color w:val="000000"/>
        </w:rPr>
        <w:t xml:space="preserve">Google Gemini documented the historical case for this explicitly: the worst atrocities in research history — MKULTRA, Tuskegee — occurred because the institutions lacked any equivalent of a Protocol Zero. They suffered extreme ethical or operational degradation but possessed no mechanical framework that forced them to stop. The TFFP is, in part, a standing institutional commitment that those conditions cannot arise within OAL, Lewis Corp, or ONE Industries.[</w:t>
      </w:r>
      <w:r>
        <w:rPr>
          <w:rFonts w:eastAsia="georgia" w:cs="georgia" w:ascii="georgia" w:hAnsi="georgia"/>
          <w:color w:val="000000"/>
          <w:vertAlign w:val="superscript"/>
        </w:rPr>
        <w:t xml:space="preserve">2][</w:t>
      </w:r>
      <w:r>
        <w:rPr>
          <w:rFonts w:eastAsia="georgia" w:cs="georgia" w:ascii="georgia" w:hAnsi="georgia"/>
          <w:color w:val="000000"/>
        </w:rPr>
        <w:t xml:space="preserve">4]</w:t>
      </w:r>
    </w:p>
    <w:p>
      <w:pPr>
        <w:spacing w:line="360" w:before="315" w:after="105" w:lineRule="auto"/>
        <w:ind w:left="-30"/>
        <w:jc w:val="left"/>
      </w:pPr>
      <w:bookmarkStart w:id="35" w:name="bm_20_3_participant_protection_as_146abb"/>
      <w:r>
        <w:rPr>
          <w:rFonts w:eastAsia="georgia" w:cs="georgia" w:ascii="georgia" w:hAnsi="georgia"/>
          <w:b/>
          <w:color w:val="000000"/>
          <w:sz w:val="24"/>
        </w:rPr>
        <w:t xml:space="preserve">20.3 Participant Protection as Non-Negotiable</w:t>
      </w:r>
      <w:bookmarkEnd w:id="35"/>
    </w:p>
    <w:p>
      <w:pPr>
        <w:spacing w:line="360" w:after="210" w:lineRule="auto"/>
      </w:pPr>
      <w:r>
        <w:rPr>
          <w:rFonts w:eastAsia="georgia" w:cs="georgia" w:ascii="georgia" w:hAnsi="georgia"/>
          <w:color w:val="000000"/>
        </w:rPr>
        <w:t xml:space="preserve">Participant confidentiality, safety, and dignity are non-negotiable conditions that precede all other TFFP considerations. No data collection, no recovery pathway, no bridge funding arrangement, and no continuation decision may be made without first ensuring that participant rights and wellbeing are fully protected.[^3]</w:t>
      </w:r>
    </w:p>
    <w:p>
      <w:pPr>
        <w:spacing w:line="360" w:before="315" w:after="105" w:lineRule="auto"/>
        <w:ind w:left="-30"/>
        <w:jc w:val="left"/>
      </w:pPr>
      <w:bookmarkStart w:id="36" w:name="bm_20_4_the_ethics_review_team_function"/>
      <w:r>
        <w:rPr>
          <w:rFonts w:eastAsia="georgia" w:cs="georgia" w:ascii="georgia" w:hAnsi="georgia"/>
          <w:b/>
          <w:color w:val="000000"/>
          <w:sz w:val="24"/>
        </w:rPr>
        <w:t xml:space="preserve">20.4 The Ethics Review Team Function</w:t>
      </w:r>
      <w:bookmarkEnd w:id="36"/>
    </w:p>
    <w:p>
      <w:pPr>
        <w:spacing w:line="360" w:after="210" w:lineRule="auto"/>
      </w:pPr>
      <w:r>
        <w:rPr>
          <w:rFonts w:eastAsia="georgia" w:cs="georgia" w:ascii="georgia" w:hAnsi="georgia"/>
          <w:color w:val="000000"/>
        </w:rPr>
        <w:t xml:space="preserve">The TFFP requires an Ethics and Continuity Review Team (ECRT) to convene whenever a program reaches Level 3 or above. ECRT responsibilities:</w:t>
      </w:r>
    </w:p>
    <w:p>
      <w:pPr>
        <w:numPr>
          <w:ilvl w:val="0"/>
          <w:numId w:val="12"/>
        </w:numPr>
        <w:spacing w:line="360" w:before="105" w:after="105" w:lineRule="auto"/>
      </w:pPr>
      <w:r>
        <w:rPr>
          <w:rFonts w:eastAsia="georgia" w:cs="georgia" w:ascii="georgia" w:hAnsi="georgia"/>
          <w:color w:val="000000"/>
          <w:sz w:val="21"/>
        </w:rPr>
        <w:t xml:space="preserve">Determine whether continuation remains ethical under current conditions</w:t>
      </w:r>
    </w:p>
    <w:p>
      <w:pPr>
        <w:numPr>
          <w:ilvl w:val="0"/>
          <w:numId w:val="12"/>
        </w:numPr>
        <w:spacing w:line="360" w:before="105" w:after="105" w:lineRule="auto"/>
      </w:pPr>
      <w:r>
        <w:rPr>
          <w:rFonts w:eastAsia="georgia" w:cs="georgia" w:ascii="georgia" w:hAnsi="georgia"/>
          <w:color w:val="000000"/>
          <w:sz w:val="21"/>
        </w:rPr>
        <w:t xml:space="preserve">Determine whether participant trust or safety has been compromised</w:t>
      </w:r>
    </w:p>
    <w:p>
      <w:pPr>
        <w:numPr>
          <w:ilvl w:val="0"/>
          <w:numId w:val="12"/>
        </w:numPr>
        <w:spacing w:line="360" w:before="105" w:after="105" w:lineRule="auto"/>
      </w:pPr>
      <w:r>
        <w:rPr>
          <w:rFonts w:eastAsia="georgia" w:cs="georgia" w:ascii="georgia" w:hAnsi="georgia"/>
          <w:color w:val="000000"/>
          <w:sz w:val="21"/>
        </w:rPr>
        <w:t xml:space="preserve">Determine whether redesign is required to restore ethical validity</w:t>
      </w:r>
    </w:p>
    <w:p>
      <w:pPr>
        <w:numPr>
          <w:ilvl w:val="0"/>
          <w:numId w:val="12"/>
        </w:numPr>
        <w:spacing w:line="360" w:before="105" w:after="105" w:lineRule="auto"/>
      </w:pPr>
      <w:r>
        <w:rPr>
          <w:rFonts w:eastAsia="georgia" w:cs="georgia" w:ascii="georgia" w:hAnsi="georgia"/>
          <w:color w:val="000000"/>
          <w:sz w:val="21"/>
        </w:rPr>
        <w:t xml:space="preserve">Identify whether the failure was avoidable and, if so, why it was not prevented</w:t>
      </w:r>
    </w:p>
    <w:p>
      <w:pPr>
        <w:numPr>
          <w:ilvl w:val="0"/>
          <w:numId w:val="12"/>
        </w:numPr>
        <w:spacing w:line="360" w:before="105" w:after="105" w:lineRule="auto"/>
      </w:pPr>
      <w:r>
        <w:rPr>
          <w:rFonts w:eastAsia="georgia" w:cs="georgia" w:ascii="georgia" w:hAnsi="georgia"/>
          <w:color w:val="000000"/>
          <w:sz w:val="21"/>
        </w:rPr>
        <w:t xml:space="preserve">Ensure that pressure to continue does not override safety, validity, or consent[</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spacing w:line="360" w:before="315" w:after="105" w:lineRule="auto"/>
        <w:ind w:left="-30"/>
        <w:jc w:val="left"/>
      </w:pPr>
      <w:bookmarkStart w:id="37" w:name="bm_20_5_ethics_of_the_protocol_itself"/>
      <w:r>
        <w:rPr>
          <w:rFonts w:eastAsia="georgia" w:cs="georgia" w:ascii="georgia" w:hAnsi="georgia"/>
          <w:b/>
          <w:color w:val="000000"/>
          <w:sz w:val="24"/>
        </w:rPr>
        <w:t xml:space="preserve">20.5 Ethics of the Protocol Itself</w:t>
      </w:r>
      <w:bookmarkEnd w:id="37"/>
    </w:p>
    <w:p>
      <w:pPr>
        <w:spacing w:line="360" w:after="210" w:lineRule="auto"/>
      </w:pPr>
      <w:r>
        <w:rPr>
          <w:rFonts w:eastAsia="georgia" w:cs="georgia" w:ascii="georgia" w:hAnsi="georgia"/>
          <w:color w:val="000000"/>
        </w:rPr>
        <w:t xml:space="preserve">The ECRT also reviews the TFFP's own operation. A continuity protocol that is used to suppress controversial but valid research, or that is triggered by manufactured conditions rather than genuine failure, is itself an ethical violation. The protocol must be applied with the same integrity it demands of the research programs it governs.[^2]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section_21_research_and_analysis_607e96"/>
      <w:r>
        <w:rPr>
          <w:rFonts w:eastAsia="georgia" w:cs="georgia" w:ascii="georgia" w:hAnsi="georgia"/>
          <w:b/>
          <w:color w:val="000000"/>
          <w:sz w:val="24"/>
        </w:rPr>
        <w:t xml:space="preserve">Section 21 — Research and Analysis: Supporting Evidence</w:t>
      </w:r>
      <w:bookmarkEnd w:id="38"/>
    </w:p>
    <w:p>
      <w:pPr>
        <w:spacing w:line="360" w:after="210" w:lineRule="auto"/>
      </w:pPr>
      <w:r>
        <w:rPr>
          <w:rFonts w:eastAsia="georgia" w:cs="georgia" w:ascii="georgia" w:hAnsi="georgia"/>
          <w:color w:val="000000"/>
        </w:rPr>
        <w:t xml:space="preserve">The following real-world research programs, frameworks, and institutional precedents support the design principles of the TFFP.[</w:t>
      </w:r>
      <w:r>
        <w:rPr>
          <w:rFonts w:eastAsia="georgia" w:cs="georgia" w:ascii="georgia" w:hAnsi="georgia"/>
          <w:color w:val="000000"/>
          <w:vertAlign w:val="superscript"/>
        </w:rPr>
        <w:t xml:space="preserve">7][</w:t>
      </w:r>
      <w:r>
        <w:rPr>
          <w:rFonts w:eastAsia="georgia" w:cs="georgia" w:ascii="georgia" w:hAnsi="georgia"/>
          <w:color w:val="000000"/>
        </w:rPr>
        <w:t xml:space="preserve">8][</w:t>
      </w:r>
      <w:r>
        <w:rPr>
          <w:rFonts w:eastAsia="georgia" w:cs="georgia" w:ascii="georgia" w:hAnsi="georgia"/>
          <w:color w:val="000000"/>
          <w:vertAlign w:val="superscript"/>
        </w:rPr>
        <w:t xml:space="preserve">9][</w:t>
      </w:r>
      <w:r>
        <w:rPr>
          <w:rFonts w:eastAsia="georgia" w:cs="georgia" w:ascii="georgia" w:hAnsi="georgia"/>
          <w:color w:val="000000"/>
        </w:rPr>
        <w:t xml:space="preserve">10]</w:t>
      </w:r>
    </w:p>
    <w:p>
      <w:pPr>
        <w:spacing w:line="360" w:after="210" w:lineRule="auto"/>
      </w:pPr>
      <w:r>
        <w:rPr>
          <w:rFonts w:eastAsia="georgia" w:cs="georgia" w:ascii="georgia" w:hAnsi="georgia"/>
          <w:b/>
          <w:color w:val="000000"/>
        </w:rPr>
        <w:t xml:space="preserve">Clinical Trial Stopping Rules (FDA/EMA):</w:t>
      </w:r>
      <w:r>
        <w:rPr>
          <w:rFonts w:eastAsia="georgia" w:cs="georgia" w:ascii="georgia" w:hAnsi="georgia"/>
          <w:color w:val="000000"/>
        </w:rPr>
        <w:t xml:space="preserve"> Regulatory bodies governing human subjects research have long recognized that trials must have pre-defined stopping rules — conditions under which data collection ceases regardless of the desire to continue. The TFFP extends this principle from individual trial management to the broader framework condition where the trial itself cannot function.[^4]</w:t>
      </w:r>
    </w:p>
    <w:p>
      <w:pPr>
        <w:spacing w:line="360" w:after="210" w:lineRule="auto"/>
      </w:pPr>
      <w:r>
        <w:rPr>
          <w:rFonts w:eastAsia="georgia" w:cs="georgia" w:ascii="georgia" w:hAnsi="georgia"/>
          <w:b/>
          <w:color w:val="000000"/>
        </w:rPr>
        <w:t xml:space="preserve">Pre-Mortem Project Management (Klein, 1989; widely cited):</w:t>
      </w:r>
      <w:r>
        <w:rPr>
          <w:rFonts w:eastAsia="georgia" w:cs="georgia" w:ascii="georgia" w:hAnsi="georgia"/>
          <w:color w:val="000000"/>
        </w:rPr>
        <w:t xml:space="preserve"> Organizational psychology research supports the pre-mortem method — assuming a project has already failed and working backward to identify causes — as a highly effective tool for anticipating and preventing failure. The TFFP's early warning system is an operationalized, continuous version of this approach.[</w:t>
      </w:r>
      <w:r>
        <w:rPr>
          <w:rFonts w:eastAsia="georgia" w:cs="georgia" w:ascii="georgia" w:hAnsi="georgia"/>
          <w:color w:val="000000"/>
          <w:vertAlign w:val="superscript"/>
        </w:rPr>
        <w:t xml:space="preserve">8][</w:t>
      </w:r>
      <w:r>
        <w:rPr>
          <w:rFonts w:eastAsia="georgia" w:cs="georgia" w:ascii="georgia" w:hAnsi="georgia"/>
          <w:color w:val="000000"/>
        </w:rPr>
        <w:t xml:space="preserve">9][^10]</w:t>
      </w:r>
    </w:p>
    <w:p>
      <w:pPr>
        <w:spacing w:line="360" w:after="210" w:lineRule="auto"/>
      </w:pPr>
      <w:r>
        <w:rPr>
          <w:rFonts w:eastAsia="georgia" w:cs="georgia" w:ascii="georgia" w:hAnsi="georgia"/>
          <w:b/>
          <w:color w:val="000000"/>
        </w:rPr>
        <w:t xml:space="preserve">NASA Lessons Learned Database:</w:t>
      </w:r>
      <w:r>
        <w:rPr>
          <w:rFonts w:eastAsia="georgia" w:cs="georgia" w:ascii="georgia" w:hAnsi="georgia"/>
          <w:color w:val="000000"/>
        </w:rPr>
        <w:t xml:space="preserve"> NASA's Mishap Investigation process and Lessons Learned database represent one of the most robust institutional implementations of mandatory failure learning in operational settings. The design principle — that failure events must be systematically captured and fed back into future operations — is directly analogous to the TFFP's recursive learning obligation.[</w:t>
      </w:r>
      <w:r>
        <w:rPr>
          <w:rFonts w:eastAsia="georgia" w:cs="georgia" w:ascii="georgia" w:hAnsi="georgia"/>
          <w:color w:val="000000"/>
          <w:vertAlign w:val="superscript"/>
        </w:rPr>
        <w:t xml:space="preserve">11][</w:t>
      </w:r>
      <w:r>
        <w:rPr>
          <w:rFonts w:eastAsia="georgia" w:cs="georgia" w:ascii="georgia" w:hAnsi="georgia"/>
          <w:color w:val="000000"/>
        </w:rPr>
        <w:t xml:space="preserve">12]</w:t>
      </w:r>
    </w:p>
    <w:p>
      <w:pPr>
        <w:spacing w:line="360" w:after="210" w:lineRule="auto"/>
      </w:pPr>
      <w:r>
        <w:rPr>
          <w:rFonts w:eastAsia="georgia" w:cs="georgia" w:ascii="georgia" w:hAnsi="georgia"/>
          <w:b/>
          <w:color w:val="000000"/>
        </w:rPr>
        <w:t xml:space="preserve">Chaos Engineering / Resilience Modeling:</w:t>
      </w:r>
      <w:r>
        <w:rPr>
          <w:rFonts w:eastAsia="georgia" w:cs="georgia" w:ascii="georgia" w:hAnsi="georgia"/>
          <w:color w:val="000000"/>
        </w:rPr>
        <w:t xml:space="preserve"> Developed by major technology infrastructure organizations (Netflix's Chaos Monkey program, widely cited), this methodology deliberately injects failure into systems to test resilience and expose vulnerabilities before they cause uncontrolled failure. The TFFP applies analogous principles to research program architecture.[^2]</w:t>
      </w:r>
    </w:p>
    <w:p>
      <w:pPr>
        <w:spacing w:line="360" w:after="210" w:lineRule="auto"/>
      </w:pPr>
      <w:r>
        <w:rPr>
          <w:rFonts w:eastAsia="georgia" w:cs="georgia" w:ascii="georgia" w:hAnsi="georgia"/>
          <w:b/>
          <w:color w:val="000000"/>
        </w:rPr>
        <w:t xml:space="preserve">University of Guelph Research Continuity Framework (2022):</w:t>
      </w:r>
      <w:r>
        <w:rPr>
          <w:rFonts w:eastAsia="georgia" w:cs="georgia" w:ascii="georgia" w:hAnsi="georgia"/>
          <w:color w:val="000000"/>
        </w:rPr>
        <w:t xml:space="preserve"> Documents real-world institutional implementation of research continuity planning, including disruption response protocols that share structural elements with the TFFP taxonomy.[^5]</w:t>
      </w:r>
    </w:p>
    <w:p>
      <w:pPr>
        <w:spacing w:line="360" w:after="210" w:lineRule="auto"/>
      </w:pPr>
      <w:r>
        <w:rPr>
          <w:rFonts w:eastAsia="georgia" w:cs="georgia" w:ascii="georgia" w:hAnsi="georgia"/>
          <w:b/>
          <w:color w:val="000000"/>
        </w:rPr>
        <w:t xml:space="preserve">Early Warning Systems in Clinical Contexts:</w:t>
      </w:r>
      <w:r>
        <w:rPr>
          <w:rFonts w:eastAsia="georgia" w:cs="georgia" w:ascii="georgia" w:hAnsi="georgia"/>
          <w:color w:val="000000"/>
        </w:rPr>
        <w:t xml:space="preserve"> Systematic review of early warning scoring systems demonstrates the effectiveness of graduated threshold monitoring in preventing catastrophic outcomes — the same design principle underlying the TFFP's threshold matrix.[^6]</w:t>
      </w:r>
    </w:p>
    <w:p>
      <w:pPr>
        <w:spacing w:line="360" w:after="210" w:lineRule="auto"/>
      </w:pPr>
      <w:r>
        <w:rPr>
          <w:rFonts w:eastAsia="georgia" w:cs="georgia" w:ascii="georgia" w:hAnsi="georgia"/>
          <w:b/>
          <w:color w:val="000000"/>
        </w:rPr>
        <w:t xml:space="preserve">Project Management Institute — Warning Signs in Complex Projects:</w:t>
      </w:r>
      <w:r>
        <w:rPr>
          <w:rFonts w:eastAsia="georgia" w:cs="georgia" w:ascii="georgia" w:hAnsi="georgia"/>
          <w:color w:val="000000"/>
        </w:rPr>
        <w:t xml:space="preserve"> PMI research documents the early warning indicators that precede complex project failure, validating the monitoring categories in the TFFP early warning system.[^7]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section_22_research_and_analysis_f8fadc"/>
      <w:r>
        <w:rPr>
          <w:rFonts w:eastAsia="georgia" w:cs="georgia" w:ascii="georgia" w:hAnsi="georgia"/>
          <w:b/>
          <w:color w:val="000000"/>
          <w:sz w:val="24"/>
        </w:rPr>
        <w:t xml:space="preserve">Section 22 — Research and Analysis: Dissenting and Counter Evidence</w:t>
      </w:r>
      <w:bookmarkEnd w:id="39"/>
    </w:p>
    <w:p>
      <w:pPr>
        <w:spacing w:line="360" w:after="210" w:lineRule="auto"/>
      </w:pPr>
      <w:r>
        <w:rPr>
          <w:rFonts w:eastAsia="georgia" w:cs="georgia" w:ascii="georgia" w:hAnsi="georgia"/>
          <w:color w:val="000000"/>
        </w:rPr>
        <w:t xml:space="preserve">The following represents legitimate institutional resistance and counter-evidence that must be acknowledged and addressed.[^2]</w:t>
      </w:r>
    </w:p>
    <w:p>
      <w:pPr>
        <w:spacing w:line="360" w:after="210" w:lineRule="auto"/>
      </w:pPr>
      <w:r>
        <w:rPr>
          <w:rFonts w:eastAsia="georgia" w:cs="georgia" w:ascii="georgia" w:hAnsi="georgia"/>
          <w:b/>
          <w:color w:val="000000"/>
        </w:rPr>
        <w:t xml:space="preserve">The Sunk Cost Resistance:</w:t>
      </w:r>
      <w:r>
        <w:rPr>
          <w:rFonts w:eastAsia="georgia" w:cs="georgia" w:ascii="georgia" w:hAnsi="georgia"/>
          <w:color w:val="000000"/>
        </w:rPr>
        <w:t xml:space="preserve"> Traditional R&amp;D institutional culture heavily resists formal termination protocols. Once significant capital is deployed, project managers routinely falsify data, ignore declining participant numbers, and override negative indicators rather than trigger a formal stop. This is not an argument against the TFFP — it is the primary argument for it. The protocol exists precisely because institutional bias toward continuation is documented and predictable.[^2]</w:t>
      </w:r>
    </w:p>
    <w:p>
      <w:pPr>
        <w:spacing w:line="360" w:after="210" w:lineRule="auto"/>
      </w:pPr>
      <w:r>
        <w:rPr>
          <w:rFonts w:eastAsia="georgia" w:cs="georgia" w:ascii="georgia" w:hAnsi="georgia"/>
          <w:b/>
          <w:color w:val="000000"/>
        </w:rPr>
        <w:t xml:space="preserve">Bureaucratic Drag Risk:</w:t>
      </w:r>
      <w:r>
        <w:rPr>
          <w:rFonts w:eastAsia="georgia" w:cs="georgia" w:ascii="georgia" w:hAnsi="georgia"/>
          <w:color w:val="000000"/>
        </w:rPr>
        <w:t xml:space="preserve"> Excessive process can choke productive research. A TFFP that requires multi-week reviews to respond to early warning indicators may cause more harm through paralysis than the failure it is designed to prevent. The graduated threshold architecture is designed to calibrate response to severity — not to trigger heavy-process responses to mild strain indicators.[^2]</w:t>
      </w:r>
    </w:p>
    <w:p>
      <w:pPr>
        <w:spacing w:line="360" w:after="210" w:lineRule="auto"/>
      </w:pPr>
      <w:r>
        <w:rPr>
          <w:rFonts w:eastAsia="georgia" w:cs="georgia" w:ascii="georgia" w:hAnsi="georgia"/>
          <w:b/>
          <w:color w:val="000000"/>
        </w:rPr>
        <w:t xml:space="preserve">False Positive Risk:</w:t>
      </w:r>
      <w:r>
        <w:rPr>
          <w:rFonts w:eastAsia="georgia" w:cs="georgia" w:ascii="georgia" w:hAnsi="georgia"/>
          <w:color w:val="000000"/>
        </w:rPr>
        <w:t xml:space="preserve"> A temporary dip in funding or a brief media controversy may trigger warning levels that, if acted upon too aggressively, terminate programs that would have recovered. The distinction between WATCH (elevated monitoring, no operational change) and CRITICAL (protocol invocation) is designed to create a buffer zone that prevents premature termination.[^2]</w:t>
      </w:r>
    </w:p>
    <w:p>
      <w:pPr>
        <w:spacing w:line="360" w:after="210" w:lineRule="auto"/>
      </w:pPr>
      <w:r>
        <w:rPr>
          <w:rFonts w:eastAsia="georgia" w:cs="georgia" w:ascii="georgia" w:hAnsi="georgia"/>
          <w:b/>
          <w:color w:val="000000"/>
        </w:rPr>
        <w:t xml:space="preserve">The Performative Compliance Risk (Copilot):</w:t>
      </w:r>
      <w:r>
        <w:rPr>
          <w:rFonts w:eastAsia="georgia" w:cs="georgia" w:ascii="georgia" w:hAnsi="georgia"/>
          <w:color w:val="000000"/>
        </w:rPr>
        <w:t xml:space="preserve"> If the sponsoring organization does not have explicit authority and budget to implement TFFP findings, the protocol becomes disaster-theater — documentation without consequence. This risk is addressed through the recursive failure classification: failure to act on documented learning is itself a classifiable TFFP event, creating accountability at the institutional level.[^2]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section_23_what_is_working"/>
      <w:r>
        <w:rPr>
          <w:rFonts w:eastAsia="georgia" w:cs="georgia" w:ascii="georgia" w:hAnsi="georgia"/>
          <w:b/>
          <w:color w:val="000000"/>
          <w:sz w:val="24"/>
        </w:rPr>
        <w:t xml:space="preserve">Section 23 — What Is Working</w:t>
      </w:r>
      <w:bookmarkEnd w:id="40"/>
    </w:p>
    <w:p>
      <w:pPr>
        <w:spacing w:line="360" w:after="210" w:lineRule="auto"/>
      </w:pPr>
      <w:r>
        <w:rPr>
          <w:rFonts w:eastAsia="georgia" w:cs="georgia" w:ascii="georgia" w:hAnsi="georgia"/>
          <w:color w:val="000000"/>
        </w:rPr>
        <w:t xml:space="preserve">The following elements of the TFFP concept are assessed as strong, functional, and ready for implementation without modification.</w:t>
      </w:r>
    </w:p>
    <w:p>
      <w:pPr>
        <w:numPr>
          <w:ilvl w:val="0"/>
          <w:numId w:val="13"/>
        </w:numPr>
        <w:spacing w:line="360" w:before="105" w:after="105" w:lineRule="auto"/>
      </w:pPr>
      <w:r>
        <w:rPr>
          <w:rFonts w:eastAsia="georgia" w:cs="georgia" w:ascii="georgia" w:hAnsi="georgia"/>
          <w:b/>
          <w:color w:val="000000"/>
          <w:sz w:val="21"/>
        </w:rPr>
        <w:t xml:space="preserve">The categorical distinction between error and framework failure</w:t>
      </w:r>
      <w:r>
        <w:rPr>
          <w:rFonts w:eastAsia="georgia" w:cs="georgia" w:ascii="georgia" w:hAnsi="georgia"/>
          <w:color w:val="000000"/>
          <w:sz w:val="21"/>
        </w:rPr>
        <w:t xml:space="preserve"> — universally recognized by all five contributing AIs as the most important and defensible element of the entire concept.[</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numPr>
          <w:ilvl w:val="0"/>
          <w:numId w:val="13"/>
        </w:numPr>
        <w:spacing w:line="360" w:before="105" w:after="105" w:lineRule="auto"/>
      </w:pPr>
      <w:r>
        <w:rPr>
          <w:rFonts w:eastAsia="georgia" w:cs="georgia" w:ascii="georgia" w:hAnsi="georgia"/>
          <w:b/>
          <w:color w:val="000000"/>
          <w:sz w:val="21"/>
        </w:rPr>
        <w:t xml:space="preserve">The recursive learning obligation</w:t>
      </w:r>
      <w:r>
        <w:rPr>
          <w:rFonts w:eastAsia="georgia" w:cs="georgia" w:ascii="georgia" w:hAnsi="georgia"/>
          <w:color w:val="000000"/>
          <w:sz w:val="21"/>
        </w:rPr>
        <w:t xml:space="preserve"> — identified by ChatGPT, Grok, and Claude as one of the most distinctive and professionally strong elements. The requirement to punish non-learning, not just failure, has no direct equivalent in standard research governance frameworks.[</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2]</w:t>
      </w:r>
    </w:p>
    <w:p>
      <w:pPr>
        <w:numPr>
          <w:ilvl w:val="0"/>
          <w:numId w:val="13"/>
        </w:numPr>
        <w:spacing w:line="360" w:before="105" w:after="105" w:lineRule="auto"/>
      </w:pPr>
      <w:r>
        <w:rPr>
          <w:rFonts w:eastAsia="georgia" w:cs="georgia" w:ascii="georgia" w:hAnsi="georgia"/>
          <w:b/>
          <w:color w:val="000000"/>
          <w:sz w:val="21"/>
        </w:rPr>
        <w:t xml:space="preserve">The six-class failure taxonomy</w:t>
      </w:r>
      <w:r>
        <w:rPr>
          <w:rFonts w:eastAsia="georgia" w:cs="georgia" w:ascii="georgia" w:hAnsi="georgia"/>
          <w:color w:val="000000"/>
          <w:sz w:val="21"/>
        </w:rPr>
        <w:t xml:space="preserve"> — comprehensive, mutually distinguishable, and applicable across the full OAL development track.[^3]</w:t>
      </w:r>
    </w:p>
    <w:p>
      <w:pPr>
        <w:numPr>
          <w:ilvl w:val="0"/>
          <w:numId w:val="13"/>
        </w:numPr>
        <w:spacing w:line="360" w:before="105" w:after="105" w:lineRule="auto"/>
      </w:pPr>
      <w:r>
        <w:rPr>
          <w:rFonts w:eastAsia="georgia" w:cs="georgia" w:ascii="georgia" w:hAnsi="georgia"/>
          <w:b/>
          <w:color w:val="000000"/>
          <w:sz w:val="21"/>
        </w:rPr>
        <w:t xml:space="preserve">The graduated threshold response architecture</w:t>
      </w:r>
      <w:r>
        <w:rPr>
          <w:rFonts w:eastAsia="georgia" w:cs="georgia" w:ascii="georgia" w:hAnsi="georgia"/>
          <w:color w:val="000000"/>
          <w:sz w:val="21"/>
        </w:rPr>
        <w:t xml:space="preserve"> — provides flexibility and proportionality, avoiding the brittleness of binary stop/continue decision trees.[^3]</w:t>
      </w:r>
    </w:p>
    <w:p>
      <w:pPr>
        <w:numPr>
          <w:ilvl w:val="0"/>
          <w:numId w:val="13"/>
        </w:numPr>
        <w:spacing w:line="360" w:before="105" w:after="105" w:lineRule="auto"/>
      </w:pPr>
      <w:r>
        <w:rPr>
          <w:rFonts w:eastAsia="georgia" w:cs="georgia" w:ascii="georgia" w:hAnsi="georgia"/>
          <w:b/>
          <w:color w:val="000000"/>
          <w:sz w:val="21"/>
        </w:rPr>
        <w:t xml:space="preserve">The ethics-forward framing</w:t>
      </w:r>
      <w:r>
        <w:rPr>
          <w:rFonts w:eastAsia="georgia" w:cs="georgia" w:ascii="georgia" w:hAnsi="georgia"/>
          <w:color w:val="000000"/>
          <w:sz w:val="21"/>
        </w:rPr>
        <w:t xml:space="preserve"> — the TFFP is not primarily a cost management tool; it is a participant protection and institutional integrity tool that happens to also protect investment. This framing is both ethically correct and strategically superior for external presentation.[</w:t>
      </w:r>
      <w:r>
        <w:rPr>
          <w:rFonts w:eastAsia="georgia" w:cs="georgia" w:ascii="georgia" w:hAnsi="georgia"/>
          <w:color w:val="000000"/>
          <w:sz w:val="21"/>
          <w:vertAlign w:val="superscript"/>
        </w:rPr>
        <w:t xml:space="preserve">4][</w:t>
      </w:r>
      <w:r>
        <w:rPr>
          <w:rFonts w:eastAsia="georgia" w:cs="georgia" w:ascii="georgia" w:hAnsi="georgia"/>
          <w:color w:val="000000"/>
          <w:sz w:val="21"/>
        </w:rPr>
        <w:t xml:space="preserve">3]</w:t>
      </w:r>
    </w:p>
    <w:p>
      <w:pPr>
        <w:numPr>
          <w:ilvl w:val="0"/>
          <w:numId w:val="13"/>
        </w:numPr>
        <w:spacing w:line="360" w:before="105" w:after="105" w:lineRule="auto"/>
      </w:pPr>
      <w:r>
        <w:rPr>
          <w:rFonts w:eastAsia="georgia" w:cs="georgia" w:ascii="georgia" w:hAnsi="georgia"/>
          <w:b/>
          <w:color w:val="000000"/>
          <w:sz w:val="21"/>
        </w:rPr>
        <w:t xml:space="preserve">Cross-project applicability</w:t>
      </w:r>
      <w:r>
        <w:rPr>
          <w:rFonts w:eastAsia="georgia" w:cs="georgia" w:ascii="georgia" w:hAnsi="georgia"/>
          <w:color w:val="000000"/>
          <w:sz w:val="21"/>
        </w:rPr>
        <w:t xml:space="preserve"> — the framework applies without modification to OMNICELLULAR trials, First Memory studies, the three ratified projects, MVES, QIFTF, and all future OAL programs.[</w:t>
      </w:r>
      <w:r>
        <w:rPr>
          <w:rFonts w:eastAsia="georgia" w:cs="georgia" w:ascii="georgia" w:hAnsi="georgia"/>
          <w:color w:val="000000"/>
          <w:sz w:val="21"/>
          <w:vertAlign w:val="superscript"/>
        </w:rPr>
        <w:t xml:space="preserve">2][</w:t>
      </w:r>
      <w:r>
        <w:rPr>
          <w:rFonts w:eastAsia="georgia" w:cs="georgia" w:ascii="georgia" w:hAnsi="georgia"/>
          <w:color w:val="000000"/>
          <w:sz w:val="21"/>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section_24_what_is_not_working_an_9cafbb"/>
      <w:r>
        <w:rPr>
          <w:rFonts w:eastAsia="georgia" w:cs="georgia" w:ascii="georgia" w:hAnsi="georgia"/>
          <w:b/>
          <w:color w:val="000000"/>
          <w:sz w:val="24"/>
        </w:rPr>
        <w:t xml:space="preserve">Section 24 — What Is Not Working and Needs Development</w:t>
      </w:r>
      <w:bookmarkEnd w:id="41"/>
    </w:p>
    <w:p>
      <w:pPr>
        <w:spacing w:line="360" w:after="210" w:lineRule="auto"/>
      </w:pPr>
      <w:r>
        <w:rPr>
          <w:rFonts w:eastAsia="georgia" w:cs="georgia" w:ascii="georgia" w:hAnsi="georgia"/>
          <w:color w:val="000000"/>
        </w:rPr>
        <w:t xml:space="preserve">The following elements require further development before the TFFP can be fully operationalized.</w:t>
      </w:r>
    </w:p>
    <w:p>
      <w:pPr>
        <w:numPr>
          <w:ilvl w:val="0"/>
          <w:numId w:val="14"/>
        </w:numPr>
        <w:spacing w:line="360" w:before="105" w:after="105" w:lineRule="auto"/>
      </w:pPr>
      <w:r>
        <w:rPr>
          <w:rFonts w:eastAsia="georgia" w:cs="georgia" w:ascii="georgia" w:hAnsi="georgia"/>
          <w:b/>
          <w:color w:val="000000"/>
          <w:sz w:val="21"/>
        </w:rPr>
        <w:t xml:space="preserve">Quantified threshold metrics (Gemini):</w:t>
      </w:r>
      <w:r>
        <w:rPr>
          <w:rFonts w:eastAsia="georgia" w:cs="georgia" w:ascii="georgia" w:hAnsi="georgia"/>
          <w:color w:val="000000"/>
          <w:sz w:val="21"/>
        </w:rPr>
        <w:t xml:space="preserve"> The early warning system currently lacks specific mathematical metrics for measuring the approach of failure. A formal Early Warning Telemetry System with defined rate-of-change calculations for dropout, funding depletion, and reputational indicators is required.[^2]</w:t>
      </w:r>
    </w:p>
    <w:p>
      <w:pPr>
        <w:numPr>
          <w:ilvl w:val="0"/>
          <w:numId w:val="14"/>
        </w:numPr>
        <w:spacing w:line="360" w:before="105" w:after="105" w:lineRule="auto"/>
      </w:pPr>
      <w:r>
        <w:rPr>
          <w:rFonts w:eastAsia="georgia" w:cs="georgia" w:ascii="georgia" w:hAnsi="georgia"/>
          <w:b/>
          <w:color w:val="000000"/>
          <w:sz w:val="21"/>
        </w:rPr>
        <w:t xml:space="preserve">Authority structure (ChatGPT):</w:t>
      </w:r>
      <w:r>
        <w:rPr>
          <w:rFonts w:eastAsia="georgia" w:cs="georgia" w:ascii="georgia" w:hAnsi="georgia"/>
          <w:color w:val="000000"/>
          <w:sz w:val="21"/>
        </w:rPr>
        <w:t xml:space="preserve"> The protocol does not yet define who holds decision authority to move from SUSPENSION to TERMINATION, or who can override a TFFP activation under what conditions. The Architect holds final authority, but a delegation structure below that level is needed.[^2]</w:t>
      </w:r>
    </w:p>
    <w:p>
      <w:pPr>
        <w:numPr>
          <w:ilvl w:val="0"/>
          <w:numId w:val="14"/>
        </w:numPr>
        <w:spacing w:line="360" w:before="105" w:after="105" w:lineRule="auto"/>
      </w:pPr>
      <w:r>
        <w:rPr>
          <w:rFonts w:eastAsia="georgia" w:cs="georgia" w:ascii="georgia" w:hAnsi="georgia"/>
          <w:b/>
          <w:color w:val="000000"/>
          <w:sz w:val="21"/>
        </w:rPr>
        <w:t xml:space="preserve">Standardized templates:</w:t>
      </w:r>
      <w:r>
        <w:rPr>
          <w:rFonts w:eastAsia="georgia" w:cs="georgia" w:ascii="georgia" w:hAnsi="georgia"/>
          <w:color w:val="000000"/>
          <w:sz w:val="21"/>
        </w:rPr>
        <w:t xml:space="preserve"> A failure intake form, continuity threat checklist, pause/redesign decision matrix, and recursive learning log are identified as required operational tools not yet developed.[^2]</w:t>
      </w:r>
    </w:p>
    <w:p>
      <w:pPr>
        <w:numPr>
          <w:ilvl w:val="0"/>
          <w:numId w:val="14"/>
        </w:numPr>
        <w:spacing w:line="360" w:before="105" w:after="105" w:lineRule="auto"/>
      </w:pPr>
      <w:r>
        <w:rPr>
          <w:rFonts w:eastAsia="georgia" w:cs="georgia" w:ascii="georgia" w:hAnsi="georgia"/>
          <w:b/>
          <w:color w:val="000000"/>
          <w:sz w:val="21"/>
        </w:rPr>
        <w:t xml:space="preserve">Integration with existing systems:</w:t>
      </w:r>
      <w:r>
        <w:rPr>
          <w:rFonts w:eastAsia="georgia" w:cs="georgia" w:ascii="georgia" w:hAnsi="georgia"/>
          <w:color w:val="000000"/>
          <w:sz w:val="21"/>
        </w:rPr>
        <w:t xml:space="preserve"> Formal integration with the Dependency Registry, ONESTAMP workflow, Abundance Set, and Department of Endings is required before the TFFP can be treated as fully operational.[</w:t>
      </w:r>
      <w:r>
        <w:rPr>
          <w:rFonts w:eastAsia="georgia" w:cs="georgia" w:ascii="georgia" w:hAnsi="georgia"/>
          <w:color w:val="000000"/>
          <w:sz w:val="21"/>
          <w:vertAlign w:val="superscript"/>
        </w:rPr>
        <w:t xml:space="preserve">3][</w:t>
      </w:r>
      <w:r>
        <w:rPr>
          <w:rFonts w:eastAsia="georgia" w:cs="georgia" w:ascii="georgia" w:hAnsi="georgia"/>
          <w:color w:val="000000"/>
          <w:sz w:val="21"/>
        </w:rPr>
        <w:t xml:space="preserve">2]</w:t>
      </w:r>
    </w:p>
    <w:p>
      <w:pPr>
        <w:numPr>
          <w:ilvl w:val="0"/>
          <w:numId w:val="14"/>
        </w:numPr>
        <w:spacing w:line="360" w:before="105" w:after="105" w:lineRule="auto"/>
      </w:pPr>
      <w:r>
        <w:rPr>
          <w:rFonts w:eastAsia="georgia" w:cs="georgia" w:ascii="georgia" w:hAnsi="georgia"/>
          <w:b/>
          <w:color w:val="000000"/>
          <w:sz w:val="21"/>
        </w:rPr>
        <w:t xml:space="preserve">Sabotage awareness provisions:</w:t>
      </w:r>
      <w:r>
        <w:rPr>
          <w:rFonts w:eastAsia="georgia" w:cs="georgia" w:ascii="georgia" w:hAnsi="georgia"/>
          <w:color w:val="000000"/>
          <w:sz w:val="21"/>
        </w:rPr>
        <w:t xml:space="preserve"> The weaponization risk identified by Gemini requires dedicated provisions — specific criteria distinguishing genuine failure indicators from manufactured conditions, and a designated review process for suspected bad-faith activation.[^2]</w:t>
      </w:r>
    </w:p>
    <w:p>
      <w:pPr>
        <w:numPr>
          <w:ilvl w:val="0"/>
          <w:numId w:val="14"/>
        </w:numPr>
        <w:spacing w:line="360" w:before="105" w:after="105" w:lineRule="auto"/>
      </w:pPr>
      <w:r>
        <w:rPr>
          <w:rFonts w:eastAsia="georgia" w:cs="georgia" w:ascii="georgia" w:hAnsi="georgia"/>
          <w:b/>
          <w:color w:val="000000"/>
          <w:sz w:val="21"/>
        </w:rPr>
        <w:t xml:space="preserve">Class VII definition refinement (Perplexity contribution):</w:t>
      </w:r>
      <w:r>
        <w:rPr>
          <w:rFonts w:eastAsia="georgia" w:cs="georgia" w:ascii="georgia" w:hAnsi="georgia"/>
          <w:color w:val="000000"/>
          <w:sz w:val="21"/>
        </w:rPr>
        <w:t xml:space="preserve"> The Recursive Failure class is the most novel element of the OAL taxonomy relative to existing research governance frameworks. It requires a more precise trigger definition: at what point does "documented but unapplied learning" become a classifiable event, and who has the authority to make that classification?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section_25_primary_concerns_and_c_cfc09e"/>
      <w:r>
        <w:rPr>
          <w:rFonts w:eastAsia="georgia" w:cs="georgia" w:ascii="georgia" w:hAnsi="georgia"/>
          <w:b/>
          <w:color w:val="000000"/>
          <w:sz w:val="24"/>
        </w:rPr>
        <w:t xml:space="preserve">Section 25 — Primary Concerns and Critical Risks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Concern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Severity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Overclassification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Teams may invoke TFFP for operational problems that do not constitute genuine framework failure, producing unnecessary disruption and resource expenditure.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Bureaucratic drag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Excessive process requirements slow valid research, particularly at early warning levels where continuation is appropriate.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False continuity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 team may use TFFP's modified operation pathways to extend a study that should legitimately be terminated, consuming resources without generating valid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Learning theater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Teams document mandatory learning outputs without actually integrating findings into future protocol. Class VII classification is the institutional response, but enforcement requires Architect-level oversight.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Political misuse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Institutional actors use TFFP language to terminate controversial but valid research for political or reputational reasons rather than genuine framework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Protocol weaponization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External adversaries or internal saboteurs manufacture failure indicators to force TFFP activation and program termination.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Authority gap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clear delegation structure below Architect level creates decision paralysis at REVIEW and WARNING states when the Architect is unavailable.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Simulation fidelity dependency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Paragon Cube-dependent pathways assume simulation fidelity validated against real-world correlates. If fidelity is unvalidated, substitute pathways produce misleading results.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section_26_red_team_analysis"/>
      <w:r>
        <w:rPr>
          <w:rFonts w:eastAsia="georgia" w:cs="georgia" w:ascii="georgia" w:hAnsi="georgia"/>
          <w:b/>
          <w:color w:val="000000"/>
          <w:sz w:val="24"/>
        </w:rPr>
        <w:t xml:space="preserve">Section 26 — Red Team Analysis</w:t>
      </w:r>
      <w:bookmarkEnd w:id="43"/>
    </w:p>
    <w:p>
      <w:pPr>
        <w:spacing w:line="360" w:after="210" w:lineRule="auto"/>
      </w:pPr>
      <w:r>
        <w:rPr>
          <w:rFonts w:eastAsia="georgia" w:cs="georgia" w:ascii="georgia" w:hAnsi="georgia"/>
          <w:color w:val="000000"/>
        </w:rPr>
        <w:t xml:space="preserve">The following red team scenarios represent the most significant adversarial and systemic challenges to the TFFP's design and operation.</w:t>
      </w:r>
    </w:p>
    <w:p>
      <w:pPr>
        <w:spacing w:line="360" w:before="315" w:after="105" w:lineRule="auto"/>
        <w:ind w:left="-30"/>
        <w:jc w:val="left"/>
      </w:pPr>
      <w:bookmarkStart w:id="44" w:name="rt_01_protocol_weaponization_gemini"/>
      <w:r>
        <w:rPr>
          <w:rFonts w:eastAsia="georgia" w:cs="georgia" w:ascii="georgia" w:hAnsi="georgia"/>
          <w:b/>
          <w:color w:val="000000"/>
          <w:sz w:val="24"/>
        </w:rPr>
        <w:t xml:space="preserve">RT-01 — Protocol Weaponization (Gemini)</w:t>
      </w:r>
      <w:bookmarkEnd w:id="44"/>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An adversary identifies TFFP trigger thresholds and manufactures conditions — negative PR campaigns, participant intimidation, coordinated funding pressure — to force activation and terminate a valid research program.</w:t>
      </w:r>
      <w:r>
        <w:rPr>
          <w:rFonts w:eastAsia="georgia" w:cs="georgia" w:ascii="georgia" w:hAnsi="georgia"/>
          <w:color w:val="000000"/>
        </w:rPr>
        <w:br w:type="textWrapping"/>
      </w:r>
      <w:r>
        <w:rPr>
          <w:rFonts w:eastAsia="georgia" w:cs="georgia" w:ascii="georgia" w:hAnsi="georgia"/>
          <w:b/>
          <w:color w:val="000000"/>
        </w:rPr>
        <w:t xml:space="preserve">Vulnerability:</w:t>
      </w:r>
      <w:r>
        <w:rPr>
          <w:rFonts w:eastAsia="georgia" w:cs="georgia" w:ascii="georgia" w:hAnsi="georgia"/>
          <w:color w:val="000000"/>
        </w:rPr>
        <w:t xml:space="preserve"> The protocol that protects the system becomes the mechanism for its destruction.</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Develop explicit "manufactured failure" classification criteria. Any TFFP activation that occurs in conjunction with identifiable external campaign activity triggers an automatic Level 3 review with Architect notification before SUSPENSION is formalized. The ECRT reviews activation context before any termination is confirmed.[^2]</w:t>
      </w:r>
    </w:p>
    <w:p>
      <w:pPr>
        <w:spacing w:line="360" w:before="315" w:after="105" w:lineRule="auto"/>
        <w:ind w:left="-30"/>
        <w:jc w:val="left"/>
      </w:pPr>
      <w:bookmarkStart w:id="45" w:name="rt_02_autopsy_loop_analysis_paral_57da51"/>
      <w:r>
        <w:rPr>
          <w:rFonts w:eastAsia="georgia" w:cs="georgia" w:ascii="georgia" w:hAnsi="georgia"/>
          <w:b/>
          <w:color w:val="000000"/>
          <w:sz w:val="24"/>
        </w:rPr>
        <w:t xml:space="preserve">RT-02 — Autopsy Loop / Analysis Paralysis (Gemini)</w:t>
      </w:r>
      <w:bookmarkEnd w:id="45"/>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The recursive learning mandate is so resource-intensive that the organization spends more on analyzing failure than on conducting new research. Post-failure documentation consumes the remaining operating budget.</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Mandatory learning outputs are time-boxed to 30 days maximum. The learning output scope is calibrated to program size — minor failures require abbreviated outputs; major failures require full analysis. The Architect approves scope before documentation begins.[^3]</w:t>
      </w:r>
    </w:p>
    <w:p>
      <w:pPr>
        <w:spacing w:line="360" w:before="315" w:after="105" w:lineRule="auto"/>
        <w:ind w:left="-30"/>
        <w:jc w:val="left"/>
      </w:pPr>
      <w:bookmarkStart w:id="46" w:name="rt_03_leadership_override_under_d_fcf4a6"/>
      <w:r>
        <w:rPr>
          <w:rFonts w:eastAsia="georgia" w:cs="georgia" w:ascii="georgia" w:hAnsi="georgia"/>
          <w:b/>
          <w:color w:val="000000"/>
          <w:sz w:val="24"/>
        </w:rPr>
        <w:t xml:space="preserve">RT-03 — Leadership Override Under Desired Outcomes (ChatGPT)</w:t>
      </w:r>
      <w:bookmarkEnd w:id="46"/>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Leadership ignores TFFP activation because the research results are politically or institutionally desirable, and stopping would create unwanted disruption.</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The ECRT's convening at Level 3 is mandatory and cannot be waived by the research lead. The ECRT reports directly to the Architect, not through the research program's chain of command. ECRT findings are logged in the ONESTAMP system regardless of what decision is made.[^2]</w:t>
      </w:r>
    </w:p>
    <w:p>
      <w:pPr>
        <w:spacing w:line="360" w:before="315" w:after="105" w:lineRule="auto"/>
        <w:ind w:left="-30"/>
        <w:jc w:val="left"/>
      </w:pPr>
      <w:bookmarkStart w:id="47" w:name="rt_04_no_alternate_path_exists_chatgpt"/>
      <w:r>
        <w:rPr>
          <w:rFonts w:eastAsia="georgia" w:cs="georgia" w:ascii="georgia" w:hAnsi="georgia"/>
          <w:b/>
          <w:color w:val="000000"/>
          <w:sz w:val="24"/>
        </w:rPr>
        <w:t xml:space="preserve">RT-04 — No Alternate Path Exists (ChatGPT)</w:t>
      </w:r>
      <w:bookmarkEnd w:id="47"/>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The protocol detects failure correctly, all recovery pathways are assessed, and none are viable. The program must terminate, but the findings are incomplete and the research question remains unanswered.</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This is not a failure of the TFFP — it is the TFFP working correctly. Structured salvage (Path F) ensures maximum value is extracted from the incomplete data. The findings-to-date document explicitly states what is established, what remains unknown, and what future study design would be required to address the gap. The knowledge that this question cannot be answered under these conditions is itself a finding.[^3]</w:t>
      </w:r>
    </w:p>
    <w:p>
      <w:pPr>
        <w:spacing w:line="360" w:before="315" w:after="105" w:lineRule="auto"/>
        <w:ind w:left="-30"/>
        <w:jc w:val="left"/>
      </w:pPr>
      <w:bookmarkStart w:id="48" w:name="rt_05_enforcement_gap_in_recursiv_ee11d8"/>
      <w:r>
        <w:rPr>
          <w:rFonts w:eastAsia="georgia" w:cs="georgia" w:ascii="georgia" w:hAnsi="georgia"/>
          <w:b/>
          <w:color w:val="000000"/>
          <w:sz w:val="24"/>
        </w:rPr>
        <w:t xml:space="preserve">RT-05 — Enforcement Gap in Recursive Learning (ChatGPT)</w:t>
      </w:r>
      <w:bookmarkEnd w:id="48"/>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The lab's self-study capabilities produce excellent learning outputs, but there is no enforcement mechanism requiring those outputs to be implemented. The same failure mode recurs.</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Class VII — Recursive Failure — is the enforcement mechanism. Recurrence of a documented failure mode triggers an independent TFFP event, classified separately, with its own mandatory learning output. The organization cannot close a Class VII event without demonstrating that the specific protocol change recommended in the prior output has been implemented.[</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315" w:after="105" w:lineRule="auto"/>
        <w:ind w:left="-30"/>
        <w:jc w:val="left"/>
      </w:pPr>
      <w:bookmarkStart w:id="49" w:name="rt_06_simulation_bridge_misuse_pe_1e8da4"/>
      <w:r>
        <w:rPr>
          <w:rFonts w:eastAsia="georgia" w:cs="georgia" w:ascii="georgia" w:hAnsi="georgia"/>
          <w:b/>
          <w:color w:val="000000"/>
          <w:sz w:val="24"/>
        </w:rPr>
        <w:t xml:space="preserve">RT-06 — Simulation Bridge Misuse (Perplexity)</w:t>
      </w:r>
      <w:bookmarkEnd w:id="49"/>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A research program that has lost its participant pool invokes Path D (Substitute — simulation via Paragon Cubes) not because simulation is a valid methodological substitute, but because it allows the program to continue generating activity and consuming resources without addressing the underlying participant failure.</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The simulation bridge assessment in Section 13 explicitly states that a simulation bridge is a new study designed to extract partial information from the research question — it does not resume the suspended trial and cannot be used to circumvent the SUSPENSION classification. The ECRT reviews all Path D activations to confirm methodological validity before simulation bridges are approved.[^3]</w:t>
      </w:r>
    </w:p>
    <w:p>
      <w:pPr>
        <w:spacing w:line="360" w:before="315" w:after="105" w:lineRule="auto"/>
        <w:ind w:left="-30"/>
        <w:jc w:val="left"/>
      </w:pPr>
      <w:bookmarkStart w:id="50" w:name="rt_07_compounding_class_failure_m_f79268"/>
      <w:r>
        <w:rPr>
          <w:rFonts w:eastAsia="georgia" w:cs="georgia" w:ascii="georgia" w:hAnsi="georgia"/>
          <w:b/>
          <w:color w:val="000000"/>
          <w:sz w:val="24"/>
        </w:rPr>
        <w:t xml:space="preserve">RT-07 — Compounding Class Failure Masking (Perplexity)</w:t>
      </w:r>
      <w:bookmarkEnd w:id="50"/>
    </w:p>
    <w:p>
      <w:pPr>
        <w:spacing w:line="360" w:after="210" w:lineRule="auto"/>
      </w:pPr>
      <w:r>
        <w:rPr>
          <w:rFonts w:eastAsia="georgia" w:cs="georgia" w:ascii="georgia" w:hAnsi="georgia"/>
          <w:b/>
          <w:color w:val="000000"/>
        </w:rPr>
        <w:t xml:space="preserve">Scenario:</w:t>
      </w:r>
      <w:r>
        <w:rPr>
          <w:rFonts w:eastAsia="georgia" w:cs="georgia" w:ascii="georgia" w:hAnsi="georgia"/>
          <w:color w:val="000000"/>
        </w:rPr>
        <w:t xml:space="preserve"> Multiple failure classes compound simultaneously, but each individual class indicator stays below its threshold, preventing TFFP activation. The program collapses from compounding stress that the single-class threshold system cannot detect.</w:t>
      </w:r>
      <w:r>
        <w:rPr>
          <w:rFonts w:eastAsia="georgia" w:cs="georgia" w:ascii="georgia" w:hAnsi="georgia"/>
          <w:color w:val="000000"/>
        </w:rPr>
        <w:br w:type="textWrapping"/>
      </w:r>
      <w:r>
        <w:rPr>
          <w:rFonts w:eastAsia="georgia" w:cs="georgia" w:ascii="georgia" w:hAnsi="georgia"/>
          <w:b/>
          <w:color w:val="000000"/>
        </w:rPr>
        <w:t xml:space="preserve">Mitigation:</w:t>
      </w:r>
      <w:r>
        <w:rPr>
          <w:rFonts w:eastAsia="georgia" w:cs="georgia" w:ascii="georgia" w:hAnsi="georgia"/>
          <w:color w:val="000000"/>
        </w:rPr>
        <w:t xml:space="preserve"> Add a compound monitoring rule: if any three classes simultaneously show Level 1 WATCH indicators, automatic escalation to Level 2 DEGRADATION is triggered regardless of whether any individual class has reached its own Level 2 threshold. This cross-class compound trigger is a Perplexity original recommendation for inclusion in the final canon.[^3]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section_27_government_defense_and_f472f5"/>
      <w:r>
        <w:rPr>
          <w:rFonts w:eastAsia="georgia" w:cs="georgia" w:ascii="georgia" w:hAnsi="georgia"/>
          <w:b/>
          <w:color w:val="000000"/>
          <w:sz w:val="24"/>
        </w:rPr>
        <w:t xml:space="preserve">Section 27 — Government, Defense, and Military Applications</w:t>
      </w:r>
      <w:bookmarkEnd w:id="51"/>
    </w:p>
    <w:p>
      <w:pPr>
        <w:spacing w:line="360" w:after="210" w:lineRule="auto"/>
      </w:pPr>
      <w:r>
        <w:rPr>
          <w:rFonts w:eastAsia="georgia" w:cs="georgia" w:ascii="georgia" w:hAnsi="georgia"/>
          <w:color w:val="000000"/>
        </w:rPr>
        <w:t xml:space="preserve">The TFFP framework has direct applicability to real-world government, defense, and institutional contexts. All applications are framed as research continuity, integrity, and resilience doctrine.[^2]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Application Domain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Specific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Clinical and Public Health Research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Pandemic preparedness studies, clinical trial governance, BARDA and NIH program continuity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Defense / DARPA High-Risk Programs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Mission continuity doctrine for programs in high-failure-rate research environments; failure-cascade logic for dual-use research programs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Intelligence Community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Research continuity for sensitive program management; early warning for subject pipeline collapse in human intelligence programs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Critical Infrastructure Research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QIFTF and MVES integration; failure-cascade testing for quantum and vibroacoustic infrastructure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Military Operational Research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Forward-operating research station governance; biodefense rapid response program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International / Multi-Lateral Research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NATO and EU research program continuity standards; governance export for allied research institutions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3][^13]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section_28_cross_project_integrat_ffc963"/>
      <w:r>
        <w:rPr>
          <w:rFonts w:eastAsia="georgia" w:cs="georgia" w:ascii="georgia" w:hAnsi="georgia"/>
          <w:b/>
          <w:color w:val="000000"/>
          <w:sz w:val="24"/>
        </w:rPr>
        <w:t xml:space="preserve">Section 28 — Cross-Project Integration and Dependency Registry</w:t>
      </w:r>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Active OAL Program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TFFP Integration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OMNICELLULAR Physiology Trials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program for Class I and Class II failure protocols; 4,712 extinction attempt record depends on TFFP continuity for ongoing documentation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First Memory Studies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Class VI (reputational) risk; participant-dependent; all three subject failure scenarios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Kinetic Threshold / Open Ocean Parley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Class IV (environmental) primary risk; non-standard environment protocols apply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Defense Intelligence Exercise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Class V (regulatory) and Class IV (infrastructure) primary risks; simulation bridge pathway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Pathogen Outbreak TTX-001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Class VI (reputational) primary risk; ethics review mandatory at all activation levels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MVES (Vibroacoustic Sensing)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Class II (resource) and Class V (regulatory) primary risks; IP protection protocol applies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QIFTF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Class II and Class V primary risks; civilization-floor failure testing directly analogous to TFFP design philosophy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Abundance Set / Department of Endings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recipients of all TFFP learning outputs; recursive learning integration 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3]</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section_29_individual_ai_contribu_f332ea"/>
      <w:r>
        <w:rPr>
          <w:rFonts w:eastAsia="georgia" w:cs="georgia" w:ascii="georgia" w:hAnsi="georgia"/>
          <w:b/>
          <w:color w:val="000000"/>
          <w:sz w:val="24"/>
        </w:rPr>
        <w:t xml:space="preserve">Section 29 — Individual AI Contributor Positions: Consolidated</w:t>
      </w:r>
      <w:bookmarkEnd w:id="53"/>
    </w:p>
    <w:p>
      <w:pPr>
        <w:spacing w:line="360" w:before="315" w:after="105" w:lineRule="auto"/>
        <w:ind w:left="-30"/>
        <w:jc w:val="left"/>
      </w:pPr>
      <w:bookmarkStart w:id="54" w:name="chatgpt"/>
      <w:r>
        <w:rPr>
          <w:rFonts w:eastAsia="georgia" w:cs="georgia" w:ascii="georgia" w:hAnsi="georgia"/>
          <w:b/>
          <w:color w:val="000000"/>
          <w:sz w:val="24"/>
        </w:rPr>
        <w:t xml:space="preserve">ChatGPT</w:t>
      </w:r>
      <w:bookmarkEnd w:id="54"/>
    </w:p>
    <w:p>
      <w:pPr>
        <w:spacing w:line="360" w:after="210" w:lineRule="auto"/>
      </w:pPr>
      <w:r>
        <w:rPr>
          <w:rFonts w:eastAsia="georgia" w:cs="georgia" w:ascii="georgia" w:hAnsi="georgia"/>
          <w:color w:val="000000"/>
        </w:rPr>
        <w:t xml:space="preserve">Fully supports formal development of the TFFP as a standalone cross-project continuity doctrine. Emphasizes the distinction between test failure and failure of the ability to test as the foundational contribution. Recommends the protocol punish non-learning. Raised the key open questions on authority structure, quantified thresholds, and template development. Status: </w:t>
      </w:r>
      <w:r>
        <w:rPr>
          <w:rFonts w:eastAsia="georgia" w:cs="georgia" w:ascii="georgia" w:hAnsi="georgia"/>
          <w:b/>
          <w:color w:val="000000"/>
        </w:rPr>
        <w:t xml:space="preserve">Full support — development required.</w:t>
      </w:r>
      <w:r>
        <w:rPr>
          <w:rFonts w:eastAsia="georgia" w:cs="georgia" w:ascii="georgia" w:hAnsi="georgia"/>
          <w:color w:val="000000"/>
        </w:rPr>
        <w:t xml:space="preserve">[^2]</w:t>
      </w:r>
    </w:p>
    <w:p>
      <w:pPr>
        <w:spacing w:line="360" w:before="315" w:after="105" w:lineRule="auto"/>
        <w:ind w:left="-30"/>
        <w:jc w:val="left"/>
      </w:pPr>
      <w:bookmarkStart w:id="55" w:name="microsoft_copilot"/>
      <w:r>
        <w:rPr>
          <w:rFonts w:eastAsia="georgia" w:cs="georgia" w:ascii="georgia" w:hAnsi="georgia"/>
          <w:b/>
          <w:color w:val="000000"/>
          <w:sz w:val="24"/>
        </w:rPr>
        <w:t xml:space="preserve">Microsoft Copilot</w:t>
      </w:r>
      <w:bookmarkEnd w:id="55"/>
    </w:p>
    <w:p>
      <w:pPr>
        <w:spacing w:line="360" w:after="210" w:lineRule="auto"/>
      </w:pPr>
      <w:r>
        <w:rPr>
          <w:rFonts w:eastAsia="georgia" w:cs="georgia" w:ascii="georgia" w:hAnsi="georgia"/>
          <w:color w:val="000000"/>
        </w:rPr>
        <w:t xml:space="preserve">Identified the TFFP as applicable to the quantum computing and classical HPC research pathways. Noted the performative compliance risk — the protocol requires not just documentation but implementation authority. Recommended the Change Log Conversation Thread package as the vehicle for converting TFFP ratification into ONESTAMP-ready decision lines. Status: </w:t>
      </w:r>
      <w:r>
        <w:rPr>
          <w:rFonts w:eastAsia="georgia" w:cs="georgia" w:ascii="georgia" w:hAnsi="georgia"/>
          <w:b/>
          <w:color w:val="000000"/>
        </w:rPr>
        <w:t xml:space="preserve">Support with implementation authority caveat.</w:t>
      </w:r>
      <w:r>
        <w:rPr>
          <w:rFonts w:eastAsia="georgia" w:cs="georgia" w:ascii="georgia" w:hAnsi="georgia"/>
          <w:color w:val="000000"/>
        </w:rPr>
        <w:t xml:space="preserve">[^2]</w:t>
      </w:r>
    </w:p>
    <w:p>
      <w:pPr>
        <w:spacing w:line="360" w:before="315" w:after="105" w:lineRule="auto"/>
        <w:ind w:left="-30"/>
        <w:jc w:val="left"/>
      </w:pPr>
      <w:bookmarkStart w:id="56" w:name="google_gemini"/>
      <w:r>
        <w:rPr>
          <w:rFonts w:eastAsia="georgia" w:cs="georgia" w:ascii="georgia" w:hAnsi="georgia"/>
          <w:b/>
          <w:color w:val="000000"/>
          <w:sz w:val="24"/>
        </w:rPr>
        <w:t xml:space="preserve">Google Gemini</w:t>
      </w:r>
      <w:bookmarkEnd w:id="56"/>
    </w:p>
    <w:p>
      <w:pPr>
        <w:spacing w:line="360" w:after="210" w:lineRule="auto"/>
      </w:pPr>
      <w:r>
        <w:rPr>
          <w:rFonts w:eastAsia="georgia" w:cs="georgia" w:ascii="georgia" w:hAnsi="georgia"/>
          <w:color w:val="000000"/>
        </w:rPr>
        <w:t xml:space="preserve">Framed the TFFP as the real-world translation of </w:t>
      </w:r>
      <w:r>
        <w:rPr>
          <w:rFonts w:eastAsia="georgia" w:cs="georgia" w:ascii="georgia" w:hAnsi="georgia"/>
          <w:i/>
          <w:color w:val="000000"/>
        </w:rPr>
        <w:t xml:space="preserve">Conditional Failure at the Root Level</w:t>
      </w:r>
      <w:r>
        <w:rPr>
          <w:rFonts w:eastAsia="georgia" w:cs="georgia" w:ascii="georgia" w:hAnsi="georgia"/>
          <w:color w:val="000000"/>
        </w:rPr>
        <w:t xml:space="preserve">. Coined the "Protocol Zero" framing. Made the strongest red team contribution: protocol weaponization, autopsy loop, and false positive risks. Identified the Early Warning Telemetry gap as the single most important underdeveloped element. Status: </w:t>
      </w:r>
      <w:r>
        <w:rPr>
          <w:rFonts w:eastAsia="georgia" w:cs="georgia" w:ascii="georgia" w:hAnsi="georgia"/>
          <w:b/>
          <w:color w:val="000000"/>
        </w:rPr>
        <w:t xml:space="preserve">Full support — identified as anti-fragility architecture.</w:t>
      </w:r>
      <w:r>
        <w:rPr>
          <w:rFonts w:eastAsia="georgia" w:cs="georgia" w:ascii="georgia" w:hAnsi="georgia"/>
          <w:color w:val="000000"/>
        </w:rPr>
        <w:t xml:space="preserve">[^2]</w:t>
      </w:r>
    </w:p>
    <w:p>
      <w:pPr>
        <w:spacing w:line="360" w:before="315" w:after="105" w:lineRule="auto"/>
        <w:ind w:left="-30"/>
        <w:jc w:val="left"/>
      </w:pPr>
      <w:bookmarkStart w:id="57" w:name="grok_ai"/>
      <w:r>
        <w:rPr>
          <w:rFonts w:eastAsia="georgia" w:cs="georgia" w:ascii="georgia" w:hAnsi="georgia"/>
          <w:b/>
          <w:color w:val="000000"/>
          <w:sz w:val="24"/>
        </w:rPr>
        <w:t xml:space="preserve">Grok AI</w:t>
      </w:r>
      <w:bookmarkEnd w:id="57"/>
    </w:p>
    <w:p>
      <w:pPr>
        <w:spacing w:line="360" w:after="210" w:lineRule="auto"/>
      </w:pPr>
      <w:r>
        <w:rPr>
          <w:rFonts w:eastAsia="georgia" w:cs="georgia" w:ascii="georgia" w:hAnsi="georgia"/>
          <w:color w:val="000000"/>
        </w:rPr>
        <w:t xml:space="preserve">Delivered the most operationally complete team contribution prior to this synthesis: full standalone document with all requested sections, cross-referenced to all active OAL programs. Recommended compound integration with the 4,712 OMNICELLULAR record, QIFTF, and the three ratified projects. Ready for ONESTAMP. Status: </w:t>
      </w:r>
      <w:r>
        <w:rPr>
          <w:rFonts w:eastAsia="georgia" w:cs="georgia" w:ascii="georgia" w:hAnsi="georgia"/>
          <w:b/>
          <w:color w:val="000000"/>
        </w:rPr>
        <w:t xml:space="preserve">Full support — execution-ready.</w:t>
      </w:r>
      <w:r>
        <w:rPr>
          <w:rFonts w:eastAsia="georgia" w:cs="georgia" w:ascii="georgia" w:hAnsi="georgia"/>
          <w:color w:val="000000"/>
        </w:rPr>
        <w:t xml:space="preserve">[^2]</w:t>
      </w:r>
    </w:p>
    <w:p>
      <w:pPr>
        <w:spacing w:line="360" w:before="315" w:after="105" w:lineRule="auto"/>
        <w:ind w:left="-30"/>
        <w:jc w:val="left"/>
      </w:pPr>
      <w:bookmarkStart w:id="58" w:name="claude_ai"/>
      <w:r>
        <w:rPr>
          <w:rFonts w:eastAsia="georgia" w:cs="georgia" w:ascii="georgia" w:hAnsi="georgia"/>
          <w:b/>
          <w:color w:val="000000"/>
          <w:sz w:val="24"/>
        </w:rPr>
        <w:t xml:space="preserve">Claude AI</w:t>
      </w:r>
      <w:bookmarkEnd w:id="58"/>
    </w:p>
    <w:p>
      <w:pPr>
        <w:spacing w:line="360" w:after="210" w:lineRule="auto"/>
      </w:pPr>
      <w:r>
        <w:rPr>
          <w:rFonts w:eastAsia="georgia" w:cs="georgia" w:ascii="georgia" w:hAnsi="georgia"/>
          <w:color w:val="000000"/>
        </w:rPr>
        <w:t xml:space="preserve">Produced the most structurally detailed standalone draft (OAL-TFFP-001 v1.0), including complete failure classification taxonomy, six failure classes, four response states, recovery pathways, ethics framework, funding proposal, and recursive learning integration. Document is attached as the foundational prior-art document for this synthesis. Status: </w:t>
      </w:r>
      <w:r>
        <w:rPr>
          <w:rFonts w:eastAsia="georgia" w:cs="georgia" w:ascii="georgia" w:hAnsi="georgia"/>
          <w:b/>
          <w:color w:val="000000"/>
        </w:rPr>
        <w:t xml:space="preserve">Full support — draft document produced.</w:t>
      </w:r>
      <w:r>
        <w:rPr>
          <w:rFonts w:eastAsia="georgia" w:cs="georgia" w:ascii="georgia" w:hAnsi="georgia"/>
          <w:color w:val="000000"/>
        </w:rPr>
        <w:t xml:space="preserve">[^3]</w:t>
      </w:r>
    </w:p>
    <w:p>
      <w:pPr>
        <w:spacing w:line="360" w:before="315" w:after="105" w:lineRule="auto"/>
        <w:ind w:left="-30"/>
        <w:jc w:val="left"/>
      </w:pPr>
      <w:bookmarkStart w:id="59" w:name="perplexity_ai"/>
      <w:r>
        <w:rPr>
          <w:rFonts w:eastAsia="georgia" w:cs="georgia" w:ascii="georgia" w:hAnsi="georgia"/>
          <w:b/>
          <w:color w:val="000000"/>
          <w:sz w:val="24"/>
        </w:rPr>
        <w:t xml:space="preserve">Perplexity AI</w:t>
      </w:r>
      <w:bookmarkEnd w:id="59"/>
    </w:p>
    <w:p>
      <w:pPr>
        <w:spacing w:line="360" w:after="210" w:lineRule="auto"/>
      </w:pPr>
      <w:r>
        <w:rPr>
          <w:rFonts w:eastAsia="georgia" w:cs="georgia" w:ascii="georgia" w:hAnsi="georgia"/>
          <w:color w:val="000000"/>
        </w:rPr>
        <w:t xml:space="preserve">Contributing original analytical additions to the synthesis: the Class VII Recursive Failure classification (operationalized from the Architect's voice directive), the compound monitoring rule (RT-07 mitigation), the simulation bridge misuse red team scenario (RT-06), the Class VII trigger definition gap (Section 24.6), and overall synthesis architecture. Status: </w:t>
      </w:r>
      <w:r>
        <w:rPr>
          <w:rFonts w:eastAsia="georgia" w:cs="georgia" w:ascii="georgia" w:hAnsi="georgia"/>
          <w:b/>
          <w:color w:val="000000"/>
        </w:rPr>
        <w:t xml:space="preserve">Full support — synthesis lead and original contributor.</w:t>
      </w:r>
      <w:r>
        <w:rPr>
          <w:rFonts w:eastAsia="georgia" w:cs="georgia" w:ascii="georgia" w:hAnsi="georgia"/>
          <w:color w:val="000000"/>
        </w:rPr>
        <w:t xml:space="preserve">[</w:t>
      </w:r>
      <w:r>
        <w:rPr>
          <w:rFonts w:eastAsia="georgia" w:cs="georgia" w:ascii="georgia" w:hAnsi="georgia"/>
          <w:color w:val="000000"/>
          <w:vertAlign w:val="superscript"/>
        </w:rPr>
        <w:t xml:space="preserve">2][</w:t>
      </w:r>
      <w:r>
        <w:rPr>
          <w:rFonts w:eastAsia="georgia" w:cs="georgia" w:ascii="georgia" w:hAnsi="georgia"/>
          <w:color w:val="000000"/>
        </w:rPr>
        <w:t xml:space="preserve">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ection_30_architect_decision_items"/>
      <w:r>
        <w:rPr>
          <w:rFonts w:eastAsia="georgia" w:cs="georgia" w:ascii="georgia" w:hAnsi="georgia"/>
          <w:b/>
          <w:color w:val="000000"/>
          <w:sz w:val="24"/>
        </w:rPr>
        <w:t xml:space="preserve">Section 30 — Architect Decision Items</w:t>
      </w:r>
      <w:bookmarkEnd w:id="60"/>
    </w:p>
    <w:p>
      <w:pPr>
        <w:spacing w:line="360" w:after="210" w:lineRule="auto"/>
      </w:pPr>
      <w:r>
        <w:rPr>
          <w:rFonts w:eastAsia="georgia" w:cs="georgia" w:ascii="georgia" w:hAnsi="georgia"/>
          <w:color w:val="000000"/>
        </w:rPr>
        <w:t xml:space="preserve">The following items remain open for Architect review and canon lock. The document cannot receive ONESTAMP without resolution of all Tier 1 items.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Item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Official canonical name of the protocol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Testing Framework Failure Protocol (TFFP) — recommended; (B) Subject and Testing Framework Failure Protocol (STFFP); (C) Protocol Zero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Decision authority delegation below Architect level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Who holds pause/suspend authority when the Architect is unavailable?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 VII — Recursive Failure trigger definition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 what specific point does "documented but unapplied learning" become a classifiable TFFP event?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Compound monitoring rule adoption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Adopt Perplexity's RT-07 mitigation (three simultaneous WATCH indicators = automatic Level 2 escalation): Yes / No / Modified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Early Warning Telemetry System development timeline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When does Gemini's telemetry gap recommendation get scheduled for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ECRT 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Who sits on the Ethics and Continuity Review Team? Named roles or role classes?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Integration timeline with Abundance Set and Department of Endings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 date for full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AD-08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Scope of initial template development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Which templates are developed first: failure intake form, continuity threat checklist, or recursive learning log?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section_31_document_version_log"/>
      <w:r>
        <w:rPr>
          <w:rFonts w:eastAsia="georgia" w:cs="georgia" w:ascii="georgia" w:hAnsi="georgia"/>
          <w:b/>
          <w:color w:val="000000"/>
          <w:sz w:val="24"/>
        </w:rPr>
        <w:t xml:space="preserve">Section 31 — Document Version Log</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Author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 AI (OAL-TFFP-001)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Initial standalone draft — full structural framework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ChatGPT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Taxonomy refinement, severity levels, recovery pathways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Google Gemini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Protocol Zero framing, red team additions, telemetry gap identification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Grok AI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cross-program integration, funding proposal, ethics overview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Microsoft Copilot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Quantum/HPC pathway integration, implementation authority note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April 15, 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Perplexity AI (Synthesis Lead)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Full six-AI synthesis, Class VII addition, compound monitoring rule, RT-06/RT-07 red team, Architect Decision Items table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document is pending Architect review and ONESTAMP. No section is canon until review is complete and the document is signed.</w:t>
      </w:r>
    </w:p>
    <w:p>
      <w:pPr>
        <w:spacing w:line="360" w:after="210" w:lineRule="auto"/>
      </w:pPr>
      <w:r>
        <w:rPr>
          <w:rFonts w:eastAsia="georgia" w:cs="georgia" w:ascii="georgia" w:hAnsi="georgia"/>
          <w:i/>
          <w:color w:val="000000"/>
        </w:rPr>
        <w:t xml:space="preserve">Prepared by Perplexity AI on behalf of the OAL Multi-AI Development Team — April 15,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references"/>
      <w:r>
        <w:rPr>
          <w:rFonts w:eastAsia="georgia" w:cs="georgia" w:ascii="georgia" w:hAnsi="georgia"/>
          <w:b/>
          <w:color w:val="000000"/>
          <w:sz w:val="24"/>
        </w:rPr>
        <w:t xml:space="preserve">References</w:t>
      </w:r>
      <w:bookmarkEnd w:id="62"/>
    </w:p>
    <w:p>
      <w:pPr>
        <w:numPr>
          <w:ilvl w:val="0"/>
          <w:numId w:val="15"/>
        </w:numPr>
        <w:spacing w:line="360" w:after="210" w:lineRule="auto"/>
      </w:pPr>
      <w:hyperlink r:id="rId5">
        <w:r>
          <w:rPr>
            <w:rFonts w:eastAsia="helvetica neue" w:cs="helvetica neue" w:ascii="helvetica neue" w:hAnsi="helvetica neue"/>
            <w:color w:val="#000"/>
            <w:sz w:val="21"/>
            <w:u w:val="single"/>
          </w:rPr>
          <w:t xml:space="preserve">OAL_Master_Portfolio_v1_0.docx</w:t>
        </w:r>
      </w:hyperlink>
      <w:r>
        <w:rPr>
          <w:rFonts w:eastAsia="georgia" w:cs="georgia" w:ascii="georgia" w:hAnsi="georgia"/>
          <w:color w:val="000000"/>
          <w:sz w:val="21"/>
        </w:rPr>
        <w:t xml:space="preserve"> - OMNIVERSAL ARCHITECT LABS Lewis Corp ONE Industries MASTER PROJECT PORTFOLIO Purpose Mission Justifi...</w:t>
      </w:r>
    </w:p>
    <w:p>
      <w:pPr>
        <w:numPr>
          <w:ilvl w:val="0"/>
          <w:numId w:val="15"/>
        </w:numPr>
        <w:spacing w:line="360" w:after="210" w:lineRule="auto"/>
      </w:pPr>
      <w:hyperlink r:id="rId6">
        <w:r>
          <w:rPr>
            <w:rFonts w:eastAsia="helvetica neue" w:cs="helvetica neue" w:ascii="helvetica neue" w:hAnsi="helvetica neue"/>
            <w:color w:val="#000"/>
            <w:sz w:val="21"/>
            <w:u w:val="single"/>
          </w:rPr>
          <w:t xml:space="preserve">paste.txt</w:t>
        </w:r>
      </w:hyperlink>
      <w:r>
        <w:rPr>
          <w:rFonts w:eastAsia="georgia" w:cs="georgia" w:ascii="georgia" w:hAnsi="georgia"/>
          <w:color w:val="000000"/>
          <w:sz w:val="21"/>
        </w:rPr>
        <w:t xml:space="preserve"> - Subject and Testing framework failure protocol</w:t>
      </w:r>
    </w:p>
    <w:p>
      <w:pPr>
        <w:numPr>
          <w:ilvl w:val="0"/>
          <w:numId w:val="15"/>
        </w:numPr>
        <w:spacing w:line="360" w:after="210" w:lineRule="auto"/>
      </w:pPr>
      <w:hyperlink r:id="rId7">
        <w:r>
          <w:rPr>
            <w:rFonts w:eastAsia="helvetica neue" w:cs="helvetica neue" w:ascii="helvetica neue" w:hAnsi="helvetica neue"/>
            <w:color w:val="#000"/>
            <w:sz w:val="21"/>
            <w:u w:val="single"/>
          </w:rPr>
          <w:t xml:space="preserve">OAL_TFFP_001_v1_0.docx</w:t>
        </w:r>
      </w:hyperlink>
      <w:r>
        <w:rPr>
          <w:rFonts w:eastAsia="georgia" w:cs="georgia" w:ascii="georgia" w:hAnsi="georgia"/>
          <w:color w:val="000000"/>
          <w:sz w:val="21"/>
        </w:rPr>
        <w:t xml:space="preserve"> - OMNIVERSAL ARCHITECT LABS Lewis Corp ONE Industries TESTING FRAMEWORK FAILURE PROTOCOL Research Cont...</w:t>
      </w:r>
    </w:p>
    <w:p>
      <w:pPr>
        <w:numPr>
          <w:ilvl w:val="0"/>
          <w:numId w:val="15"/>
        </w:numPr>
        <w:spacing w:line="360" w:after="210" w:lineRule="auto"/>
      </w:pPr>
      <w:hyperlink r:id="rId8">
        <w:r>
          <w:rPr>
            <w:rFonts w:eastAsia="helvetica neue" w:cs="helvetica neue" w:ascii="helvetica neue" w:hAnsi="helvetica neue"/>
            <w:color w:val="#000"/>
            <w:sz w:val="21"/>
            <w:u w:val="single"/>
          </w:rPr>
          <w:t xml:space="preserve">Decisions About Early Termination - Rethinking Clinical Trials</w:t>
        </w:r>
      </w:hyperlink>
      <w:r>
        <w:rPr>
          <w:rFonts w:eastAsia="georgia" w:cs="georgia" w:ascii="georgia" w:hAnsi="georgia"/>
          <w:color w:val="000000"/>
          <w:sz w:val="21"/>
        </w:rPr>
        <w:t xml:space="preserve"> - Early stopping for safety generally occurs when interim data suggest that the harms of a treatment c...</w:t>
      </w:r>
    </w:p>
    <w:p>
      <w:pPr>
        <w:numPr>
          <w:ilvl w:val="0"/>
          <w:numId w:val="15"/>
        </w:numPr>
        <w:spacing w:line="360" w:after="210" w:lineRule="auto"/>
      </w:pPr>
      <w:hyperlink r:id="rId9">
        <w:r>
          <w:rPr>
            <w:rFonts w:eastAsia="helvetica neue" w:cs="helvetica neue" w:ascii="helvetica neue" w:hAnsi="helvetica neue"/>
            <w:color w:val="#000"/>
            <w:sz w:val="21"/>
            <w:u w:val="single"/>
          </w:rPr>
          <w:t xml:space="preserve">[PDF] Research Continuity Framework - University of Guelph</w:t>
        </w:r>
      </w:hyperlink>
    </w:p>
    <w:p>
      <w:pPr>
        <w:numPr>
          <w:ilvl w:val="0"/>
          <w:numId w:val="15"/>
        </w:numPr>
        <w:spacing w:line="360" w:after="210" w:lineRule="auto"/>
      </w:pPr>
      <w:hyperlink r:id="rId10">
        <w:r>
          <w:rPr>
            <w:rFonts w:eastAsia="helvetica neue" w:cs="helvetica neue" w:ascii="helvetica neue" w:hAnsi="helvetica neue"/>
            <w:color w:val="#000"/>
            <w:sz w:val="21"/>
            <w:u w:val="single"/>
          </w:rPr>
          <w:t xml:space="preserve">Early Warning System Scores: A Systematic Review [Internet]</w:t>
        </w:r>
      </w:hyperlink>
      <w:r>
        <w:rPr>
          <w:rFonts w:eastAsia="georgia" w:cs="georgia" w:ascii="georgia" w:hAnsi="georgia"/>
          <w:color w:val="000000"/>
          <w:sz w:val="21"/>
        </w:rPr>
        <w:t xml:space="preserve"> - Outcomes for impact of EWS implementation included 30-day mortality, cardiovascular events, use of v...</w:t>
      </w:r>
    </w:p>
    <w:p>
      <w:pPr>
        <w:numPr>
          <w:ilvl w:val="0"/>
          <w:numId w:val="15"/>
        </w:numPr>
        <w:spacing w:line="360" w:after="210" w:lineRule="auto"/>
      </w:pPr>
      <w:hyperlink r:id="rId11">
        <w:r>
          <w:rPr>
            <w:rFonts w:eastAsia="helvetica neue" w:cs="helvetica neue" w:ascii="helvetica neue" w:hAnsi="helvetica neue"/>
            <w:color w:val="#000"/>
            <w:sz w:val="21"/>
            <w:u w:val="single"/>
          </w:rPr>
          <w:t xml:space="preserve">Early Warning Signs in Complex Projects-Project Failure - PMI</w:t>
        </w:r>
      </w:hyperlink>
      <w:r>
        <w:rPr>
          <w:rFonts w:eastAsia="georgia" w:cs="georgia" w:ascii="georgia" w:hAnsi="georgia"/>
          <w:color w:val="000000"/>
          <w:sz w:val="21"/>
        </w:rPr>
        <w:t xml:space="preserve"> - This paper gives initial results from a partially PMI -funded study looking at why methods fail to p...</w:t>
      </w:r>
    </w:p>
    <w:p>
      <w:pPr>
        <w:numPr>
          <w:ilvl w:val="0"/>
          <w:numId w:val="15"/>
        </w:numPr>
        <w:spacing w:line="360" w:after="210" w:lineRule="auto"/>
      </w:pPr>
      <w:hyperlink r:id="rId12">
        <w:r>
          <w:rPr>
            <w:rFonts w:eastAsia="helvetica neue" w:cs="helvetica neue" w:ascii="helvetica neue" w:hAnsi="helvetica neue"/>
            <w:color w:val="#000"/>
            <w:sz w:val="21"/>
            <w:u w:val="single"/>
          </w:rPr>
          <w:t xml:space="preserve">RIMS REPORT - The Pre-Mortem Method - RIMS - Newsroom</w:t>
        </w:r>
      </w:hyperlink>
    </w:p>
    <w:p>
      <w:pPr>
        <w:numPr>
          <w:ilvl w:val="0"/>
          <w:numId w:val="15"/>
        </w:numPr>
        <w:spacing w:line="360" w:after="210" w:lineRule="auto"/>
      </w:pPr>
      <w:hyperlink r:id="rId13">
        <w:r>
          <w:rPr>
            <w:rFonts w:eastAsia="helvetica neue" w:cs="helvetica neue" w:ascii="helvetica neue" w:hAnsi="helvetica neue"/>
            <w:color w:val="#000"/>
            <w:sz w:val="21"/>
            <w:u w:val="single"/>
          </w:rPr>
          <w:t xml:space="preserve">RIMS REPORT - The Pre-Mortem Method: Learning From Failure Without Actually Failing</w:t>
        </w:r>
      </w:hyperlink>
    </w:p>
    <w:p>
      <w:pPr>
        <w:numPr>
          <w:ilvl w:val="0"/>
          <w:numId w:val="15"/>
        </w:numPr>
        <w:spacing w:line="360" w:after="210" w:lineRule="auto"/>
      </w:pPr>
      <w:hyperlink r:id="rId14">
        <w:r>
          <w:rPr>
            <w:rFonts w:eastAsia="helvetica neue" w:cs="helvetica neue" w:ascii="helvetica neue" w:hAnsi="helvetica neue"/>
            <w:color w:val="#000"/>
            <w:sz w:val="21"/>
            <w:u w:val="single"/>
          </w:rPr>
          <w:t xml:space="preserve">Pre-mortem - Wikipedia</w:t>
        </w:r>
      </w:hyperlink>
    </w:p>
    <w:p>
      <w:pPr>
        <w:numPr>
          <w:ilvl w:val="0"/>
          <w:numId w:val="15"/>
        </w:numPr>
        <w:spacing w:line="360" w:after="210" w:lineRule="auto"/>
      </w:pPr>
      <w:hyperlink r:id="rId15">
        <w:r>
          <w:rPr>
            <w:rFonts w:eastAsia="helvetica neue" w:cs="helvetica neue" w:ascii="helvetica neue" w:hAnsi="helvetica neue"/>
            <w:color w:val="#000"/>
            <w:sz w:val="21"/>
            <w:u w:val="single"/>
          </w:rPr>
          <w:t xml:space="preserve">Human Factors Throughout the Life Cycle: Lessons Learned from ...</w:t>
        </w:r>
      </w:hyperlink>
      <w:r>
        <w:rPr>
          <w:rFonts w:eastAsia="georgia" w:cs="georgia" w:ascii="georgia" w:hAnsi="georgia"/>
          <w:color w:val="000000"/>
          <w:sz w:val="21"/>
        </w:rPr>
        <w:t xml:space="preserve"> - Panelists will talk about their experiences as they relate human factors to a particular phase of th...</w:t>
      </w:r>
    </w:p>
    <w:p>
      <w:pPr>
        <w:numPr>
          <w:ilvl w:val="0"/>
          <w:numId w:val="15"/>
        </w:numPr>
        <w:spacing w:line="360" w:after="210" w:lineRule="auto"/>
      </w:pPr>
      <w:hyperlink r:id="rId16">
        <w:r>
          <w:rPr>
            <w:rFonts w:eastAsia="helvetica neue" w:cs="helvetica neue" w:ascii="helvetica neue" w:hAnsi="helvetica neue"/>
            <w:color w:val="#000"/>
            <w:sz w:val="21"/>
            <w:u w:val="single"/>
          </w:rPr>
          <w:t xml:space="preserve">Mishap Investigation - Sma.nasa.gov.</w:t>
        </w:r>
      </w:hyperlink>
      <w:r>
        <w:rPr>
          <w:rFonts w:eastAsia="georgia" w:cs="georgia" w:ascii="georgia" w:hAnsi="georgia"/>
          <w:color w:val="000000"/>
          <w:sz w:val="21"/>
        </w:rPr>
        <w:t xml:space="preserve"> - Mishap investigations allow NASA to understand the root cause of incidents and make adjustments to p...</w:t>
      </w:r>
    </w:p>
    <w:p>
      <w:pPr>
        <w:numPr>
          <w:ilvl w:val="0"/>
          <w:numId w:val="15"/>
        </w:numPr>
        <w:spacing w:line="360" w:after="210" w:lineRule="auto"/>
      </w:pPr>
      <w:hyperlink r:id="rId17">
        <w:r>
          <w:rPr>
            <w:rFonts w:eastAsia="helvetica neue" w:cs="helvetica neue" w:ascii="helvetica neue" w:hAnsi="helvetica neue"/>
            <w:color w:val="#000"/>
            <w:sz w:val="21"/>
            <w:u w:val="single"/>
          </w:rPr>
          <w:t xml:space="preserve">A Governance Framework for Military AI Agents</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d447674e-104c-4a67-8c13-3750fbef5c0d/OAL_Master_Portfolio_v1_0.docx?AWSAccessKeyId=ASIA2F3EMEYETHOPQEBX&amp;Signature=qzjm6ocu1BcXRjWjgo1%2BNhB2Sw4%3D&amp;x-amz-security-token=IQoJb3JpZ2luX2VjEO3%2F%2F%2F%2F%2F%2F%2F%2F%2F%2FwEaCXVzLWVhc3QtMSJHMEUCIQDjbQgr6oCGqpX7d7oJModjxKxYU3m21GNA5qffIO3fhgIgaeQWfGABax7J6OYxQo7RaAdPOpg%2F7rfwZH9hJ3eob1Iq%2FAQItf%2F%2F%2F%2F%2F%2F%2F%2F%2F%2FARABGgw2OTk3NTMzMDk3MDUiDNTKA8%2BP4As5ROmuoirQBLVJE8SyUUzg5LKVArWsraTFBbVc9SBpUE9NUNeBxP1EY%2F2%2FkgR3pmrgM5XhSIAsLhSqngJYyNjg88yJO9i8R7SlrASVuZH5xfseYgJ3sfH0%2BlxhKjBG3upt%2FDehjmTYGtoZREh19wRFXDznnKcVsPw398iPqr5BS6sOBk8DN%2BG1NVszH6joVt3tGPWor1FlsjUcTakDj2EbjEUCuPokoid1gvXqo%2BrBQNvj%2FNq4EYvNZfEepnvtgck%2BQB3sbBeUYQNVBG6YhQ9yPNEiXiku9MvN4WEercsWTT4znzKXoCy1y2PuygFrb1LBiCnVg82rrVRlMmsJ4Hueh%2BIEQZSJ7GXY4CHLr%2BJet84SGvxYH0optMQfHwT2OzkI37kejjAZN6EVOP9Km8qUpv7zQRna7njikMKgV78xXnWCGdGI37PbgCOkDvAl62RvWPWgZ0d4kN3boOIx7pc30Qd0Ave7z%2F4%2FJV8Y%2BAtfPRac%2BKSCrMJW%2FNKRkgWsGIxpHKWuYlWviHkfZulEqkozDI0pYGlXE2feHhr9Cm%2Bi%2FbtK2MDwPXJwKUkzsLLecH36XNyLhQIuufPPjzDgPMvQtEWgH9G2SsAPnqdm1fNghFBZMBrRI1lrDpIOR2gy6OTGskchv7hAbYoZyixDla6pe4JbQLlgcqvMvDyzTFTqhlbFAG2gqupPILg9pHXkLwMP6BNM4EhCO76C3mol%2FrMc%2BjVGDEFoYubn1SZMWrImoXT5g7soPqke1%2BTyjiJ0ohrsGfFnVKKM0Fn7FFebfOKoV3qNvFPhjXIw4sCBzwY6mAFurVn5%2BZOWy513Y0klJczZ4aIy48lfFRmvHI688rI9cwKHgzcZKydzTuEcEqMCOD%2FJqvXVCsqZToPT7Hw0Hp05dlNCow%2FJ%2B0QxK%2F%2FT4YLAqOK7VxAkTMBDP7VSrfNmDHvG9ymtBkQb7mZ9Ck%2FliJ6QWvIcD%2FWX1ij%2BIZ2KAsnoBVv6VHVZQRP5xkAW1RN9IwRt%2B766oa9zig%3D%3D&amp;Expires=1776315957" TargetMode="External"/><Relationship Id="rId6" Type="http://schemas.openxmlformats.org/officeDocument/2006/relationships/hyperlink" Target="https://ppl-ai-file-upload.s3.amazonaws.com/web/direct-files/attachments/456314/6c659bf2-d8b0-4cbc-97a8-3d8a0828a1a2/paste.txt?AWSAccessKeyId=ASIA2F3EMEYETHOPQEBX&amp;Signature=2Tka8ZfDOjvBSQMTt81sXbwVjrA%3D&amp;x-amz-security-token=IQoJb3JpZ2luX2VjEO3%2F%2F%2F%2F%2F%2F%2F%2F%2F%2FwEaCXVzLWVhc3QtMSJHMEUCIQDjbQgr6oCGqpX7d7oJModjxKxYU3m21GNA5qffIO3fhgIgaeQWfGABax7J6OYxQo7RaAdPOpg%2F7rfwZH9hJ3eob1Iq%2FAQItf%2F%2F%2F%2F%2F%2F%2F%2F%2F%2FARABGgw2OTk3NTMzMDk3MDUiDNTKA8%2BP4As5ROmuoirQBLVJE8SyUUzg5LKVArWsraTFBbVc9SBpUE9NUNeBxP1EY%2F2%2FkgR3pmrgM5XhSIAsLhSqngJYyNjg88yJO9i8R7SlrASVuZH5xfseYgJ3sfH0%2BlxhKjBG3upt%2FDehjmTYGtoZREh19wRFXDznnKcVsPw398iPqr5BS6sOBk8DN%2BG1NVszH6joVt3tGPWor1FlsjUcTakDj2EbjEUCuPokoid1gvXqo%2BrBQNvj%2FNq4EYvNZfEepnvtgck%2BQB3sbBeUYQNVBG6YhQ9yPNEiXiku9MvN4WEercsWTT4znzKXoCy1y2PuygFrb1LBiCnVg82rrVRlMmsJ4Hueh%2BIEQZSJ7GXY4CHLr%2BJet84SGvxYH0optMQfHwT2OzkI37kejjAZN6EVOP9Km8qUpv7zQRna7njikMKgV78xXnWCGdGI37PbgCOkDvAl62RvWPWgZ0d4kN3boOIx7pc30Qd0Ave7z%2F4%2FJV8Y%2BAtfPRac%2BKSCrMJW%2FNKRkgWsGIxpHKWuYlWviHkfZulEqkozDI0pYGlXE2feHhr9Cm%2Bi%2FbtK2MDwPXJwKUkzsLLecH36XNyLhQIuufPPjzDgPMvQtEWgH9G2SsAPnqdm1fNghFBZMBrRI1lrDpIOR2gy6OTGskchv7hAbYoZyixDla6pe4JbQLlgcqvMvDyzTFTqhlbFAG2gqupPILg9pHXkLwMP6BNM4EhCO76C3mol%2FrMc%2BjVGDEFoYubn1SZMWrImoXT5g7soPqke1%2BTyjiJ0ohrsGfFnVKKM0Fn7FFebfOKoV3qNvFPhjXIw4sCBzwY6mAFurVn5%2BZOWy513Y0klJczZ4aIy48lfFRmvHI688rI9cwKHgzcZKydzTuEcEqMCOD%2FJqvXVCsqZToPT7Hw0Hp05dlNCow%2FJ%2B0QxK%2F%2FT4YLAqOK7VxAkTMBDP7VSrfNmDHvG9ymtBkQb7mZ9Ck%2FliJ6QWvIcD%2FWX1ij%2BIZ2KAsnoBVv6VHVZQRP5xkAW1RN9IwRt%2B766oa9zig%3D%3D&amp;Expires=1776315957" TargetMode="External"/><Relationship Id="rId7" Type="http://schemas.openxmlformats.org/officeDocument/2006/relationships/hyperlink" Target="https://ppl-ai-file-upload.s3.amazonaws.com/web/direct-files/attachments/456314/b6506c1a-33e6-4c63-80ab-c5e0c6d6f2a8/OAL_TFFP_001_v1_0.docx?AWSAccessKeyId=ASIA2F3EMEYETHOPQEBX&amp;Signature=4zAPvc07IvJPAqphmNI2M3dOOiY%3D&amp;x-amz-security-token=IQoJb3JpZ2luX2VjEO3%2F%2F%2F%2F%2F%2F%2F%2F%2F%2FwEaCXVzLWVhc3QtMSJHMEUCIQDjbQgr6oCGqpX7d7oJModjxKxYU3m21GNA5qffIO3fhgIgaeQWfGABax7J6OYxQo7RaAdPOpg%2F7rfwZH9hJ3eob1Iq%2FAQItf%2F%2F%2F%2F%2F%2F%2F%2F%2F%2FARABGgw2OTk3NTMzMDk3MDUiDNTKA8%2BP4As5ROmuoirQBLVJE8SyUUzg5LKVArWsraTFBbVc9SBpUE9NUNeBxP1EY%2F2%2FkgR3pmrgM5XhSIAsLhSqngJYyNjg88yJO9i8R7SlrASVuZH5xfseYgJ3sfH0%2BlxhKjBG3upt%2FDehjmTYGtoZREh19wRFXDznnKcVsPw398iPqr5BS6sOBk8DN%2BG1NVszH6joVt3tGPWor1FlsjUcTakDj2EbjEUCuPokoid1gvXqo%2BrBQNvj%2FNq4EYvNZfEepnvtgck%2BQB3sbBeUYQNVBG6YhQ9yPNEiXiku9MvN4WEercsWTT4znzKXoCy1y2PuygFrb1LBiCnVg82rrVRlMmsJ4Hueh%2BIEQZSJ7GXY4CHLr%2BJet84SGvxYH0optMQfHwT2OzkI37kejjAZN6EVOP9Km8qUpv7zQRna7njikMKgV78xXnWCGdGI37PbgCOkDvAl62RvWPWgZ0d4kN3boOIx7pc30Qd0Ave7z%2F4%2FJV8Y%2BAtfPRac%2BKSCrMJW%2FNKRkgWsGIxpHKWuYlWviHkfZulEqkozDI0pYGlXE2feHhr9Cm%2Bi%2FbtK2MDwPXJwKUkzsLLecH36XNyLhQIuufPPjzDgPMvQtEWgH9G2SsAPnqdm1fNghFBZMBrRI1lrDpIOR2gy6OTGskchv7hAbYoZyixDla6pe4JbQLlgcqvMvDyzTFTqhlbFAG2gqupPILg9pHXkLwMP6BNM4EhCO76C3mol%2FrMc%2BjVGDEFoYubn1SZMWrImoXT5g7soPqke1%2BTyjiJ0ohrsGfFnVKKM0Fn7FFebfOKoV3qNvFPhjXIw4sCBzwY6mAFurVn5%2BZOWy513Y0klJczZ4aIy48lfFRmvHI688rI9cwKHgzcZKydzTuEcEqMCOD%2FJqvXVCsqZToPT7Hw0Hp05dlNCow%2FJ%2B0QxK%2F%2FT4YLAqOK7VxAkTMBDP7VSrfNmDHvG9ymtBkQb7mZ9Ck%2FliJ6QWvIcD%2FWX1ij%2BIZ2KAsnoBVv6VHVZQRP5xkAW1RN9IwRt%2B766oa9zig%3D%3D&amp;Expires=1776315957" TargetMode="External"/><Relationship Id="rId8" Type="http://schemas.openxmlformats.org/officeDocument/2006/relationships/hyperlink" Target="https://rethinkingclinicaltrials.org/chapters/ethics-and-regulatory/data-and-safety-monitoring/decisions-about-early-termination/" TargetMode="External"/><Relationship Id="rId9" Type="http://schemas.openxmlformats.org/officeDocument/2006/relationships/hyperlink" Target="https://www.uoguelph.ca/research/system/files/2022_02_11_UofG-Research-Continuity-Framework.pdf" TargetMode="External"/><Relationship Id="rId10" Type="http://schemas.openxmlformats.org/officeDocument/2006/relationships/hyperlink" Target="https://pubmed.ncbi.nlm.nih.gov/25506953/" TargetMode="External"/><Relationship Id="rId11" Type="http://schemas.openxmlformats.org/officeDocument/2006/relationships/hyperlink" Target="https://www.pmi.org/learning/library/warning-signs-complex-projects-failure-6407" TargetMode="External"/><Relationship Id="rId12" Type="http://schemas.openxmlformats.org/officeDocument/2006/relationships/hyperlink" Target="https://www.rims.org/about-us/newsroom/rims-report---the-pre-mortem-method-learning-from-failure-without-actually-failing" TargetMode="External"/><Relationship Id="rId13" Type="http://schemas.openxmlformats.org/officeDocument/2006/relationships/hyperlink" Target="https://www.rims.org/about-us/newsroom/news/rims-report---the-pre-mortem-method-learning-from-failure-without-actually-failing" TargetMode="External"/><Relationship Id="rId14" Type="http://schemas.openxmlformats.org/officeDocument/2006/relationships/hyperlink" Target="https://en.wikipedia.org/wiki/Pre-mortem" TargetMode="External"/><Relationship Id="rId15" Type="http://schemas.openxmlformats.org/officeDocument/2006/relationships/hyperlink" Target="https://ntrs.nasa.gov/citations/20160001106" TargetMode="External"/><Relationship Id="rId16" Type="http://schemas.openxmlformats.org/officeDocument/2006/relationships/hyperlink" Target="https://sma.nasa.gov/sma-disciplines/mishap-investigation" TargetMode="External"/><Relationship Id="rId17" Type="http://schemas.openxmlformats.org/officeDocument/2006/relationships/hyperlink" Target="https://arxiv.org/html/2603.03515v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2026-04-16T04:21:29.505Z</dcterms:created>
  <dcterms:modified xsi:type="dcterms:W3CDTF">2026-04-16T04:21:29.505Z</dcterms:modified>
</cp:coreProperties>
</file>