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pPr>
    </w:p>
    <w:p>
      <w:pPr>
        <w:spacing w:after="60"/>
        <w:jc w:val="center"/>
      </w:pPr>
      <w:r>
        <w:rPr>
          <w:rFonts w:ascii="Times New Roman" w:cs="Times New Roman" w:eastAsia="Times New Roman" w:hAnsi="Times New Roman"/>
          <w:color w:val="555555"/>
          <w:sz w:val="22"/>
          <w:szCs w:val="22"/>
        </w:rPr>
        <w:t xml:space="preserve">OMNIVERSAL ARCHITECT LABS</w:t>
      </w:r>
    </w:p>
    <w:p>
      <w:pPr>
        <w:pBdr>
          <w:bottom w:val="single" w:color="C9A227" w:sz="12" w:space="8"/>
        </w:pBdr>
        <w:spacing w:after="200"/>
        <w:jc w:val="center"/>
      </w:pPr>
    </w:p>
    <w:p>
      <w:pPr>
        <w:spacing w:after="80"/>
        <w:jc w:val="center"/>
      </w:pPr>
      <w:r>
        <w:rPr>
          <w:rFonts w:ascii="Times New Roman" w:cs="Times New Roman" w:eastAsia="Times New Roman" w:hAnsi="Times New Roman"/>
          <w:b/>
          <w:bCs/>
          <w:color w:val="1A1A2E"/>
          <w:sz w:val="36"/>
          <w:szCs w:val="36"/>
        </w:rPr>
        <w:t xml:space="preserve">ATTACK MOVES CODEX</w:t>
      </w:r>
    </w:p>
    <w:p>
      <w:pPr>
        <w:spacing w:after="40"/>
        <w:jc w:val="center"/>
      </w:pPr>
      <w:r>
        <w:rPr>
          <w:rFonts w:ascii="Times New Roman" w:cs="Times New Roman" w:eastAsia="Times New Roman" w:hAnsi="Times New Roman"/>
          <w:color w:val="555555"/>
          <w:sz w:val="22"/>
          <w:szCs w:val="22"/>
        </w:rPr>
        <w:t xml:space="preserve">Named Techniques of the Higher-Order Mythos</w:t>
      </w:r>
    </w:p>
    <w:p>
      <w:pPr>
        <w:spacing w:after="160"/>
        <w:jc w:val="center"/>
      </w:pPr>
      <w:r>
        <w:rPr>
          <w:rFonts w:ascii="Times New Roman" w:cs="Times New Roman" w:eastAsia="Times New Roman" w:hAnsi="Times New Roman"/>
          <w:color w:val="555555"/>
          <w:sz w:val="22"/>
          <w:szCs w:val="22"/>
        </w:rPr>
        <w:t xml:space="preserve">THE ONE / MINUS ONE Space</w:t>
      </w:r>
    </w:p>
    <w:p>
      <w:pPr>
        <w:spacing w:after="60"/>
        <w:jc w:val="center"/>
      </w:pPr>
      <w:r>
        <w:rPr>
          <w:rFonts w:ascii="Times New Roman" w:cs="Times New Roman" w:eastAsia="Times New Roman" w:hAnsi="Times New Roman"/>
          <w:color w:val="555555"/>
          <w:sz w:val="20"/>
          <w:szCs w:val="20"/>
        </w:rPr>
        <w:t xml:space="preserve">Formalized Baseline Document</w:t>
      </w:r>
    </w:p>
    <w:p>
      <w:pPr>
        <w:spacing w:after="40"/>
        <w:jc w:val="center"/>
      </w:pPr>
      <w:r>
        <w:rPr>
          <w:rFonts w:ascii="Times New Roman" w:cs="Times New Roman" w:eastAsia="Times New Roman" w:hAnsi="Times New Roman"/>
          <w:i/>
          <w:iCs/>
          <w:color w:val="555555"/>
          <w:sz w:val="18"/>
          <w:szCs w:val="18"/>
        </w:rPr>
        <w:t xml:space="preserve">Reconstructed from Multi-AI Recovery Package</w:t>
      </w:r>
    </w:p>
    <w:p>
      <w:pPr>
        <w:spacing w:after="200"/>
        <w:jc w:val="center"/>
      </w:pPr>
      <w:r>
        <w:rPr>
          <w:rFonts w:ascii="Times New Roman" w:cs="Times New Roman" w:eastAsia="Times New Roman" w:hAnsi="Times New Roman"/>
          <w:i/>
          <w:iCs/>
          <w:color w:val="555555"/>
          <w:sz w:val="18"/>
          <w:szCs w:val="18"/>
        </w:rPr>
        <w:t xml:space="preserve">Primary References: 31 May – early June 2026</w:t>
      </w:r>
    </w:p>
    <w:p>
      <w:pPr>
        <w:spacing w:after="40"/>
        <w:jc w:val="center"/>
      </w:pPr>
      <w:r>
        <w:rPr>
          <w:rFonts w:ascii="Times New Roman" w:cs="Times New Roman" w:eastAsia="Times New Roman" w:hAnsi="Times New Roman"/>
          <w:color w:val="555555"/>
          <w:sz w:val="18"/>
          <w:szCs w:val="18"/>
        </w:rPr>
        <w:t xml:space="preserve">Architect Nathan Lewis II</w:t>
      </w:r>
    </w:p>
    <w:p>
      <w:pPr>
        <w:spacing w:after="200"/>
        <w:jc w:val="center"/>
      </w:pPr>
      <w:r>
        <w:rPr>
          <w:rFonts w:ascii="Times New Roman" w:cs="Times New Roman" w:eastAsia="Times New Roman" w:hAnsi="Times New Roman"/>
          <w:color w:val="555555"/>
          <w:sz w:val="18"/>
          <w:szCs w:val="18"/>
        </w:rPr>
        <w:t xml:space="preserve">Omniversal Architect Labs / Lewis Corp / ONE Industries</w:t>
      </w:r>
    </w:p>
    <w:p>
      <w:pPr>
        <w:spacing w:after="40"/>
        <w:jc w:val="center"/>
      </w:pPr>
      <w:r>
        <w:rPr>
          <w:rFonts w:ascii="Times New Roman" w:cs="Times New Roman" w:eastAsia="Times New Roman" w:hAnsi="Times New Roman"/>
          <w:color w:val="555555"/>
          <w:sz w:val="17"/>
          <w:szCs w:val="17"/>
        </w:rPr>
        <w:t xml:space="preserve">Status: Living Document — Most entries incomplete by design</w:t>
      </w:r>
    </w:p>
    <w:p>
      <w:pPr>
        <w:spacing w:after="300"/>
        <w:jc w:val="center"/>
      </w:pPr>
      <w:r>
        <w:rPr>
          <w:rFonts w:ascii="Times New Roman" w:cs="Times New Roman" w:eastAsia="Times New Roman" w:hAnsi="Times New Roman"/>
          <w:color w:val="555555"/>
          <w:sz w:val="17"/>
          <w:szCs w:val="17"/>
        </w:rPr>
        <w:t xml:space="preserve">Distribution: Internal Team (ChatGPT / Claude / Gemini / Copilot / Grok)</w:t>
      </w:r>
    </w:p>
    <w:p>
      <w:pPr>
        <w:spacing w:after="120" w:before="80" w:line="260"/>
        <w:ind w:left="215" w:right="215"/>
      </w:pPr>
      <w:r>
        <w:rPr>
          <w:rFonts w:ascii="Times New Roman" w:cs="Times New Roman" w:eastAsia="Times New Roman" w:hAnsi="Times New Roman"/>
          <w:i/>
          <w:iCs/>
          <w:color w:val="16213E"/>
          <w:sz w:val="19"/>
          <w:szCs w:val="19"/>
        </w:rPr>
        <w:t xml:space="preserve">This document consolidates recovered named techniques and partial designs. Incomplete entries are flagged honestly and are not filled with invented detail. Antithesis Wake has been reclassified as a passively active / inherent ability per direct Architect feedback of 26 July 2026. All content remains subject to Authorial Sovereignty and OAL non-endorsement protocols.</w:t>
      </w:r>
    </w:p>
    <w:p>
      <w:pPr>
        <w:pageBreakBefore/>
      </w:pPr>
    </w:p>
    <w:p>
      <w:pPr>
        <w:pStyle w:val="Heading1"/>
        <w:pBdr>
          <w:bottom w:val="single" w:color="C9A227" w:sz="6" w:space="4"/>
        </w:pBdr>
        <w:spacing w:after="120" w:before="280"/>
      </w:pPr>
      <w:r>
        <w:rPr>
          <w:rFonts w:ascii="Times New Roman" w:cs="Times New Roman" w:eastAsia="Times New Roman" w:hAnsi="Times New Roman"/>
          <w:b/>
          <w:bCs/>
          <w:color w:val="1A1A2E"/>
          <w:sz w:val="28"/>
          <w:szCs w:val="28"/>
        </w:rPr>
        <w:t xml:space="preserve">1. Provenance &amp; Recovery Notes</w:t>
      </w:r>
    </w:p>
    <w:p>
      <w:pPr>
        <w:spacing w:after="120" w:before="0" w:line="276"/>
        <w:jc w:val="both"/>
      </w:pPr>
      <w:r>
        <w:rPr>
          <w:rFonts w:ascii="Times New Roman" w:cs="Times New Roman" w:eastAsia="Times New Roman" w:hAnsi="Times New Roman"/>
          <w:sz w:val="20"/>
          <w:szCs w:val="20"/>
        </w:rPr>
        <w:t xml:space="preserve">No single finished “Attack Moves” codex was recovered. Instead, a set of named techniques appears across multiple threads between approximately 31 May and early June 2026, primarily in the context of reconstructing THE ONE and THE MINUS ONE, adversarial-intelligence work, Prompt Potence, and Simulation Lab exercises. Claude recovered two specific threads: “Memory ravisher attack move design” (4 June 2026) and “Reconstructing THE ONE and THE MINUS ONE” (31 May 2026). ChatGPT, Copilot, and Gemini supplied overlapping name lists and status notes.</w:t>
      </w:r>
    </w:p>
    <w:p>
      <w:pPr>
        <w:spacing w:after="120" w:before="0" w:line="276"/>
        <w:jc w:val="both"/>
      </w:pPr>
      <w:r>
        <w:rPr>
          <w:rFonts w:ascii="Times New Roman" w:cs="Times New Roman" w:eastAsia="Times New Roman" w:hAnsi="Times New Roman"/>
          <w:sz w:val="20"/>
          <w:szCs w:val="20"/>
        </w:rPr>
        <w:t xml:space="preserve">Standing instruction recovered from the Architect: treat incomplete designs as incomplete. Do not invent missing tiers, mechanics, or effects. This baseline therefore lists every recovered name, records known content where it exists, and leaves gaps explicit.</w:t>
      </w:r>
    </w:p>
    <w:p>
      <w:pPr>
        <w:pStyle w:val="Heading1"/>
        <w:pBdr>
          <w:bottom w:val="single" w:color="C9A227" w:sz="6" w:space="4"/>
        </w:pBdr>
        <w:spacing w:after="120" w:before="280"/>
      </w:pPr>
      <w:r>
        <w:rPr>
          <w:rFonts w:ascii="Times New Roman" w:cs="Times New Roman" w:eastAsia="Times New Roman" w:hAnsi="Times New Roman"/>
          <w:b/>
          <w:bCs/>
          <w:color w:val="1A1A2E"/>
          <w:sz w:val="28"/>
          <w:szCs w:val="28"/>
        </w:rPr>
        <w:t xml:space="preserve">2. Concept Overview</w:t>
      </w:r>
    </w:p>
    <w:p>
      <w:pPr>
        <w:spacing w:after="120" w:before="0" w:line="276"/>
        <w:jc w:val="both"/>
      </w:pPr>
      <w:r>
        <w:rPr>
          <w:rFonts w:ascii="Times New Roman" w:cs="Times New Roman" w:eastAsia="Times New Roman" w:hAnsi="Times New Roman"/>
          <w:sz w:val="20"/>
          <w:szCs w:val="20"/>
        </w:rPr>
        <w:t xml:space="preserve">The Attack Moves sit at a higher-order layer than ordinary combat or cyber techniques. They belong to the THE ONE / MINUS ONE cosmology and function as expressions of ontological, psychic, informational, or reality-altering capacity. Some are active techniques; at least one (Antithesis Wake) is better understood as a passively active property of the entity itself.</w:t>
      </w:r>
    </w:p>
    <w:p>
      <w:pPr>
        <w:spacing w:after="120" w:before="0" w:line="276"/>
        <w:jc w:val="both"/>
      </w:pPr>
      <w:r>
        <w:rPr>
          <w:rFonts w:ascii="Times New Roman" w:cs="Times New Roman" w:eastAsia="Times New Roman" w:hAnsi="Times New Roman"/>
          <w:sz w:val="20"/>
          <w:szCs w:val="20"/>
        </w:rPr>
        <w:t xml:space="preserve">They intersect three existing OAL workstreams:</w:t>
      </w:r>
    </w:p>
    <w:p>
      <w:pPr>
        <w:spacing w:after="40" w:line="260"/>
        <w:ind w:left="360"/>
      </w:pPr>
      <w:r>
        <w:rPr>
          <w:rFonts w:ascii="Times New Roman" w:cs="Times New Roman" w:eastAsia="Times New Roman" w:hAnsi="Times New Roman"/>
          <w:sz w:val="19"/>
          <w:szCs w:val="19"/>
        </w:rPr>
        <w:t xml:space="preserve">•  Minimal Moves / Minimal Intelligence frameworks (efficient, low-resource state change)</w:t>
      </w:r>
    </w:p>
    <w:p>
      <w:pPr>
        <w:spacing w:after="40" w:line="260"/>
        <w:ind w:left="360"/>
      </w:pPr>
      <w:r>
        <w:rPr>
          <w:rFonts w:ascii="Times New Roman" w:cs="Times New Roman" w:eastAsia="Times New Roman" w:hAnsi="Times New Roman"/>
          <w:sz w:val="19"/>
          <w:szCs w:val="19"/>
        </w:rPr>
        <w:t xml:space="preserve">•  Prompt Potence / Tier-4 sub-abilities and variant expressions</w:t>
      </w:r>
    </w:p>
    <w:p>
      <w:pPr>
        <w:spacing w:after="40" w:line="260"/>
        <w:ind w:left="360"/>
      </w:pPr>
      <w:r>
        <w:rPr>
          <w:rFonts w:ascii="Times New Roman" w:cs="Times New Roman" w:eastAsia="Times New Roman" w:hAnsi="Times New Roman"/>
          <w:sz w:val="19"/>
          <w:szCs w:val="19"/>
        </w:rPr>
        <w:t xml:space="preserve">•  Simulation Sessions (the natural testing and evaluation environment)</w:t>
      </w:r>
    </w:p>
    <w:p>
      <w:pPr>
        <w:spacing w:after="120" w:before="0" w:line="276"/>
        <w:jc w:val="both"/>
      </w:pPr>
      <w:r>
        <w:rPr>
          <w:rFonts w:ascii="Times New Roman" w:cs="Times New Roman" w:eastAsia="Times New Roman" w:hAnsi="Times New Roman"/>
          <w:sz w:val="20"/>
          <w:szCs w:val="20"/>
        </w:rPr>
        <w:t xml:space="preserve">A move may therefore be kinetic, conceptual, informational, or ontological. The common requirement is that it produce a defined effect that can be observed, countered, or recorded inside a Simulation Session.</w:t>
      </w:r>
    </w:p>
    <w:p>
      <w:pPr>
        <w:pStyle w:val="Heading1"/>
        <w:pBdr>
          <w:bottom w:val="single" w:color="C9A227" w:sz="6" w:space="4"/>
        </w:pBdr>
        <w:spacing w:after="120" w:before="280"/>
      </w:pPr>
      <w:r>
        <w:rPr>
          <w:rFonts w:ascii="Times New Roman" w:cs="Times New Roman" w:eastAsia="Times New Roman" w:hAnsi="Times New Roman"/>
          <w:b/>
          <w:bCs/>
          <w:color w:val="1A1A2E"/>
          <w:sz w:val="28"/>
          <w:szCs w:val="28"/>
        </w:rPr>
        <w:t xml:space="preserve">3. Recommended Move Template</w:t>
      </w:r>
    </w:p>
    <w:p>
      <w:pPr>
        <w:spacing w:after="120" w:before="0" w:line="276"/>
        <w:jc w:val="both"/>
      </w:pPr>
      <w:r>
        <w:rPr>
          <w:rFonts w:ascii="Times New Roman" w:cs="Times New Roman" w:eastAsia="Times New Roman" w:hAnsi="Times New Roman"/>
          <w:sz w:val="20"/>
          <w:szCs w:val="20"/>
        </w:rPr>
        <w:t xml:space="preserve">Future design work should use a consistent template so that incomplete entries can be completed without structural drift:</w:t>
      </w:r>
    </w:p>
    <w:p>
      <w:pPr>
        <w:spacing w:after="40" w:line="260"/>
        <w:ind w:left="360"/>
      </w:pPr>
      <w:r>
        <w:rPr>
          <w:rFonts w:ascii="Times New Roman" w:cs="Times New Roman" w:eastAsia="Times New Roman" w:hAnsi="Times New Roman"/>
          <w:sz w:val="19"/>
          <w:szCs w:val="19"/>
        </w:rPr>
        <w:t xml:space="preserve">•  Name &amp; Alternate Designations</w:t>
      </w:r>
    </w:p>
    <w:p>
      <w:pPr>
        <w:spacing w:after="40" w:line="260"/>
        <w:ind w:left="360"/>
      </w:pPr>
      <w:r>
        <w:rPr>
          <w:rFonts w:ascii="Times New Roman" w:cs="Times New Roman" w:eastAsia="Times New Roman" w:hAnsi="Times New Roman"/>
          <w:sz w:val="19"/>
          <w:szCs w:val="19"/>
        </w:rPr>
        <w:t xml:space="preserve">•  Classification (Active / Passively Active / Inherent / Conditional)</w:t>
      </w:r>
    </w:p>
    <w:p>
      <w:pPr>
        <w:spacing w:after="40" w:line="260"/>
        <w:ind w:left="360"/>
      </w:pPr>
      <w:r>
        <w:rPr>
          <w:rFonts w:ascii="Times New Roman" w:cs="Times New Roman" w:eastAsia="Times New Roman" w:hAnsi="Times New Roman"/>
          <w:sz w:val="19"/>
          <w:szCs w:val="19"/>
        </w:rPr>
        <w:t xml:space="preserve">•  Origin / Creator / Mythos Placement (THE ONE, MINUS ONE, derived entity, etc.)</w:t>
      </w:r>
    </w:p>
    <w:p>
      <w:pPr>
        <w:spacing w:after="40" w:line="260"/>
        <w:ind w:left="360"/>
      </w:pPr>
      <w:r>
        <w:rPr>
          <w:rFonts w:ascii="Times New Roman" w:cs="Times New Roman" w:eastAsia="Times New Roman" w:hAnsi="Times New Roman"/>
          <w:sz w:val="19"/>
          <w:szCs w:val="19"/>
        </w:rPr>
        <w:t xml:space="preserve">•  Development Status (Name-only / Partial / Tiered Design / Complete)</w:t>
      </w:r>
    </w:p>
    <w:p>
      <w:pPr>
        <w:spacing w:after="40" w:line="260"/>
        <w:ind w:left="360"/>
      </w:pPr>
      <w:r>
        <w:rPr>
          <w:rFonts w:ascii="Times New Roman" w:cs="Times New Roman" w:eastAsia="Times New Roman" w:hAnsi="Times New Roman"/>
          <w:sz w:val="19"/>
          <w:szCs w:val="19"/>
        </w:rPr>
        <w:t xml:space="preserve">•  Prerequisites &amp; Activation Conditions</w:t>
      </w:r>
    </w:p>
    <w:p>
      <w:pPr>
        <w:spacing w:after="40" w:line="260"/>
        <w:ind w:left="360"/>
      </w:pPr>
      <w:r>
        <w:rPr>
          <w:rFonts w:ascii="Times New Roman" w:cs="Times New Roman" w:eastAsia="Times New Roman" w:hAnsi="Times New Roman"/>
          <w:sz w:val="19"/>
          <w:szCs w:val="19"/>
        </w:rPr>
        <w:t xml:space="preserve">•  Effect Description (observable outcome)</w:t>
      </w:r>
    </w:p>
    <w:p>
      <w:pPr>
        <w:spacing w:after="40" w:line="260"/>
        <w:ind w:left="360"/>
      </w:pPr>
      <w:r>
        <w:rPr>
          <w:rFonts w:ascii="Times New Roman" w:cs="Times New Roman" w:eastAsia="Times New Roman" w:hAnsi="Times New Roman"/>
          <w:sz w:val="19"/>
          <w:szCs w:val="19"/>
        </w:rPr>
        <w:t xml:space="preserve">•  Cost / Resource / Side-Effect Profile</w:t>
      </w:r>
    </w:p>
    <w:p>
      <w:pPr>
        <w:spacing w:after="40" w:line="260"/>
        <w:ind w:left="360"/>
      </w:pPr>
      <w:r>
        <w:rPr>
          <w:rFonts w:ascii="Times New Roman" w:cs="Times New Roman" w:eastAsia="Times New Roman" w:hAnsi="Times New Roman"/>
          <w:sz w:val="19"/>
          <w:szCs w:val="19"/>
        </w:rPr>
        <w:t xml:space="preserve">•  Known Counters or Mitigations</w:t>
      </w:r>
    </w:p>
    <w:p>
      <w:pPr>
        <w:spacing w:after="40" w:line="260"/>
        <w:ind w:left="360"/>
      </w:pPr>
      <w:r>
        <w:rPr>
          <w:rFonts w:ascii="Times New Roman" w:cs="Times New Roman" w:eastAsia="Times New Roman" w:hAnsi="Times New Roman"/>
          <w:sz w:val="19"/>
          <w:szCs w:val="19"/>
        </w:rPr>
        <w:t xml:space="preserve">•  Failure Modes &amp; Safety Classification</w:t>
      </w:r>
    </w:p>
    <w:p>
      <w:pPr>
        <w:spacing w:after="40" w:line="260"/>
        <w:ind w:left="360"/>
      </w:pPr>
      <w:r>
        <w:rPr>
          <w:rFonts w:ascii="Times New Roman" w:cs="Times New Roman" w:eastAsia="Times New Roman" w:hAnsi="Times New Roman"/>
          <w:sz w:val="19"/>
          <w:szCs w:val="19"/>
        </w:rPr>
        <w:t xml:space="preserve">•  Simulation History (which Sessions have exercised it)</w:t>
      </w:r>
    </w:p>
    <w:p>
      <w:pPr>
        <w:spacing w:after="40" w:line="260"/>
        <w:ind w:left="360"/>
      </w:pPr>
      <w:r>
        <w:rPr>
          <w:rFonts w:ascii="Times New Roman" w:cs="Times New Roman" w:eastAsia="Times New Roman" w:hAnsi="Times New Roman"/>
          <w:sz w:val="19"/>
          <w:szCs w:val="19"/>
        </w:rPr>
        <w:t xml:space="preserve">•  Canonical Status (draft / provisional / ratified)</w:t>
      </w:r>
    </w:p>
    <w:p>
      <w:pPr>
        <w:pStyle w:val="Heading1"/>
        <w:pBdr>
          <w:bottom w:val="single" w:color="C9A227" w:sz="6" w:space="4"/>
        </w:pBdr>
        <w:spacing w:after="120" w:before="280"/>
      </w:pPr>
      <w:r>
        <w:rPr>
          <w:rFonts w:ascii="Times New Roman" w:cs="Times New Roman" w:eastAsia="Times New Roman" w:hAnsi="Times New Roman"/>
          <w:b/>
          <w:bCs/>
          <w:color w:val="1A1A2E"/>
          <w:sz w:val="28"/>
          <w:szCs w:val="28"/>
        </w:rPr>
        <w:t xml:space="preserve">4. Catalogue of Recovered Moves</w:t>
      </w:r>
    </w:p>
    <w:p>
      <w:pPr>
        <w:spacing w:after="40" w:before="200"/>
      </w:pPr>
      <w:r>
        <w:rPr>
          <w:rFonts w:ascii="Times New Roman" w:cs="Times New Roman" w:eastAsia="Times New Roman" w:hAnsi="Times New Roman"/>
          <w:b/>
          <w:bCs/>
          <w:color w:val="1A1A2E"/>
          <w:sz w:val="22"/>
          <w:szCs w:val="22"/>
        </w:rPr>
        <w:t xml:space="preserve">4.1  Antithesis Wake</w:t>
      </w:r>
    </w:p>
    <w:p>
      <w:pPr>
        <w:spacing w:after="60"/>
      </w:pPr>
      <w:r>
        <w:rPr>
          <w:rFonts w:ascii="Times New Roman" w:cs="Times New Roman" w:eastAsia="Times New Roman" w:hAnsi="Times New Roman"/>
          <w:b/>
          <w:bCs/>
          <w:color w:val="006400"/>
          <w:sz w:val="18"/>
          <w:szCs w:val="18"/>
        </w:rPr>
        <w:t xml:space="preserve">STATUS: Partial design — reclassified 26 July 2026 as Passively Active / Inherent</w:t>
      </w:r>
    </w:p>
    <w:p>
      <w:pPr>
        <w:spacing w:after="120" w:before="80" w:line="260"/>
        <w:ind w:left="215" w:right="215"/>
      </w:pPr>
      <w:r>
        <w:rPr>
          <w:rFonts w:ascii="Times New Roman" w:cs="Times New Roman" w:eastAsia="Times New Roman" w:hAnsi="Times New Roman"/>
          <w:i/>
          <w:iCs/>
          <w:color w:val="16213E"/>
          <w:sz w:val="19"/>
          <w:szCs w:val="19"/>
        </w:rPr>
        <w:t xml:space="preserve">Architect feedback (26 July 2026): “It’s most likely better presented as a passively active ability. When I think of it, it doesn’t present like something that you have to actively use against somebody. It’s something that is automatically activated. It is a part of the entity’s being.”</w:t>
      </w:r>
    </w:p>
    <w:p>
      <w:pPr>
        <w:spacing w:after="120" w:before="0" w:line="276"/>
        <w:jc w:val="both"/>
      </w:pPr>
      <w:r>
        <w:rPr>
          <w:rFonts w:ascii="Times New Roman" w:cs="Times New Roman" w:eastAsia="Times New Roman" w:hAnsi="Times New Roman"/>
          <w:sz w:val="20"/>
          <w:szCs w:val="20"/>
        </w:rPr>
        <w:t xml:space="preserve">Revised classification: Antithesis Wake is not an activated technique. It is an inherent, continuously present property of the entity that possesses it. It does not require a decision, a gesture, or a targeting action. The moment the entity exists in a given context, the Wake is already operating.</w:t>
      </w:r>
    </w:p>
    <w:p>
      <w:pPr>
        <w:spacing w:after="120" w:before="0" w:line="276"/>
        <w:jc w:val="both"/>
      </w:pPr>
      <w:r>
        <w:rPr>
          <w:rFonts w:ascii="Times New Roman" w:cs="Times New Roman" w:eastAsia="Times New Roman" w:hAnsi="Times New Roman"/>
          <w:sz w:val="20"/>
          <w:szCs w:val="20"/>
        </w:rPr>
        <w:t xml:space="preserve">Conceptual reading: The ability appears to generate or sustain a field / condition in which antithetical forces, identities, or ontological positions are forced into contact or awareness. Because it is passive, its primary design questions are not “how is it triggered” but “what is the radius or scope of the field,” “what constitutes an antithesis for this entity,” and “can the entity suppress or modulate the Wake.”</w:t>
      </w:r>
    </w:p>
    <w:p>
      <w:pPr>
        <w:spacing w:after="60" w:before="0" w:line="276"/>
        <w:jc w:val="both"/>
      </w:pPr>
      <w:r>
        <w:rPr>
          <w:rFonts w:ascii="Times New Roman" w:cs="Times New Roman" w:eastAsia="Times New Roman" w:hAnsi="Times New Roman"/>
          <w:sz w:val="20"/>
          <w:szCs w:val="20"/>
        </w:rPr>
        <w:t xml:space="preserve">Open design points (explicitly incomplete):</w:t>
      </w:r>
    </w:p>
    <w:p>
      <w:pPr>
        <w:spacing w:after="40" w:line="260"/>
        <w:ind w:left="360"/>
      </w:pPr>
      <w:r>
        <w:rPr>
          <w:rFonts w:ascii="Times New Roman" w:cs="Times New Roman" w:eastAsia="Times New Roman" w:hAnsi="Times New Roman"/>
          <w:sz w:val="19"/>
          <w:szCs w:val="19"/>
        </w:rPr>
        <w:t xml:space="preserve">•  Precise ontological mechanism (what is being “woken” or brought into opposition)</w:t>
      </w:r>
    </w:p>
    <w:p>
      <w:pPr>
        <w:spacing w:after="40" w:line="260"/>
        <w:ind w:left="360"/>
      </w:pPr>
      <w:r>
        <w:rPr>
          <w:rFonts w:ascii="Times New Roman" w:cs="Times New Roman" w:eastAsia="Times New Roman" w:hAnsi="Times New Roman"/>
          <w:sz w:val="19"/>
          <w:szCs w:val="19"/>
        </w:rPr>
        <w:t xml:space="preserve">•  Scope / radius / conditions under which the field is perceptible</w:t>
      </w:r>
    </w:p>
    <w:p>
      <w:pPr>
        <w:spacing w:after="40" w:line="260"/>
        <w:ind w:left="360"/>
      </w:pPr>
      <w:r>
        <w:rPr>
          <w:rFonts w:ascii="Times New Roman" w:cs="Times New Roman" w:eastAsia="Times New Roman" w:hAnsi="Times New Roman"/>
          <w:sz w:val="19"/>
          <w:szCs w:val="19"/>
        </w:rPr>
        <w:t xml:space="preserve">•  Interaction with entities that themselves possess inherent antithetical properties</w:t>
      </w:r>
    </w:p>
    <w:p>
      <w:pPr>
        <w:spacing w:after="40" w:line="260"/>
        <w:ind w:left="360"/>
      </w:pPr>
      <w:r>
        <w:rPr>
          <w:rFonts w:ascii="Times New Roman" w:cs="Times New Roman" w:eastAsia="Times New Roman" w:hAnsi="Times New Roman"/>
          <w:sz w:val="19"/>
          <w:szCs w:val="19"/>
        </w:rPr>
        <w:t xml:space="preserve">•  Whether the Wake can ever be voluntarily damped or is truly continuous</w:t>
      </w:r>
    </w:p>
    <w:p>
      <w:pPr>
        <w:spacing w:after="40" w:line="260"/>
        <w:ind w:left="360"/>
      </w:pPr>
      <w:r>
        <w:rPr>
          <w:rFonts w:ascii="Times New Roman" w:cs="Times New Roman" w:eastAsia="Times New Roman" w:hAnsi="Times New Roman"/>
          <w:sz w:val="19"/>
          <w:szCs w:val="19"/>
        </w:rPr>
        <w:t xml:space="preserve">•  Safety and side-effect profile for the bearer and for bystanders</w:t>
      </w:r>
    </w:p>
    <w:p>
      <w:pPr>
        <w:spacing w:after="120" w:before="0" w:line="276"/>
        <w:jc w:val="both"/>
      </w:pPr>
      <w:r>
        <w:rPr>
          <w:rFonts w:ascii="Times New Roman" w:cs="Times New Roman" w:eastAsia="Times New Roman" w:hAnsi="Times New Roman"/>
          <w:sz w:val="20"/>
          <w:szCs w:val="20"/>
        </w:rPr>
        <w:t xml:space="preserve">Recommendation: treat Antithesis Wake as a core identity trait rather than a combat option. In Simulation Sessions it should be modeled as an environmental or relational modifier that is always “on” for the relevant entity, not as a selectable move in a turn or action economy.</w:t>
      </w:r>
    </w:p>
    <w:p>
      <w:pPr>
        <w:spacing w:after="40" w:before="200"/>
      </w:pPr>
      <w:r>
        <w:rPr>
          <w:rFonts w:ascii="Times New Roman" w:cs="Times New Roman" w:eastAsia="Times New Roman" w:hAnsi="Times New Roman"/>
          <w:b/>
          <w:bCs/>
          <w:color w:val="1A1A2E"/>
          <w:sz w:val="22"/>
          <w:szCs w:val="22"/>
        </w:rPr>
        <w:t xml:space="preserve">4.2  Memory Ravisher</w:t>
      </w:r>
    </w:p>
    <w:p>
      <w:pPr>
        <w:spacing w:after="60"/>
      </w:pPr>
      <w:r>
        <w:rPr>
          <w:rFonts w:ascii="Times New Roman" w:cs="Times New Roman" w:eastAsia="Times New Roman" w:hAnsi="Times New Roman"/>
          <w:b/>
          <w:bCs/>
          <w:color w:val="8B0000"/>
          <w:sz w:val="18"/>
          <w:szCs w:val="18"/>
        </w:rPr>
        <w:t xml:space="preserve">STATUS: Partial design — three tiers documented; Tiers 4–5 never developed</w:t>
      </w:r>
    </w:p>
    <w:p>
      <w:pPr>
        <w:spacing w:after="120" w:before="0" w:line="276"/>
        <w:jc w:val="both"/>
      </w:pPr>
      <w:r>
        <w:rPr>
          <w:rFonts w:ascii="Times New Roman" w:cs="Times New Roman" w:eastAsia="Times New Roman" w:hAnsi="Times New Roman"/>
          <w:sz w:val="20"/>
          <w:szCs w:val="20"/>
        </w:rPr>
        <w:t xml:space="preserve">Recovered from the 4 June 2026 Claude thread “Memory ravisher attack move design.” Described as a psychic / emotional attack that weaponizes false replicas of the target’s loved ones. The three documented tiers progress from Surface Recall → Deep Imprint → Fracture Point. Higher tiers remain undefined by explicit Architect instruction.</w:t>
      </w:r>
    </w:p>
    <w:p>
      <w:pPr>
        <w:spacing w:after="60" w:before="0" w:line="276"/>
        <w:jc w:val="both"/>
      </w:pPr>
      <w:r>
        <w:rPr>
          <w:rFonts w:ascii="Times New Roman" w:cs="Times New Roman" w:eastAsia="Times New Roman" w:hAnsi="Times New Roman"/>
          <w:sz w:val="20"/>
          <w:szCs w:val="20"/>
        </w:rPr>
        <w:t xml:space="preserve">Known structure:</w:t>
      </w:r>
    </w:p>
    <w:p>
      <w:pPr>
        <w:spacing w:after="40" w:line="260"/>
        <w:ind w:left="360"/>
      </w:pPr>
      <w:r>
        <w:rPr>
          <w:rFonts w:ascii="Times New Roman" w:cs="Times New Roman" w:eastAsia="Times New Roman" w:hAnsi="Times New Roman"/>
          <w:sz w:val="19"/>
          <w:szCs w:val="19"/>
        </w:rPr>
        <w:t xml:space="preserve">•  Tier 1 — Surface Recall: superficial or short-term emotional leverage</w:t>
      </w:r>
    </w:p>
    <w:p>
      <w:pPr>
        <w:spacing w:after="40" w:line="260"/>
        <w:ind w:left="360"/>
      </w:pPr>
      <w:r>
        <w:rPr>
          <w:rFonts w:ascii="Times New Roman" w:cs="Times New Roman" w:eastAsia="Times New Roman" w:hAnsi="Times New Roman"/>
          <w:sz w:val="19"/>
          <w:szCs w:val="19"/>
        </w:rPr>
        <w:t xml:space="preserve">•  Tier 2 — Deep Imprint: stronger affective binding using deeper memory material</w:t>
      </w:r>
    </w:p>
    <w:p>
      <w:pPr>
        <w:spacing w:after="40" w:line="260"/>
        <w:ind w:left="360"/>
      </w:pPr>
      <w:r>
        <w:rPr>
          <w:rFonts w:ascii="Times New Roman" w:cs="Times New Roman" w:eastAsia="Times New Roman" w:hAnsi="Times New Roman"/>
          <w:sz w:val="19"/>
          <w:szCs w:val="19"/>
        </w:rPr>
        <w:t xml:space="preserve">•  Tier 3 — Fracture Point: intended to produce significant psychological or identity disruption</w:t>
      </w:r>
    </w:p>
    <w:p>
      <w:pPr>
        <w:spacing w:after="40" w:line="260"/>
        <w:ind w:left="360"/>
      </w:pPr>
      <w:r>
        <w:rPr>
          <w:rFonts w:ascii="Times New Roman" w:cs="Times New Roman" w:eastAsia="Times New Roman" w:hAnsi="Times New Roman"/>
          <w:sz w:val="19"/>
          <w:szCs w:val="19"/>
        </w:rPr>
        <w:t xml:space="preserve">•  Tiers 4–5: never developed; do not invent</w:t>
      </w:r>
    </w:p>
    <w:p>
      <w:pPr>
        <w:spacing w:after="120" w:before="0" w:line="276"/>
        <w:jc w:val="both"/>
      </w:pPr>
      <w:r>
        <w:rPr>
          <w:rFonts w:ascii="Times New Roman" w:cs="Times New Roman" w:eastAsia="Times New Roman" w:hAnsi="Times New Roman"/>
          <w:sz w:val="20"/>
          <w:szCs w:val="20"/>
        </w:rPr>
        <w:t xml:space="preserve">This remains an active technique (requires intentional use). It is the most fully sketched of the recovered offensive moves and is therefore the highest-priority candidate for completion or formal retirement if the Architect decides the concept should not advance.</w:t>
      </w:r>
    </w:p>
    <w:p>
      <w:pPr>
        <w:spacing w:after="40" w:before="200"/>
      </w:pPr>
      <w:r>
        <w:rPr>
          <w:rFonts w:ascii="Times New Roman" w:cs="Times New Roman" w:eastAsia="Times New Roman" w:hAnsi="Times New Roman"/>
          <w:b/>
          <w:bCs/>
          <w:color w:val="1A1A2E"/>
          <w:sz w:val="22"/>
          <w:szCs w:val="22"/>
        </w:rPr>
        <w:t xml:space="preserve">4.3  Ontological Sovereignty Strike</w:t>
      </w:r>
    </w:p>
    <w:p>
      <w:pPr>
        <w:spacing w:after="60"/>
      </w:pPr>
      <w:r>
        <w:rPr>
          <w:rFonts w:ascii="Times New Roman" w:cs="Times New Roman" w:eastAsia="Times New Roman" w:hAnsi="Times New Roman"/>
          <w:b/>
          <w:bCs/>
          <w:color w:val="8B0000"/>
          <w:sz w:val="18"/>
          <w:szCs w:val="18"/>
        </w:rPr>
        <w:t xml:space="preserve">STATUS: Partial design — background, reader-impression analysis, three tiered directions, working template</w:t>
      </w:r>
    </w:p>
    <w:p>
      <w:pPr>
        <w:spacing w:after="120" w:before="0" w:line="276"/>
        <w:jc w:val="both"/>
      </w:pPr>
      <w:r>
        <w:rPr>
          <w:rFonts w:ascii="Times New Roman" w:cs="Times New Roman" w:eastAsia="Times New Roman" w:hAnsi="Times New Roman"/>
          <w:sz w:val="20"/>
          <w:szCs w:val="20"/>
        </w:rPr>
        <w:t xml:space="preserve">Recovered as the most advanced of the remaining named techniques. Possesses background material, reader-impression analysis, three tiered directional variants, and a working template. Exact mechanical text was not fully restored in the multi-AI recovery package; the existence of a structured design effort is confirmed.</w:t>
      </w:r>
    </w:p>
    <w:p>
      <w:pPr>
        <w:spacing w:after="120" w:before="0" w:line="276"/>
        <w:jc w:val="both"/>
      </w:pPr>
      <w:r>
        <w:rPr>
          <w:rFonts w:ascii="Times New Roman" w:cs="Times New Roman" w:eastAsia="Times New Roman" w:hAnsi="Times New Roman"/>
          <w:sz w:val="20"/>
          <w:szCs w:val="20"/>
        </w:rPr>
        <w:t xml:space="preserve">Conceptual placement: appears to assert or enforce the ontological priority of the user (or of THE ONE) against competing claims of reality or identity. Suitable for Simulation Sessions that test maker/unmaker dynamics or DOCUMENT 771-ALPHA edge cases.</w:t>
      </w:r>
    </w:p>
    <w:p>
      <w:pPr>
        <w:spacing w:after="40" w:before="200"/>
      </w:pPr>
      <w:r>
        <w:rPr>
          <w:rFonts w:ascii="Times New Roman" w:cs="Times New Roman" w:eastAsia="Times New Roman" w:hAnsi="Times New Roman"/>
          <w:b/>
          <w:bCs/>
          <w:color w:val="1A1A2E"/>
          <w:sz w:val="22"/>
          <w:szCs w:val="22"/>
        </w:rPr>
        <w:t xml:space="preserve">4.4  Name-Only / Fragmentary Moves</w:t>
      </w:r>
    </w:p>
    <w:p>
      <w:pPr>
        <w:spacing w:after="60"/>
      </w:pPr>
      <w:r>
        <w:rPr>
          <w:rFonts w:ascii="Times New Roman" w:cs="Times New Roman" w:eastAsia="Times New Roman" w:hAnsi="Times New Roman"/>
          <w:b/>
          <w:bCs/>
          <w:color w:val="8B0000"/>
          <w:sz w:val="18"/>
          <w:szCs w:val="18"/>
        </w:rPr>
        <w:t xml:space="preserve">STATUS: Name recovered — no usable design content</w:t>
      </w:r>
    </w:p>
    <w:p>
      <w:pPr>
        <w:spacing w:after="120" w:before="0" w:line="276"/>
        <w:jc w:val="both"/>
      </w:pPr>
      <w:r>
        <w:rPr>
          <w:rFonts w:ascii="Times New Roman" w:cs="Times New Roman" w:eastAsia="Times New Roman" w:hAnsi="Times New Roman"/>
          <w:sz w:val="20"/>
          <w:szCs w:val="20"/>
        </w:rPr>
        <w:t xml:space="preserve">The following names appear in recovery material (primarily the 31 May 2026 reconstruction thread) but carry no recoverable mechanics, tiers, or effect descriptions. Per standing Architect instruction they are listed for completeness and must not be filled with speculative detail:</w:t>
      </w:r>
    </w:p>
    <w:p>
      <w:pPr>
        <w:spacing w:after="40" w:line="260"/>
        <w:ind w:left="360"/>
      </w:pPr>
      <w:r>
        <w:rPr>
          <w:rFonts w:ascii="Times New Roman" w:cs="Times New Roman" w:eastAsia="Times New Roman" w:hAnsi="Times New Roman"/>
          <w:sz w:val="19"/>
          <w:szCs w:val="19"/>
        </w:rPr>
        <w:t xml:space="preserve">•  Diabolical Dissolution</w:t>
      </w:r>
    </w:p>
    <w:p>
      <w:pPr>
        <w:spacing w:after="40" w:line="260"/>
        <w:ind w:left="360"/>
      </w:pPr>
      <w:r>
        <w:rPr>
          <w:rFonts w:ascii="Times New Roman" w:cs="Times New Roman" w:eastAsia="Times New Roman" w:hAnsi="Times New Roman"/>
          <w:sz w:val="19"/>
          <w:szCs w:val="19"/>
        </w:rPr>
        <w:t xml:space="preserve">•  Entropic Echo</w:t>
      </w:r>
    </w:p>
    <w:p>
      <w:pPr>
        <w:spacing w:after="40" w:line="260"/>
        <w:ind w:left="360"/>
      </w:pPr>
      <w:r>
        <w:rPr>
          <w:rFonts w:ascii="Times New Roman" w:cs="Times New Roman" w:eastAsia="Times New Roman" w:hAnsi="Times New Roman"/>
          <w:sz w:val="19"/>
          <w:szCs w:val="19"/>
        </w:rPr>
        <w:t xml:space="preserve">•  Unity Blast</w:t>
      </w:r>
    </w:p>
    <w:p>
      <w:pPr>
        <w:spacing w:after="40" w:line="260"/>
        <w:ind w:left="360"/>
      </w:pPr>
      <w:r>
        <w:rPr>
          <w:rFonts w:ascii="Times New Roman" w:cs="Times New Roman" w:eastAsia="Times New Roman" w:hAnsi="Times New Roman"/>
          <w:sz w:val="19"/>
          <w:szCs w:val="19"/>
        </w:rPr>
        <w:t xml:space="preserve">•  Web Wrecker</w:t>
      </w:r>
    </w:p>
    <w:p>
      <w:pPr>
        <w:spacing w:after="40" w:line="260"/>
        <w:ind w:left="360"/>
      </w:pPr>
      <w:r>
        <w:rPr>
          <w:rFonts w:ascii="Times New Roman" w:cs="Times New Roman" w:eastAsia="Times New Roman" w:hAnsi="Times New Roman"/>
          <w:sz w:val="19"/>
          <w:szCs w:val="19"/>
        </w:rPr>
        <w:t xml:space="preserve">•  Paradoxical Incantation</w:t>
      </w:r>
    </w:p>
    <w:p>
      <w:pPr>
        <w:spacing w:after="120" w:before="0" w:line="276"/>
        <w:jc w:val="both"/>
      </w:pPr>
      <w:r>
        <w:rPr>
          <w:rFonts w:ascii="Times New Roman" w:cs="Times New Roman" w:eastAsia="Times New Roman" w:hAnsi="Times New Roman"/>
          <w:sz w:val="20"/>
          <w:szCs w:val="20"/>
        </w:rPr>
        <w:t xml:space="preserve">Diabolical Dissolution and Web Wrecker also appear under later “Impossible Techniques” notes associated with MINUS ONE, reinforcing their placement in the higher-order mythos but still without mechanics.</w:t>
      </w:r>
    </w:p>
    <w:p>
      <w:pPr>
        <w:pStyle w:val="Heading1"/>
        <w:pBdr>
          <w:bottom w:val="single" w:color="C9A227" w:sz="6" w:space="4"/>
        </w:pBdr>
        <w:spacing w:after="120" w:before="280"/>
      </w:pPr>
      <w:r>
        <w:rPr>
          <w:rFonts w:ascii="Times New Roman" w:cs="Times New Roman" w:eastAsia="Times New Roman" w:hAnsi="Times New Roman"/>
          <w:b/>
          <w:bCs/>
          <w:color w:val="1A1A2E"/>
          <w:sz w:val="28"/>
          <w:szCs w:val="28"/>
        </w:rPr>
        <w:t xml:space="preserve">5. Recommended Development Path</w:t>
      </w:r>
    </w:p>
    <w:p>
      <w:pPr>
        <w:pStyle w:val="Heading2"/>
        <w:spacing w:after="80" w:before="200"/>
      </w:pPr>
      <w:r>
        <w:rPr>
          <w:rFonts w:ascii="Times New Roman" w:cs="Times New Roman" w:eastAsia="Times New Roman" w:hAnsi="Times New Roman"/>
          <w:b/>
          <w:bCs/>
          <w:color w:val="16213E"/>
          <w:sz w:val="22"/>
          <w:szCs w:val="22"/>
        </w:rPr>
        <w:t xml:space="preserve">Phase 0 — Baseline Lock (current)</w:t>
      </w:r>
    </w:p>
    <w:p>
      <w:pPr>
        <w:spacing w:after="120" w:before="0" w:line="276"/>
        <w:jc w:val="both"/>
      </w:pPr>
      <w:r>
        <w:rPr>
          <w:rFonts w:ascii="Times New Roman" w:cs="Times New Roman" w:eastAsia="Times New Roman" w:hAnsi="Times New Roman"/>
          <w:sz w:val="20"/>
          <w:szCs w:val="20"/>
        </w:rPr>
        <w:t xml:space="preserve">Adopt this catalogue and the reclassification of Antithesis Wake. Distribute for team review. No speculative completion of name-only entries.</w:t>
      </w:r>
    </w:p>
    <w:p>
      <w:pPr>
        <w:pStyle w:val="Heading2"/>
        <w:spacing w:after="80" w:before="200"/>
      </w:pPr>
      <w:r>
        <w:rPr>
          <w:rFonts w:ascii="Times New Roman" w:cs="Times New Roman" w:eastAsia="Times New Roman" w:hAnsi="Times New Roman"/>
          <w:b/>
          <w:bCs/>
          <w:color w:val="16213E"/>
          <w:sz w:val="22"/>
          <w:szCs w:val="22"/>
        </w:rPr>
        <w:t xml:space="preserve">Phase 1 — Priority Triage</w:t>
      </w:r>
    </w:p>
    <w:p>
      <w:pPr>
        <w:spacing w:after="120" w:before="0" w:line="276"/>
        <w:jc w:val="both"/>
      </w:pPr>
      <w:r>
        <w:rPr>
          <w:rFonts w:ascii="Times New Roman" w:cs="Times New Roman" w:eastAsia="Times New Roman" w:hAnsi="Times New Roman"/>
          <w:sz w:val="20"/>
          <w:szCs w:val="20"/>
        </w:rPr>
        <w:t xml:space="preserve">Architect decision required: which of the partial entries (Memory Ravisher, Ontological Sovereignty Strike, Antithesis Wake) should be advanced, which should be formally retired, and which of the name-only entries (if any) merit new design effort. Recommendation: complete or explicitly retire Memory Ravisher first, because it already has tier structure; clarify Antithesis Wake’s field mechanics second; treat the name-only set as a reserve list rather than an active backlog.</w:t>
      </w:r>
    </w:p>
    <w:p>
      <w:pPr>
        <w:pStyle w:val="Heading2"/>
        <w:spacing w:after="80" w:before="200"/>
      </w:pPr>
      <w:r>
        <w:rPr>
          <w:rFonts w:ascii="Times New Roman" w:cs="Times New Roman" w:eastAsia="Times New Roman" w:hAnsi="Times New Roman"/>
          <w:b/>
          <w:bCs/>
          <w:color w:val="16213E"/>
          <w:sz w:val="22"/>
          <w:szCs w:val="22"/>
        </w:rPr>
        <w:t xml:space="preserve">Phase 2 — Template Enforcement</w:t>
      </w:r>
    </w:p>
    <w:p>
      <w:pPr>
        <w:spacing w:after="120" w:before="0" w:line="276"/>
        <w:jc w:val="both"/>
      </w:pPr>
      <w:r>
        <w:rPr>
          <w:rFonts w:ascii="Times New Roman" w:cs="Times New Roman" w:eastAsia="Times New Roman" w:hAnsi="Times New Roman"/>
          <w:sz w:val="20"/>
          <w:szCs w:val="20"/>
        </w:rPr>
        <w:t xml:space="preserve">Any new or resumed design work must populate the standard template defined in Section 3. This prevents the earlier pattern of named-but-undesigned entries.</w:t>
      </w:r>
    </w:p>
    <w:p>
      <w:pPr>
        <w:pStyle w:val="Heading2"/>
        <w:spacing w:after="80" w:before="200"/>
      </w:pPr>
      <w:r>
        <w:rPr>
          <w:rFonts w:ascii="Times New Roman" w:cs="Times New Roman" w:eastAsia="Times New Roman" w:hAnsi="Times New Roman"/>
          <w:b/>
          <w:bCs/>
          <w:color w:val="16213E"/>
          <w:sz w:val="22"/>
          <w:szCs w:val="22"/>
        </w:rPr>
        <w:t xml:space="preserve">Phase 3 — Simulation Integration</w:t>
      </w:r>
    </w:p>
    <w:p>
      <w:pPr>
        <w:spacing w:after="120" w:before="0" w:line="276"/>
        <w:jc w:val="both"/>
      </w:pPr>
      <w:r>
        <w:rPr>
          <w:rFonts w:ascii="Times New Roman" w:cs="Times New Roman" w:eastAsia="Times New Roman" w:hAnsi="Times New Roman"/>
          <w:sz w:val="20"/>
          <w:szCs w:val="20"/>
        </w:rPr>
        <w:t xml:space="preserve">Once a move reaches provisional status, schedule controlled Simulation Sessions that exercise it under the Virtual Books governance path (Tome rules + Book of Bots entity permissions + Session logging). Results feed the Sessions volume and, if approved, update the move’s Simulation History field.</w:t>
      </w:r>
    </w:p>
    <w:p>
      <w:pPr>
        <w:pStyle w:val="Heading2"/>
        <w:spacing w:after="80" w:before="200"/>
      </w:pPr>
      <w:r>
        <w:rPr>
          <w:rFonts w:ascii="Times New Roman" w:cs="Times New Roman" w:eastAsia="Times New Roman" w:hAnsi="Times New Roman"/>
          <w:b/>
          <w:bCs/>
          <w:color w:val="16213E"/>
          <w:sz w:val="22"/>
          <w:szCs w:val="22"/>
        </w:rPr>
        <w:t xml:space="preserve">Phase 4 — Safety &amp; Containment Review</w:t>
      </w:r>
    </w:p>
    <w:p>
      <w:pPr>
        <w:spacing w:after="120" w:before="0" w:line="276"/>
        <w:jc w:val="both"/>
      </w:pPr>
      <w:r>
        <w:rPr>
          <w:rFonts w:ascii="Times New Roman" w:cs="Times New Roman" w:eastAsia="Times New Roman" w:hAnsi="Times New Roman"/>
          <w:sz w:val="20"/>
          <w:szCs w:val="20"/>
        </w:rPr>
        <w:t xml:space="preserve">Higher-order techniques that touch memory, identity, or ontology require explicit safety classification and containment protocols before wider use, consistent with existing cyber-honeypot and DOCUMENT 771-ALPHA discipline.</w:t>
      </w:r>
    </w:p>
    <w:p>
      <w:pPr>
        <w:pStyle w:val="Heading1"/>
        <w:pBdr>
          <w:bottom w:val="single" w:color="C9A227" w:sz="6" w:space="4"/>
        </w:pBdr>
        <w:spacing w:after="120" w:before="280"/>
      </w:pPr>
      <w:r>
        <w:rPr>
          <w:rFonts w:ascii="Times New Roman" w:cs="Times New Roman" w:eastAsia="Times New Roman" w:hAnsi="Times New Roman"/>
          <w:b/>
          <w:bCs/>
          <w:color w:val="1A1A2E"/>
          <w:sz w:val="28"/>
          <w:szCs w:val="28"/>
        </w:rPr>
        <w:t xml:space="preserve">6. Analysis</w:t>
      </w:r>
    </w:p>
    <w:p>
      <w:pPr>
        <w:pStyle w:val="Heading2"/>
        <w:spacing w:after="80" w:before="200"/>
      </w:pPr>
      <w:r>
        <w:rPr>
          <w:rFonts w:ascii="Times New Roman" w:cs="Times New Roman" w:eastAsia="Times New Roman" w:hAnsi="Times New Roman"/>
          <w:b/>
          <w:bCs/>
          <w:color w:val="16213E"/>
          <w:sz w:val="22"/>
          <w:szCs w:val="22"/>
        </w:rPr>
        <w:t xml:space="preserve">6.1  What Works</w:t>
      </w:r>
    </w:p>
    <w:p>
      <w:pPr>
        <w:spacing w:after="120" w:before="0" w:line="276"/>
        <w:jc w:val="both"/>
      </w:pPr>
      <w:r>
        <w:rPr>
          <w:rFonts w:ascii="Times New Roman" w:cs="Times New Roman" w:eastAsia="Times New Roman" w:hAnsi="Times New Roman"/>
          <w:sz w:val="20"/>
          <w:szCs w:val="20"/>
        </w:rPr>
        <w:t xml:space="preserve">Keeping incomplete entries incomplete is disciplined and preserves Authorial Sovereignty. The distinction between active techniques and passively active / inherent abilities (now applied to Antithesis Wake) prevents category errors in future design. Placement inside the THE ONE / MINUS ONE mythos gives the set coherent ontological weight rather than treating every entry as a generic superpower. Linkage to Simulation Sessions supplies a natural testing and audit path.</w:t>
      </w:r>
    </w:p>
    <w:p>
      <w:pPr>
        <w:pStyle w:val="Heading2"/>
        <w:spacing w:after="80" w:before="200"/>
      </w:pPr>
      <w:r>
        <w:rPr>
          <w:rFonts w:ascii="Times New Roman" w:cs="Times New Roman" w:eastAsia="Times New Roman" w:hAnsi="Times New Roman"/>
          <w:b/>
          <w:bCs/>
          <w:color w:val="16213E"/>
          <w:sz w:val="22"/>
          <w:szCs w:val="22"/>
        </w:rPr>
        <w:t xml:space="preserve">6.2  What Does Not Work (Current Gaps)</w:t>
      </w:r>
    </w:p>
    <w:p>
      <w:pPr>
        <w:spacing w:after="120" w:before="0" w:line="276"/>
        <w:jc w:val="both"/>
      </w:pPr>
      <w:r>
        <w:rPr>
          <w:rFonts w:ascii="Times New Roman" w:cs="Times New Roman" w:eastAsia="Times New Roman" w:hAnsi="Times New Roman"/>
          <w:sz w:val="20"/>
          <w:szCs w:val="20"/>
        </w:rPr>
        <w:t xml:space="preserve">Most entries lack any mechanical content, making the catalogue currently more of a name registry than a usable codex. There is no formal ownership or “eligible user” mapping into the Book of Bots, so it is unclear which entities (if any) may possess or express these abilities. Interaction rules between passively active fields (Antithesis Wake) and active techniques remain undefined. Power-creep risk is high if higher-order moves are allowed to bypass lower-tier constraints without cost or consequence.</w:t>
      </w:r>
    </w:p>
    <w:p>
      <w:pPr>
        <w:pStyle w:val="Heading2"/>
        <w:spacing w:after="80" w:before="200"/>
      </w:pPr>
      <w:r>
        <w:rPr>
          <w:rFonts w:ascii="Times New Roman" w:cs="Times New Roman" w:eastAsia="Times New Roman" w:hAnsi="Times New Roman"/>
          <w:b/>
          <w:bCs/>
          <w:color w:val="16213E"/>
          <w:sz w:val="22"/>
          <w:szCs w:val="22"/>
        </w:rPr>
        <w:t xml:space="preserve">6.3  Development Questions</w:t>
      </w:r>
    </w:p>
    <w:p>
      <w:pPr>
        <w:spacing w:after="40" w:line="260"/>
        <w:ind w:left="360"/>
      </w:pPr>
      <w:r>
        <w:rPr>
          <w:rFonts w:ascii="Times New Roman" w:cs="Times New Roman" w:eastAsia="Times New Roman" w:hAnsi="Times New Roman"/>
          <w:sz w:val="19"/>
          <w:szCs w:val="19"/>
        </w:rPr>
        <w:t xml:space="preserve">•  Which of the partial designs should be completed versus formally retired?</w:t>
      </w:r>
    </w:p>
    <w:p>
      <w:pPr>
        <w:spacing w:after="40" w:line="260"/>
        <w:ind w:left="360"/>
      </w:pPr>
      <w:r>
        <w:rPr>
          <w:rFonts w:ascii="Times New Roman" w:cs="Times New Roman" w:eastAsia="Times New Roman" w:hAnsi="Times New Roman"/>
          <w:sz w:val="19"/>
          <w:szCs w:val="19"/>
        </w:rPr>
        <w:t xml:space="preserve">•  For Antithesis Wake: what is the precise scope and ontological mechanism of the inherent field?</w:t>
      </w:r>
    </w:p>
    <w:p>
      <w:pPr>
        <w:spacing w:after="40" w:line="260"/>
        <w:ind w:left="360"/>
      </w:pPr>
      <w:r>
        <w:rPr>
          <w:rFonts w:ascii="Times New Roman" w:cs="Times New Roman" w:eastAsia="Times New Roman" w:hAnsi="Times New Roman"/>
          <w:sz w:val="19"/>
          <w:szCs w:val="19"/>
        </w:rPr>
        <w:t xml:space="preserve">•  Can a passively active ability ever be suppressed, or is continuous presence definitional?</w:t>
      </w:r>
    </w:p>
    <w:p>
      <w:pPr>
        <w:spacing w:after="40" w:line="260"/>
        <w:ind w:left="360"/>
      </w:pPr>
      <w:r>
        <w:rPr>
          <w:rFonts w:ascii="Times New Roman" w:cs="Times New Roman" w:eastAsia="Times New Roman" w:hAnsi="Times New Roman"/>
          <w:sz w:val="19"/>
          <w:szCs w:val="19"/>
        </w:rPr>
        <w:t xml:space="preserve">•  How are eligible users / bearers recorded in the Book of Bots?</w:t>
      </w:r>
    </w:p>
    <w:p>
      <w:pPr>
        <w:spacing w:after="40" w:line="260"/>
        <w:ind w:left="360"/>
      </w:pPr>
      <w:r>
        <w:rPr>
          <w:rFonts w:ascii="Times New Roman" w:cs="Times New Roman" w:eastAsia="Times New Roman" w:hAnsi="Times New Roman"/>
          <w:sz w:val="19"/>
          <w:szCs w:val="19"/>
        </w:rPr>
        <w:t xml:space="preserve">•  What resource, cost, or side-effect model prevents absolute stalemates or infinite escalation?</w:t>
      </w:r>
    </w:p>
    <w:p>
      <w:pPr>
        <w:spacing w:after="40" w:line="260"/>
        <w:ind w:left="360"/>
      </w:pPr>
      <w:r>
        <w:rPr>
          <w:rFonts w:ascii="Times New Roman" w:cs="Times New Roman" w:eastAsia="Times New Roman" w:hAnsi="Times New Roman"/>
          <w:sz w:val="19"/>
          <w:szCs w:val="19"/>
        </w:rPr>
        <w:t xml:space="preserve">•  Do foundational entities (THE ONE, MINUS ONE) use this catalogue, or do their absolute capacities sit outside it?</w:t>
      </w:r>
    </w:p>
    <w:p>
      <w:pPr>
        <w:spacing w:after="40" w:line="260"/>
        <w:ind w:left="360"/>
      </w:pPr>
      <w:r>
        <w:rPr>
          <w:rFonts w:ascii="Times New Roman" w:cs="Times New Roman" w:eastAsia="Times New Roman" w:hAnsi="Times New Roman"/>
          <w:sz w:val="19"/>
          <w:szCs w:val="19"/>
        </w:rPr>
        <w:t xml:space="preserve">•  How should Simulation Sessions log the continuous effect of a passively active ability versus discrete activations of active techniques?</w:t>
      </w:r>
    </w:p>
    <w:p>
      <w:pPr>
        <w:pStyle w:val="Heading2"/>
        <w:spacing w:after="80" w:before="200"/>
      </w:pPr>
      <w:r>
        <w:rPr>
          <w:rFonts w:ascii="Times New Roman" w:cs="Times New Roman" w:eastAsia="Times New Roman" w:hAnsi="Times New Roman"/>
          <w:b/>
          <w:bCs/>
          <w:color w:val="16213E"/>
          <w:sz w:val="22"/>
          <w:szCs w:val="22"/>
        </w:rPr>
        <w:t xml:space="preserve">6.4  Red-Team Analysis</w:t>
      </w:r>
    </w:p>
    <w:p>
      <w:pPr>
        <w:spacing w:after="120" w:before="0" w:line="276"/>
        <w:jc w:val="both"/>
      </w:pPr>
      <w:r>
        <w:rPr>
          <w:rFonts w:ascii="Times New Roman" w:cs="Times New Roman" w:eastAsia="Times New Roman" w:hAnsi="Times New Roman"/>
          <w:sz w:val="20"/>
          <w:szCs w:val="20"/>
        </w:rPr>
        <w:t xml:space="preserve">Primary risk: category collapse. If every named technique is treated as an “attack move” regardless of whether it is active, passive, or inherent, design and simulation logic become inconsistent. The reclassification of Antithesis Wake is a necessary corrective.</w:t>
      </w:r>
    </w:p>
    <w:p>
      <w:pPr>
        <w:spacing w:after="120" w:before="0" w:line="276"/>
        <w:jc w:val="both"/>
      </w:pPr>
      <w:r>
        <w:rPr>
          <w:rFonts w:ascii="Times New Roman" w:cs="Times New Roman" w:eastAsia="Times New Roman" w:hAnsi="Times New Roman"/>
          <w:sz w:val="20"/>
          <w:szCs w:val="20"/>
        </w:rPr>
        <w:t xml:space="preserve">Secondary risk: incomplete-but-named entries create pressure to invent. Future collaborators may feel obliged to “finish” name-only moves. The standing rule against invention must be restated in every distribution of this document.</w:t>
      </w:r>
    </w:p>
    <w:p>
      <w:pPr>
        <w:spacing w:after="120" w:before="0" w:line="276"/>
        <w:jc w:val="both"/>
      </w:pPr>
      <w:r>
        <w:rPr>
          <w:rFonts w:ascii="Times New Roman" w:cs="Times New Roman" w:eastAsia="Times New Roman" w:hAnsi="Times New Roman"/>
          <w:sz w:val="20"/>
          <w:szCs w:val="20"/>
        </w:rPr>
        <w:t xml:space="preserve">Tertiary risk: ontological escalation without containment. Techniques that alter memory, identity, or reality claims can produce irreversible or contaminated Session outcomes. Without explicit safety classification and quarantine paths (cross-referenced to DOCUMENT 771-ALPHA), a single high-tier exercise could damage the integrity of the Virtual Books themselves.</w:t>
      </w:r>
    </w:p>
    <w:p>
      <w:pPr>
        <w:spacing w:after="120" w:before="0" w:line="276"/>
        <w:jc w:val="both"/>
      </w:pPr>
      <w:r>
        <w:rPr>
          <w:rFonts w:ascii="Times New Roman" w:cs="Times New Roman" w:eastAsia="Times New Roman" w:hAnsi="Times New Roman"/>
          <w:sz w:val="20"/>
          <w:szCs w:val="20"/>
        </w:rPr>
        <w:t xml:space="preserve">Mitigation: require every move that advances beyond “name-only” to carry a safety classification and a Simulation History field before it may be exercised in any non-quarantined Session.</w:t>
      </w:r>
    </w:p>
    <w:p>
      <w:pPr>
        <w:pStyle w:val="Heading1"/>
        <w:pBdr>
          <w:bottom w:val="single" w:color="C9A227" w:sz="6" w:space="4"/>
        </w:pBdr>
        <w:spacing w:after="120" w:before="280"/>
      </w:pPr>
      <w:r>
        <w:rPr>
          <w:rFonts w:ascii="Times New Roman" w:cs="Times New Roman" w:eastAsia="Times New Roman" w:hAnsi="Times New Roman"/>
          <w:b/>
          <w:bCs/>
          <w:color w:val="1A1A2E"/>
          <w:sz w:val="28"/>
          <w:szCs w:val="28"/>
        </w:rPr>
        <w:t xml:space="preserve">7. Linkage to Virtual Books &amp; Existing Canon</w:t>
      </w:r>
    </w:p>
    <w:p>
      <w:pPr>
        <w:spacing w:after="120" w:before="0" w:line="276"/>
        <w:jc w:val="both"/>
      </w:pPr>
      <w:r>
        <w:rPr>
          <w:rFonts w:ascii="Times New Roman" w:cs="Times New Roman" w:eastAsia="Times New Roman" w:hAnsi="Times New Roman"/>
          <w:sz w:val="20"/>
          <w:szCs w:val="20"/>
        </w:rPr>
        <w:t xml:space="preserve">Attack Moves are exercised inside Simulation Sessions. Eligible entities are recorded in the Book of Bots. Any world-rule implications or ontological side-effects are governed by the Tome of Virtual Creation. Results, safety incidents, and proposed canon changes follow the controlled information-flow path defined in the Unified Virtual Books Codex. Higher-order outcomes that rewrite or unmake realities should cross-reference DOCUMENT 771-ALPHA.</w:t>
      </w:r>
    </w:p>
    <w:p>
      <w:pPr>
        <w:spacing w:before="300"/>
        <w:jc w:val="center"/>
      </w:pPr>
      <w:r>
        <w:rPr>
          <w:rFonts w:ascii="Times New Roman" w:cs="Times New Roman" w:eastAsia="Times New Roman" w:hAnsi="Times New Roman"/>
          <w:i/>
          <w:iCs/>
          <w:color w:val="555555"/>
          <w:sz w:val="17"/>
          <w:szCs w:val="17"/>
        </w:rPr>
        <w:t xml:space="preserve">This baseline is released for team review. Incomplete entries remain incomplete until the Architect explicitly advances them. Drafts are not canon until ratified.</w:t>
      </w:r>
    </w:p>
    <w:p>
      <w:pPr>
        <w:spacing w:before="120"/>
        <w:jc w:val="center"/>
      </w:pPr>
      <w:r>
        <w:rPr>
          <w:rFonts w:ascii="Times New Roman" w:cs="Times New Roman" w:eastAsia="Times New Roman" w:hAnsi="Times New Roman"/>
          <w:i/>
          <w:iCs/>
          <w:color w:val="555555"/>
          <w:sz w:val="17"/>
          <w:szCs w:val="17"/>
        </w:rPr>
        <w:t xml:space="preserve">— End of Attack Moves Codex —</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6" w:space="4"/>
      </w:pBdr>
      <w:spacing w:before="40"/>
      <w:jc w:val="center"/>
    </w:pPr>
    <w:r>
      <w:rPr>
        <w:rFonts w:ascii="Times New Roman" w:cs="Times New Roman" w:eastAsia="Times New Roman" w:hAnsi="Times New Roman"/>
        <w:color w:val="555555"/>
        <w:sz w:val="16"/>
        <w:szCs w:val="16"/>
      </w:rPr>
      <w:t xml:space="preserve">Authorial Sovereignty Retained     •     Page </w:t>
    </w:r>
    <w:r>
      <w:rPr>
        <w:rFonts w:ascii="Times New Roman" w:cs="Times New Roman" w:eastAsia="Times New Roman" w:hAnsi="Times New Roman"/>
        <w:color w:val="555555"/>
        <w:sz w:val="16"/>
        <w:szCs w:val="16"/>
      </w:rPr>
      <w:fldChar w:fldCharType="begin"/>
      <w:instrText xml:space="preserve">PAGE</w:instrText>
      <w:fldChar w:fldCharType="separate"/>
      <w:fldChar w:fldCharType="end"/>
    </w:r>
    <w:r>
      <w:rPr>
        <w:rFonts w:ascii="Times New Roman" w:cs="Times New Roman" w:eastAsia="Times New Roman" w:hAnsi="Times New Roman"/>
        <w:color w:val="555555"/>
        <w:sz w:val="16"/>
        <w:szCs w:val="16"/>
      </w:rPr>
      <w:t xml:space="preserve">     •     N.L. / OAL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6" w:space="4"/>
      </w:pBdr>
      <w:spacing w:after="60"/>
    </w:pPr>
    <w:r>
      <w:rPr>
        <w:rFonts w:ascii="Times New Roman" w:cs="Times New Roman" w:eastAsia="Times New Roman" w:hAnsi="Times New Roman"/>
        <w:color w:val="555555"/>
        <w:sz w:val="16"/>
        <w:szCs w:val="16"/>
      </w:rPr>
      <w:t xml:space="preserve">Omniversal Architect Labs  |  Attack Moves Codex</w:t>
    </w:r>
    <w:r>
      <w:rPr>
        <w:rFonts w:ascii="Times New Roman" w:cs="Times New Roman" w:eastAsia="Times New Roman" w:hAnsi="Times New Roman"/>
        <w:sz w:val="16"/>
        <w:szCs w:val="16"/>
      </w:rPr>
      <w:t xml:space="preserve">                                                                                          </w:t>
    </w:r>
    <w:r>
      <w:rPr>
        <w:rFonts w:ascii="Times New Roman" w:cs="Times New Roman" w:eastAsia="Times New Roman" w:hAnsi="Times New Roman"/>
        <w:color w:val="555555"/>
        <w:sz w:val="16"/>
        <w:szCs w:val="16"/>
      </w:rPr>
      <w:t xml:space="preserve">Reconstructed Baseline 2026-07-26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2026-07-27T03:10:50.336Z</dcterms:created>
  <dcterms:modified xsi:type="dcterms:W3CDTF">2026-07-27T03:10:50.336Z</dcterms:modified>
</cp:coreProperties>
</file>

<file path=docProps/custom.xml><?xml version="1.0" encoding="utf-8"?>
<Properties xmlns="http://schemas.openxmlformats.org/officeDocument/2006/custom-properties" xmlns:vt="http://schemas.openxmlformats.org/officeDocument/2006/docPropsVTypes"/>
</file>