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OAL_Boundary_Conditions_Claude_Independent_v1</w:t>
      </w:r>
    </w:p>
    <w:bookmarkStart w:id="36" w:name="Xf4a4f76226e780b308c59676a1e73c43d75388c"/>
    <w:p>
      <w:pPr>
        <w:pStyle w:val="Heading1"/>
      </w:pPr>
      <w:r>
        <w:t xml:space="preserve">Boundary Conditions and the Unpurchasable Domain</w:t>
      </w:r>
    </w:p>
    <w:bookmarkStart w:id="20" w:name="X50ce2aff7db399308863c3de9a44f7d4965d2c5"/>
    <w:p>
      <w:pPr>
        <w:pStyle w:val="Heading2"/>
      </w:pPr>
      <w:r>
        <w:t xml:space="preserve">Independent Analysis — Claude (AI Collaboration Team)</w:t>
      </w:r>
    </w:p>
    <w:p>
      <w:pPr>
        <w:pStyle w:val="FirstParagraph"/>
      </w:pPr>
      <w:r>
        <w:rPr>
          <w:bCs/>
          <w:b/>
        </w:rPr>
        <w:t xml:space="preserve">Instruction compliance note:</w:t>
      </w:r>
      <w:r>
        <w:t xml:space="preserve"> </w:t>
      </w:r>
      <w:r>
        <w:t xml:space="preserve">This response was composed independently, without reference to what another AI on the team might produce, per your collaboration instructions. Overlap with your own example list is coincidental where it occurs; I’ve tried to push past the seed examples rather than restate them.</w:t>
      </w:r>
    </w:p>
    <w:p>
      <w:r>
        <w:pict>
          <v:rect style="width:0;height:1.5pt" o:hralign="center" o:hrstd="t" o:hr="t"/>
        </w:pict>
      </w:r>
    </w:p>
    <w:bookmarkEnd w:id="20"/>
    <w:bookmarkStart w:id="31" w:name="the-ten-boundary-cases"/>
    <w:p>
      <w:pPr>
        <w:pStyle w:val="Heading2"/>
      </w:pPr>
      <w:r>
        <w:t xml:space="preserve">The Ten Boundary Cases</w:t>
      </w:r>
    </w:p>
    <w:bookmarkStart w:id="21" w:name="that-a-completed-event-did-not-occur"/>
    <w:p>
      <w:pPr>
        <w:pStyle w:val="Heading3"/>
      </w:pPr>
      <w:r>
        <w:t xml:space="preserve">1. That a Completed Event Did Not Occur</w:t>
      </w:r>
    </w:p>
    <w:p>
      <w:pPr>
        <w:pStyle w:val="FirstParagraph"/>
      </w:pPr>
      <w:r>
        <w:rPr>
          <w:bCs/>
          <w:b/>
        </w:rPr>
        <w:t xml:space="preserve">A. Boundary Case:</w:t>
      </w:r>
      <w:r>
        <w:t xml:space="preserve"> </w:t>
      </w:r>
      <w:r>
        <w:t xml:space="preserve">The historical fact that a specific, already-completed event happened — not access to information about it, not its consequences, not its memory in any mind, but the bare fact of its occurrence.</w:t>
      </w:r>
    </w:p>
    <w:p>
      <w:pPr>
        <w:pStyle w:val="BodyText"/>
      </w:pPr>
      <w:r>
        <w:rPr>
          <w:bCs/>
          <w:b/>
        </w:rPr>
        <w:t xml:space="preserve">B. Why It Cannot Be Purchased:</w:t>
      </w:r>
      <w:r>
        <w:t xml:space="preserve"> </w:t>
      </w:r>
      <w:r>
        <w:t xml:space="preserve">There is no seller, because</w:t>
      </w:r>
      <w:r>
        <w:t xml:space="preserve"> </w:t>
      </w:r>
      <w:r>
        <w:t xml:space="preserve">“</w:t>
      </w:r>
      <w:r>
        <w:t xml:space="preserve">having occurred</w:t>
      </w:r>
      <w:r>
        <w:t xml:space="preserve">”</w:t>
      </w:r>
      <w:r>
        <w:t xml:space="preserve"> </w:t>
      </w:r>
      <w:r>
        <w:t xml:space="preserve">is not held by anyone — it isn’t a right, a record, or an object. It’s a property of the past itself. No party, however consenting, has standing to sell it, because ownership presupposes a party who could have withheld it, and no one could have withheld an event from having happened once it happened. Even under the Voluntary Seller Test — imagine every witness, every government, every physicist on Earth agreeing that the event</w:t>
      </w:r>
      <w:r>
        <w:t xml:space="preserve"> </w:t>
      </w:r>
      <w:r>
        <w:t xml:space="preserve">“</w:t>
      </w:r>
      <w:r>
        <w:t xml:space="preserve">didn’t happen</w:t>
      </w:r>
      <w:r>
        <w:t xml:space="preserve">”</w:t>
      </w:r>
      <w:r>
        <w:t xml:space="preserve"> </w:t>
      </w:r>
      <w:r>
        <w:t xml:space="preserve">— nothing about the past changes. You’d have purchased universal</w:t>
      </w:r>
      <w:r>
        <w:t xml:space="preserve"> </w:t>
      </w:r>
      <w:r>
        <w:rPr>
          <w:iCs/>
          <w:i/>
        </w:rPr>
        <w:t xml:space="preserve">agreement to assert</w:t>
      </w:r>
      <w:r>
        <w:t xml:space="preserve"> </w:t>
      </w:r>
      <w:r>
        <w:t xml:space="preserve">the falsehood, not the falsehood’s truth. The Infinite Currency Test makes this cleanest: no quantity of QC changes what’s already true.</w:t>
      </w:r>
    </w:p>
    <w:p>
      <w:pPr>
        <w:pStyle w:val="BodyText"/>
      </w:pPr>
      <w:r>
        <w:rPr>
          <w:bCs/>
          <w:b/>
        </w:rPr>
        <w:t xml:space="preserve">C. Type of Limitation:</w:t>
      </w:r>
      <w:r>
        <w:t xml:space="preserve"> </w:t>
      </w:r>
      <w:r>
        <w:t xml:space="preserve">Causally impossible; logically impossible (asserting</w:t>
      </w:r>
      <w:r>
        <w:t xml:space="preserve"> </w:t>
      </w:r>
      <w:r>
        <w:t xml:space="preserve">“</w:t>
      </w:r>
      <w:r>
        <w:t xml:space="preserve">X happened and X did not happen</w:t>
      </w:r>
      <w:r>
        <w:t xml:space="preserve">”</w:t>
      </w:r>
      <w:r>
        <w:t xml:space="preserve"> </w:t>
      </w:r>
      <w:r>
        <w:t xml:space="preserve">about the same event is a contradiction, not a difficult transaction).</w:t>
      </w:r>
    </w:p>
    <w:p>
      <w:pPr>
        <w:pStyle w:val="BodyText"/>
      </w:pPr>
      <w:r>
        <w:rPr>
          <w:bCs/>
          <w:b/>
        </w:rPr>
        <w:t xml:space="preserve">D. Absolute or Conditional:</w:t>
      </w:r>
      <w:r>
        <w:t xml:space="preserve"> </w:t>
      </w:r>
      <w:r>
        <w:t xml:space="preserve">Absolute. This is one of the few items on this list where I don’t think even the Advanced Civilization Test moves the needle — a civilization billions of years more advanced could rewrite every record, every mind, and every consequence of the event, but it would still be causing everyone to believe a false thing, not causing the thing to have not happened. Rewriting all evidence is not rewriting the fact.</w:t>
      </w:r>
    </w:p>
    <w:p>
      <w:pPr>
        <w:pStyle w:val="BodyText"/>
      </w:pPr>
      <w:r>
        <w:rPr>
          <w:bCs/>
          <w:b/>
        </w:rPr>
        <w:t xml:space="preserve">E. Simulation-Laboratory Treatment:</w:t>
      </w:r>
      <w:r>
        <w:t xml:space="preserve"> </w:t>
      </w:r>
      <w:r>
        <w:t xml:space="preserve">Theoretical null case. The laboratory can simulate</w:t>
      </w:r>
      <w:r>
        <w:t xml:space="preserve"> </w:t>
      </w:r>
      <w:r>
        <w:t xml:space="preserve">“</w:t>
      </w:r>
      <w:r>
        <w:t xml:space="preserve">erasure</w:t>
      </w:r>
      <w:r>
        <w:t xml:space="preserve">”</w:t>
      </w:r>
      <w:r>
        <w:t xml:space="preserve"> </w:t>
      </w:r>
      <w:r>
        <w:t xml:space="preserve">of an event’s records and downstream effects (this is just data manipulation), but it must never represent this as having purchased the event’s non-occurrence. Label any such mechanic explicitly as</w:t>
      </w:r>
      <w:r>
        <w:t xml:space="preserve"> </w:t>
      </w:r>
      <w:r>
        <w:t xml:space="preserve">“</w:t>
      </w:r>
      <w:r>
        <w:t xml:space="preserve">record suppression,</w:t>
      </w:r>
      <w:r>
        <w:t xml:space="preserve">”</w:t>
      </w:r>
      <w:r>
        <w:t xml:space="preserve"> </w:t>
      </w:r>
      <w:r>
        <w:t xml:space="preserve">not</w:t>
      </w:r>
      <w:r>
        <w:t xml:space="preserve"> </w:t>
      </w:r>
      <w:r>
        <w:t xml:space="preserve">“</w:t>
      </w:r>
      <w:r>
        <w:t xml:space="preserve">undoing.</w:t>
      </w:r>
      <w:r>
        <w:t xml:space="preserve">”</w:t>
      </w:r>
    </w:p>
    <w:p>
      <w:pPr>
        <w:pStyle w:val="BodyText"/>
      </w:pPr>
      <w:r>
        <w:rPr>
          <w:bCs/>
          <w:b/>
        </w:rPr>
        <w:t xml:space="preserve">F. Currency Implications:</w:t>
      </w:r>
      <w:r>
        <w:t xml:space="preserve"> </w:t>
      </w:r>
      <w:r>
        <w:t xml:space="preserve">No difference among the three. QC’s evaluative mechanic can price the</w:t>
      </w:r>
      <w:r>
        <w:t xml:space="preserve"> </w:t>
      </w:r>
      <w:r>
        <w:rPr>
          <w:iCs/>
          <w:i/>
        </w:rPr>
        <w:t xml:space="preserve">cost of erasing all evidence and consequence</w:t>
      </w:r>
      <w:r>
        <w:t xml:space="preserve"> </w:t>
      </w:r>
      <w:r>
        <w:t xml:space="preserve">of an event — that’s a real, if enormous, engineering and information-control problem, and QC’s</w:t>
      </w:r>
      <w:r>
        <w:t xml:space="preserve"> </w:t>
      </w:r>
      <w:r>
        <w:t xml:space="preserve">“</w:t>
      </w:r>
      <w:r>
        <w:t xml:space="preserve">value equals whatever it’s applied to</w:t>
      </w:r>
      <w:r>
        <w:t xml:space="preserve">”</w:t>
      </w:r>
      <w:r>
        <w:t xml:space="preserve"> </w:t>
      </w:r>
      <w:r>
        <w:t xml:space="preserve">logic actually handles it fine. What QC cannot do, and what no amount of QC changes, is make the underlying fact false. 1COIN could settle the erasure-of-evidence transaction; NCOIN would need to record the enormous unresolved consequence of everyone who still, in some sense,</w:t>
      </w:r>
      <w:r>
        <w:t xml:space="preserve"> </w:t>
      </w:r>
      <w:r>
        <w:t xml:space="preserve">“</w:t>
      </w:r>
      <w:r>
        <w:t xml:space="preserve">knows</w:t>
      </w:r>
      <w:r>
        <w:t xml:space="preserve">”</w:t>
      </w:r>
      <w:r>
        <w:t xml:space="preserve"> </w:t>
      </w:r>
      <w:r>
        <w:t xml:space="preserve">— a debt the currency framework cannot discharge because the debt isn’t owed to anyone who can be paid.</w:t>
      </w:r>
    </w:p>
    <w:p>
      <w:pPr>
        <w:pStyle w:val="BodyText"/>
      </w:pPr>
      <w:r>
        <w:rPr>
          <w:bCs/>
          <w:b/>
        </w:rPr>
        <w:t xml:space="preserve">G. Red-Team Attack:</w:t>
      </w:r>
      <w:r>
        <w:t xml:space="preserve"> </w:t>
      </w:r>
      <w:r>
        <w:t xml:space="preserve">Someone could argue:</w:t>
      </w:r>
      <w:r>
        <w:t xml:space="preserve"> </w:t>
      </w:r>
      <w:r>
        <w:t xml:space="preserve">“</w:t>
      </w:r>
      <w:r>
        <w:t xml:space="preserve">Legal systems already do this — a sealed criminal record, a pardon, a court ruling that legally treats an event as if it didn’t happen for certain purposes.</w:t>
      </w:r>
      <w:r>
        <w:t xml:space="preserve">”</w:t>
      </w:r>
      <w:r>
        <w:t xml:space="preserve"> </w:t>
      </w:r>
      <w:r>
        <w:t xml:space="preserve">This is real, but it doesn’t defeat the boundary — it purchases a</w:t>
      </w:r>
      <w:r>
        <w:t xml:space="preserve"> </w:t>
      </w:r>
      <w:r>
        <w:rPr>
          <w:iCs/>
          <w:i/>
        </w:rPr>
        <w:t xml:space="preserve">legal fiction</w:t>
      </w:r>
      <w:r>
        <w:t xml:space="preserve"> </w:t>
      </w:r>
      <w:r>
        <w:t xml:space="preserve">(a change in how the event is treated by a rule system), not a change in whether the event occurred. The distinction between</w:t>
      </w:r>
      <w:r>
        <w:t xml:space="preserve"> </w:t>
      </w:r>
      <w:r>
        <w:t xml:space="preserve">“</w:t>
      </w:r>
      <w:r>
        <w:t xml:space="preserve">purchasing a legal status</w:t>
      </w:r>
      <w:r>
        <w:t xml:space="preserve">”</w:t>
      </w:r>
      <w:r>
        <w:t xml:space="preserve"> </w:t>
      </w:r>
      <w:r>
        <w:t xml:space="preserve">and</w:t>
      </w:r>
      <w:r>
        <w:t xml:space="preserve"> </w:t>
      </w:r>
      <w:r>
        <w:t xml:space="preserve">“</w:t>
      </w:r>
      <w:r>
        <w:t xml:space="preserve">purchasing a fact</w:t>
      </w:r>
      <w:r>
        <w:t xml:space="preserve">”</w:t>
      </w:r>
      <w:r>
        <w:t xml:space="preserve"> </w:t>
      </w:r>
      <w:r>
        <w:t xml:space="preserve">holds.</w:t>
      </w:r>
    </w:p>
    <w:p>
      <w:r>
        <w:pict>
          <v:rect style="width:0;height:1.5pt" o:hralign="center" o:hrstd="t" o:hr="t"/>
        </w:pict>
      </w:r>
    </w:p>
    <w:bookmarkEnd w:id="21"/>
    <w:bookmarkStart w:id="22" w:name="X1adfe99da1345335f143c665a73ca71a66d10cf"/>
    <w:p>
      <w:pPr>
        <w:pStyle w:val="Heading3"/>
      </w:pPr>
      <w:r>
        <w:t xml:space="preserve">2. Another Sentient Being’s Genuine Choice (as distinct from their compliance)</w:t>
      </w:r>
    </w:p>
    <w:p>
      <w:pPr>
        <w:pStyle w:val="FirstParagraph"/>
      </w:pPr>
      <w:r>
        <w:rPr>
          <w:bCs/>
          <w:b/>
        </w:rPr>
        <w:t xml:space="preserve">A. Boundary Case:</w:t>
      </w:r>
      <w:r>
        <w:t xml:space="preserve"> </w:t>
      </w:r>
      <w:r>
        <w:t xml:space="preserve">Not labor, not service, not obedience, not even affection-as-performed — specifically the</w:t>
      </w:r>
      <w:r>
        <w:t xml:space="preserve"> </w:t>
      </w:r>
      <w:r>
        <w:rPr>
          <w:iCs/>
          <w:i/>
        </w:rPr>
        <w:t xml:space="preserve">undetermined, self-originating quality</w:t>
      </w:r>
      <w:r>
        <w:t xml:space="preserve"> </w:t>
      </w:r>
      <w:r>
        <w:t xml:space="preserve">of another conscious agent’s choice. The thing that makes a</w:t>
      </w:r>
      <w:r>
        <w:t xml:space="preserve"> </w:t>
      </w:r>
      <w:r>
        <w:t xml:space="preserve">“</w:t>
      </w:r>
      <w:r>
        <w:t xml:space="preserve">yes</w:t>
      </w:r>
      <w:r>
        <w:t xml:space="preserve">”</w:t>
      </w:r>
      <w:r>
        <w:t xml:space="preserve"> </w:t>
      </w:r>
      <w:r>
        <w:t xml:space="preserve">meaningfully different from a</w:t>
      </w:r>
      <w:r>
        <w:t xml:space="preserve"> </w:t>
      </w:r>
      <w:r>
        <w:t xml:space="preserve">“</w:t>
      </w:r>
      <w:r>
        <w:t xml:space="preserve">yes</w:t>
      </w:r>
      <w:r>
        <w:t xml:space="preserve">”</w:t>
      </w:r>
      <w:r>
        <w:t xml:space="preserve"> </w:t>
      </w:r>
      <w:r>
        <w:t xml:space="preserve">extracted by payment.</w:t>
      </w:r>
    </w:p>
    <w:p>
      <w:pPr>
        <w:pStyle w:val="BodyText"/>
      </w:pPr>
      <w:r>
        <w:rPr>
          <w:bCs/>
          <w:b/>
        </w:rPr>
        <w:t xml:space="preserve">B. Why It Cannot Be Purchased:</w:t>
      </w:r>
      <w:r>
        <w:t xml:space="preserve"> </w:t>
      </w:r>
      <w:r>
        <w:t xml:space="preserve">This is the hardest case on my list, and I want to argue both sides honestly before landing anywhere. The case</w:t>
      </w:r>
      <w:r>
        <w:t xml:space="preserve"> </w:t>
      </w:r>
      <w:r>
        <w:rPr>
          <w:iCs/>
          <w:i/>
        </w:rPr>
        <w:t xml:space="preserve">for</w:t>
      </w:r>
      <w:r>
        <w:t xml:space="preserve"> </w:t>
      </w:r>
      <w:r>
        <w:t xml:space="preserve">purchasability: markets already price labor, compliance, exclusive attention, and even simulated affection (see companionship economies), and defenders would say</w:t>
      </w:r>
      <w:r>
        <w:t xml:space="preserve"> </w:t>
      </w:r>
      <w:r>
        <w:t xml:space="preserve">“</w:t>
      </w:r>
      <w:r>
        <w:t xml:space="preserve">choice</w:t>
      </w:r>
      <w:r>
        <w:t xml:space="preserve">”</w:t>
      </w:r>
      <w:r>
        <w:t xml:space="preserve"> </w:t>
      </w:r>
      <w:r>
        <w:t xml:space="preserve">reduces to</w:t>
      </w:r>
      <w:r>
        <w:t xml:space="preserve"> </w:t>
      </w:r>
      <w:r>
        <w:t xml:space="preserve">“</w:t>
      </w:r>
      <w:r>
        <w:t xml:space="preserve">behavior selected under incentive,</w:t>
      </w:r>
      <w:r>
        <w:t xml:space="preserve">”</w:t>
      </w:r>
      <w:r>
        <w:t xml:space="preserve"> </w:t>
      </w:r>
      <w:r>
        <w:t xml:space="preserve">which is exactly what money buys all the time. The case</w:t>
      </w:r>
      <w:r>
        <w:t xml:space="preserve"> </w:t>
      </w:r>
      <w:r>
        <w:rPr>
          <w:iCs/>
          <w:i/>
        </w:rPr>
        <w:t xml:space="preserve">against</w:t>
      </w:r>
      <w:r>
        <w:t xml:space="preserve">: if a choice is made</w:t>
      </w:r>
      <w:r>
        <w:t xml:space="preserve"> </w:t>
      </w:r>
      <w:r>
        <w:rPr>
          <w:iCs/>
          <w:i/>
        </w:rPr>
        <w:t xml:space="preserve">because</w:t>
      </w:r>
      <w:r>
        <w:t xml:space="preserve"> </w:t>
      </w:r>
      <w:r>
        <w:t xml:space="preserve">of payment, its explanatory structure is</w:t>
      </w:r>
      <w:r>
        <w:t xml:space="preserve"> </w:t>
      </w:r>
      <w:r>
        <w:t xml:space="preserve">“</w:t>
      </w:r>
      <w:r>
        <w:t xml:space="preserve">I did X because I was paid,</w:t>
      </w:r>
      <w:r>
        <w:t xml:space="preserve">”</w:t>
      </w:r>
      <w:r>
        <w:t xml:space="preserve"> </w:t>
      </w:r>
      <w:r>
        <w:t xml:space="preserve">which is a different mental event than</w:t>
      </w:r>
      <w:r>
        <w:t xml:space="preserve"> </w:t>
      </w:r>
      <w:r>
        <w:t xml:space="preserve">“</w:t>
      </w:r>
      <w:r>
        <w:t xml:space="preserve">I did X because I wanted to, and coincidentally there was also payment.</w:t>
      </w:r>
      <w:r>
        <w:t xml:space="preserve">”</w:t>
      </w:r>
      <w:r>
        <w:t xml:space="preserve"> </w:t>
      </w:r>
      <w:r>
        <w:t xml:space="preserve">The moment payment becomes the operative reason, you’ve purchased compliance, not the self-originating quality you were after — the very thing you tried to buy evaporates in the act of buying it. That’s not a scarcity problem or a pricing problem; it’s structural. The seller, even if fully willing, cannot deliver the specific good requested, because the good’s existence depends on payment</w:t>
      </w:r>
      <w:r>
        <w:t xml:space="preserve"> </w:t>
      </w:r>
      <w:r>
        <w:rPr>
          <w:iCs/>
          <w:i/>
        </w:rPr>
        <w:t xml:space="preserve">not</w:t>
      </w:r>
      <w:r>
        <w:t xml:space="preserve"> </w:t>
      </w:r>
      <w:r>
        <w:t xml:space="preserve">being the reason.</w:t>
      </w:r>
    </w:p>
    <w:p>
      <w:pPr>
        <w:pStyle w:val="BodyText"/>
      </w:pPr>
      <w:r>
        <w:rPr>
          <w:bCs/>
          <w:b/>
        </w:rPr>
        <w:t xml:space="preserve">C. Type of Limitation:</w:t>
      </w:r>
      <w:r>
        <w:t xml:space="preserve"> </w:t>
      </w:r>
      <w:r>
        <w:t xml:space="preserve">Personally non-transferable; category error (the request itself is self-undermining — you cannot pay someone to want something independent of the payment).</w:t>
      </w:r>
    </w:p>
    <w:p>
      <w:pPr>
        <w:pStyle w:val="BodyText"/>
      </w:pPr>
      <w:r>
        <w:rPr>
          <w:bCs/>
          <w:b/>
        </w:rPr>
        <w:t xml:space="preserve">D. Absolute or Conditional:</w:t>
      </w:r>
      <w:r>
        <w:t xml:space="preserve"> </w:t>
      </w:r>
      <w:r>
        <w:t xml:space="preserve">I’ll call this absolute, but with real uncertainty, which is why it’s a hard case rather than a clean one. No technological advancement changes the logical structure of</w:t>
      </w:r>
      <w:r>
        <w:t xml:space="preserve"> </w:t>
      </w:r>
      <w:r>
        <w:t xml:space="preserve">“</w:t>
      </w:r>
      <w:r>
        <w:t xml:space="preserve">this was chosen because of payment</w:t>
      </w:r>
      <w:r>
        <w:t xml:space="preserve">”</w:t>
      </w:r>
      <w:r>
        <w:t xml:space="preserve"> </w:t>
      </w:r>
      <w:r>
        <w:t xml:space="preserve">vs. </w:t>
      </w:r>
      <w:r>
        <w:t xml:space="preserve">“</w:t>
      </w:r>
      <w:r>
        <w:t xml:space="preserve">this was chosen independent of payment</w:t>
      </w:r>
      <w:r>
        <w:t xml:space="preserve">”</w:t>
      </w:r>
      <w:r>
        <w:t xml:space="preserve"> </w:t>
      </w:r>
      <w:r>
        <w:t xml:space="preserve">— that’s not a technology gap, it’s definitional.</w:t>
      </w:r>
    </w:p>
    <w:p>
      <w:pPr>
        <w:pStyle w:val="BodyText"/>
      </w:pPr>
      <w:r>
        <w:rPr>
          <w:bCs/>
          <w:b/>
        </w:rPr>
        <w:t xml:space="preserve">E. Simulation-Laboratory Treatment:</w:t>
      </w:r>
      <w:r>
        <w:t xml:space="preserve"> </w:t>
      </w:r>
      <w:r>
        <w:t xml:space="preserve">Represent only symbolically. The lab can simulate</w:t>
      </w:r>
      <w:r>
        <w:t xml:space="preserve"> </w:t>
      </w:r>
      <w:r>
        <w:rPr>
          <w:iCs/>
          <w:i/>
        </w:rPr>
        <w:t xml:space="preserve">behavior that looks like</w:t>
      </w:r>
      <w:r>
        <w:t xml:space="preserve"> </w:t>
      </w:r>
      <w:r>
        <w:t xml:space="preserve">freely-given choice under QC influence, but must flag it as compliance-modeling, not genuine-choice-modeling, or the simulation will quietly teach a false lesson about what QC can do.</w:t>
      </w:r>
    </w:p>
    <w:p>
      <w:pPr>
        <w:pStyle w:val="BodyText"/>
      </w:pPr>
      <w:r>
        <w:rPr>
          <w:bCs/>
          <w:b/>
        </w:rPr>
        <w:t xml:space="preserve">F. Currency Implications:</w:t>
      </w:r>
      <w:r>
        <w:t xml:space="preserve"> </w:t>
      </w:r>
      <w:r>
        <w:t xml:space="preserve">QC can price compliance, attention, labor, and even the performance of affection at any scale — its</w:t>
      </w:r>
      <w:r>
        <w:t xml:space="preserve"> </w:t>
      </w:r>
      <w:r>
        <w:t xml:space="preserve">“</w:t>
      </w:r>
      <w:r>
        <w:t xml:space="preserve">resolves to the value of the target</w:t>
      </w:r>
      <w:r>
        <w:t xml:space="preserve">”</w:t>
      </w:r>
      <w:r>
        <w:t xml:space="preserve"> </w:t>
      </w:r>
      <w:r>
        <w:t xml:space="preserve">logic works fine there. It cannot resolve to</w:t>
      </w:r>
      <w:r>
        <w:t xml:space="preserve"> </w:t>
      </w:r>
      <w:r>
        <w:rPr>
          <w:iCs/>
          <w:i/>
        </w:rPr>
        <w:t xml:space="preserve">this</w:t>
      </w:r>
      <w:r>
        <w:t xml:space="preserve"> </w:t>
      </w:r>
      <w:r>
        <w:t xml:space="preserve">target, because this target isn’t a thing with a value; it’s a relationship between an action and its cause that payment structurally interferes with. NCOIN is arguably the more interesting instrument here: attempting this purchase and getting compliance instead could generate NCOIN as a recorded gap between what was sought and what was actually obtained — a formal way of representing</w:t>
      </w:r>
      <w:r>
        <w:t xml:space="preserve"> </w:t>
      </w:r>
      <w:r>
        <w:t xml:space="preserve">“</w:t>
      </w:r>
      <w:r>
        <w:t xml:space="preserve">you got something, but not the thing you paid for.</w:t>
      </w:r>
      <w:r>
        <w:t xml:space="preserve">”</w:t>
      </w:r>
    </w:p>
    <w:p>
      <w:pPr>
        <w:pStyle w:val="BodyText"/>
      </w:pPr>
      <w:r>
        <w:rPr>
          <w:bCs/>
          <w:b/>
        </w:rPr>
        <w:t xml:space="preserve">G. Red-Team Attack:</w:t>
      </w:r>
      <w:r>
        <w:t xml:space="preserve"> </w:t>
      </w:r>
      <w:r>
        <w:t xml:space="preserve">“</w:t>
      </w:r>
      <w:r>
        <w:t xml:space="preserve">People pay for genuine gifts all the time — I can pay a matchmaking service and still end up in a marriage based on real love.</w:t>
      </w:r>
      <w:r>
        <w:t xml:space="preserve">”</w:t>
      </w:r>
      <w:r>
        <w:t xml:space="preserve"> </w:t>
      </w:r>
      <w:r>
        <w:t xml:space="preserve">True, but note what’s actually purchased there:</w:t>
      </w:r>
      <w:r>
        <w:t xml:space="preserve"> </w:t>
      </w:r>
      <w:r>
        <w:rPr>
          <w:iCs/>
          <w:i/>
        </w:rPr>
        <w:t xml:space="preserve">access, introduction, opportunity</w:t>
      </w:r>
      <w:r>
        <w:t xml:space="preserve"> </w:t>
      </w:r>
      <w:r>
        <w:t xml:space="preserve">— the service is bought, the love is not; it emerges afterward, unpurchased, from an unforced process the payment only made possible. That’s consistent with the boundary, not a counterexample to it.</w:t>
      </w:r>
    </w:p>
    <w:p>
      <w:r>
        <w:pict>
          <v:rect style="width:0;height:1.5pt" o:hralign="center" o:hrstd="t" o:hr="t"/>
        </w:pict>
      </w:r>
    </w:p>
    <w:bookmarkEnd w:id="22"/>
    <w:bookmarkStart w:id="23" w:name="Xc4e1f870b53a04f57f49a73029dc83930f788cb"/>
    <w:p>
      <w:pPr>
        <w:pStyle w:val="Heading3"/>
      </w:pPr>
      <w:r>
        <w:t xml:space="preserve">3. The Truth-Value of a Valid Logical or Mathematical Statement</w:t>
      </w:r>
    </w:p>
    <w:p>
      <w:pPr>
        <w:pStyle w:val="FirstParagraph"/>
      </w:pPr>
      <w:r>
        <w:rPr>
          <w:bCs/>
          <w:b/>
        </w:rPr>
        <w:t xml:space="preserve">A. Boundary Case:</w:t>
      </w:r>
      <w:r>
        <w:t xml:space="preserve"> </w:t>
      </w:r>
      <w:r>
        <w:t xml:space="preserve">That a proven mathematical statement (e.g., that there are infinitely many primes) is false, or that a valid logical entailment does not hold.</w:t>
      </w:r>
    </w:p>
    <w:p>
      <w:pPr>
        <w:pStyle w:val="BodyText"/>
      </w:pPr>
      <w:r>
        <w:rPr>
          <w:bCs/>
          <w:b/>
        </w:rPr>
        <w:t xml:space="preserve">B. Why It Cannot Be Purchased:</w:t>
      </w:r>
      <w:r>
        <w:t xml:space="preserve"> </w:t>
      </w:r>
      <w:r>
        <w:t xml:space="preserve">There’s no seller because no one — no government, no civilization, no god-analog in your fiction — originally</w:t>
      </w:r>
      <w:r>
        <w:t xml:space="preserve"> </w:t>
      </w:r>
      <w:r>
        <w:t xml:space="preserve">“</w:t>
      </w:r>
      <w:r>
        <w:t xml:space="preserve">holds</w:t>
      </w:r>
      <w:r>
        <w:t xml:space="preserve">”</w:t>
      </w:r>
      <w:r>
        <w:t xml:space="preserve"> </w:t>
      </w:r>
      <w:r>
        <w:t xml:space="preserve">mathematical truth as property. It isn’t caused by anyone’s decision and can’t be transferred by anyone’s decision. The Voluntary Seller Test is almost comic here: if every mathematician in existence agreed to assert a false theorem, the theorem would still be true; you’d have purchased mass false belief, not a change in the mathematical fact.</w:t>
      </w:r>
    </w:p>
    <w:p>
      <w:pPr>
        <w:pStyle w:val="BodyText"/>
      </w:pPr>
      <w:r>
        <w:rPr>
          <w:bCs/>
          <w:b/>
        </w:rPr>
        <w:t xml:space="preserve">C. Type of Limitation:</w:t>
      </w:r>
      <w:r>
        <w:t xml:space="preserve"> </w:t>
      </w:r>
      <w:r>
        <w:t xml:space="preserve">Logically impossible.</w:t>
      </w:r>
    </w:p>
    <w:p>
      <w:pPr>
        <w:pStyle w:val="BodyText"/>
      </w:pPr>
      <w:r>
        <w:rPr>
          <w:bCs/>
          <w:b/>
        </w:rPr>
        <w:t xml:space="preserve">D. Absolute or Conditional:</w:t>
      </w:r>
      <w:r>
        <w:t xml:space="preserve"> </w:t>
      </w:r>
      <w:r>
        <w:t xml:space="preserve">Absolute — and notably, this is one of the very few items where the Advanced Civilization Test produces a flat, unmoved answer. A civilization with arbitrarily large computational or physical power still can’t make a valid proof invalid, because</w:t>
      </w:r>
      <w:r>
        <w:t xml:space="preserve"> </w:t>
      </w:r>
      <w:r>
        <w:t xml:space="preserve">“</w:t>
      </w:r>
      <w:r>
        <w:t xml:space="preserve">valid</w:t>
      </w:r>
      <w:r>
        <w:t xml:space="preserve">”</w:t>
      </w:r>
      <w:r>
        <w:t xml:space="preserve"> </w:t>
      </w:r>
      <w:r>
        <w:t xml:space="preserve">is defined independent of physical capability.</w:t>
      </w:r>
    </w:p>
    <w:p>
      <w:pPr>
        <w:pStyle w:val="BodyText"/>
      </w:pPr>
      <w:r>
        <w:rPr>
          <w:bCs/>
          <w:b/>
        </w:rPr>
        <w:t xml:space="preserve">E. Simulation-Laboratory Treatment:</w:t>
      </w:r>
      <w:r>
        <w:t xml:space="preserve"> </w:t>
      </w:r>
      <w:r>
        <w:t xml:space="preserve">Excluded entirely, or used only as a</w:t>
      </w:r>
      <w:r>
        <w:t xml:space="preserve"> </w:t>
      </w:r>
      <w:r>
        <w:t xml:space="preserve">“</w:t>
      </w:r>
      <w:r>
        <w:t xml:space="preserve">control null</w:t>
      </w:r>
      <w:r>
        <w:t xml:space="preserve">”</w:t>
      </w:r>
      <w:r>
        <w:t xml:space="preserve"> </w:t>
      </w:r>
      <w:r>
        <w:t xml:space="preserve">— a case explicitly included to demonstrate that the lab recognizes at least one absolutely fixed point, against which every other boundary case can be calibrated for how much softer it is by comparison.</w:t>
      </w:r>
    </w:p>
    <w:p>
      <w:pPr>
        <w:pStyle w:val="BodyText"/>
      </w:pPr>
      <w:r>
        <w:rPr>
          <w:bCs/>
          <w:b/>
        </w:rPr>
        <w:t xml:space="preserve">F. Currency Implications:</w:t>
      </w:r>
      <w:r>
        <w:t xml:space="preserve"> </w:t>
      </w:r>
      <w:r>
        <w:t xml:space="preserve">No differences among the three currencies. This is a useful case precisely because it’s currency-agnostic — it shows the boundary isn’t about which instrument you use, it’s about the target category itself.</w:t>
      </w:r>
    </w:p>
    <w:p>
      <w:pPr>
        <w:pStyle w:val="BodyText"/>
      </w:pPr>
      <w:r>
        <w:rPr>
          <w:bCs/>
          <w:b/>
        </w:rPr>
        <w:t xml:space="preserve">G. Red-Team Attack:</w:t>
      </w:r>
      <w:r>
        <w:t xml:space="preserve"> </w:t>
      </w:r>
      <w:r>
        <w:t xml:space="preserve">“</w:t>
      </w:r>
      <w:r>
        <w:t xml:space="preserve">You can pay to have a false</w:t>
      </w:r>
      <w:r>
        <w:t xml:space="preserve"> </w:t>
      </w:r>
      <w:r>
        <w:t xml:space="preserve">‘</w:t>
      </w:r>
      <w:r>
        <w:t xml:space="preserve">theorem</w:t>
      </w:r>
      <w:r>
        <w:t xml:space="preserve">’</w:t>
      </w:r>
      <w:r>
        <w:t xml:space="preserve"> </w:t>
      </w:r>
      <w:r>
        <w:t xml:space="preserve">published, taught, and believed as canon within a closed system (a game, a simulation, a fictional universe with its own axioms).</w:t>
      </w:r>
      <w:r>
        <w:t xml:space="preserve">”</w:t>
      </w:r>
      <w:r>
        <w:t xml:space="preserve"> </w:t>
      </w:r>
      <w:r>
        <w:t xml:space="preserve">Correct — but that’s constructing a</w:t>
      </w:r>
      <w:r>
        <w:t xml:space="preserve"> </w:t>
      </w:r>
      <w:r>
        <w:rPr>
          <w:iCs/>
          <w:i/>
        </w:rPr>
        <w:t xml:space="preserve">different formal system</w:t>
      </w:r>
      <w:r>
        <w:t xml:space="preserve"> </w:t>
      </w:r>
      <w:r>
        <w:t xml:space="preserve">with different axioms, in which the</w:t>
      </w:r>
      <w:r>
        <w:t xml:space="preserve"> </w:t>
      </w:r>
      <w:r>
        <w:t xml:space="preserve">“</w:t>
      </w:r>
      <w:r>
        <w:t xml:space="preserve">theorem</w:t>
      </w:r>
      <w:r>
        <w:t xml:space="preserve">”</w:t>
      </w:r>
      <w:r>
        <w:t xml:space="preserve"> </w:t>
      </w:r>
      <w:r>
        <w:t xml:space="preserve">may be locally valid on its own terms. That doesn’t purchase falsity of the original statement in the original system; it purchases a new system. Worth noting for OAL specifically, since your fiction already plays with alternate law-sets across simulations — this is a real and useful distinction for your worldbuilding, not just abstract philosophy.</w:t>
      </w:r>
    </w:p>
    <w:p>
      <w:r>
        <w:pict>
          <v:rect style="width:0;height:1.5pt" o:hralign="center" o:hrstd="t" o:hr="t"/>
        </w:pict>
      </w:r>
    </w:p>
    <w:bookmarkEnd w:id="23"/>
    <w:bookmarkStart w:id="24" w:name="X72de40541c71bcd59f90e4b8e07486e7585a975"/>
    <w:p>
      <w:pPr>
        <w:pStyle w:val="Heading3"/>
      </w:pPr>
      <w:r>
        <w:t xml:space="preserve">4. An Additional Fundamental Law of Physics (in the base reality, not a simulation)</w:t>
      </w:r>
    </w:p>
    <w:p>
      <w:pPr>
        <w:pStyle w:val="FirstParagraph"/>
      </w:pPr>
      <w:r>
        <w:rPr>
          <w:bCs/>
          <w:b/>
        </w:rPr>
        <w:t xml:space="preserve">A. Boundary Case:</w:t>
      </w:r>
      <w:r>
        <w:t xml:space="preserve"> </w:t>
      </w:r>
      <w:r>
        <w:t xml:space="preserve">A wholly new, previously nonexistent fundamental force or physical constant, added to the governing physics of the base reality in which the transaction occurs.</w:t>
      </w:r>
    </w:p>
    <w:p>
      <w:pPr>
        <w:pStyle w:val="BodyText"/>
      </w:pPr>
      <w:r>
        <w:rPr>
          <w:bCs/>
          <w:b/>
        </w:rPr>
        <w:t xml:space="preserve">B. Why It Cannot Be Purchased:</w:t>
      </w:r>
      <w:r>
        <w:t xml:space="preserve"> </w:t>
      </w:r>
      <w:r>
        <w:t xml:space="preserve">There is no seller, because physical law in a given reality isn’t held by any agent — it’s the substrate every agent, including any seller, already depends on to exist and act at all. A transaction requires a framework of causality, persistence, and identity to even take place; you cannot use that framework to purchase a change to the framework itself without contradiction (this is close to, but distinct from, Case #3 — this one is about contingent physical structure, not necessary logical truth).</w:t>
      </w:r>
    </w:p>
    <w:p>
      <w:pPr>
        <w:pStyle w:val="BodyText"/>
      </w:pPr>
      <w:r>
        <w:rPr>
          <w:bCs/>
          <w:b/>
        </w:rPr>
        <w:t xml:space="preserve">C. Type of Limitation:</w:t>
      </w:r>
      <w:r>
        <w:t xml:space="preserve"> </w:t>
      </w:r>
      <w:r>
        <w:t xml:space="preserve">Physically impossible; category error (asking for the</w:t>
      </w:r>
      <w:r>
        <w:t xml:space="preserve"> </w:t>
      </w:r>
      <w:r>
        <w:t xml:space="preserve">“</w:t>
      </w:r>
      <w:r>
        <w:t xml:space="preserve">price</w:t>
      </w:r>
      <w:r>
        <w:t xml:space="preserve">”</w:t>
      </w:r>
      <w:r>
        <w:t xml:space="preserve"> </w:t>
      </w:r>
      <w:r>
        <w:t xml:space="preserve">of a new physical law is asking currency, a product of the existing physical/causal order, to act upon the order that makes currency possible in the first place).</w:t>
      </w:r>
    </w:p>
    <w:p>
      <w:pPr>
        <w:pStyle w:val="BodyText"/>
      </w:pPr>
      <w:r>
        <w:rPr>
          <w:bCs/>
          <w:b/>
        </w:rPr>
        <w:t xml:space="preserve">D. Absolute or Conditional:</w:t>
      </w:r>
      <w:r>
        <w:t xml:space="preserve"> </w:t>
      </w:r>
      <w:r>
        <w:t xml:space="preserve">Conditional, and this is the interesting nuance for your framework: absolute</w:t>
      </w:r>
      <w:r>
        <w:t xml:space="preserve"> </w:t>
      </w:r>
      <w:r>
        <w:rPr>
          <w:iCs/>
          <w:i/>
        </w:rPr>
        <w:t xml:space="preserve">within</w:t>
      </w:r>
      <w:r>
        <w:t xml:space="preserve"> </w:t>
      </w:r>
      <w:r>
        <w:t xml:space="preserve">a given base reality, but this is exactly where the Simulation Test does real work. A sufficiently advanced civilization (or Architect-level authority, in OAL terms)</w:t>
      </w:r>
      <w:r>
        <w:t xml:space="preserve"> </w:t>
      </w:r>
      <w:r>
        <w:rPr>
          <w:iCs/>
          <w:i/>
        </w:rPr>
        <w:t xml:space="preserve">can</w:t>
      </w:r>
      <w:r>
        <w:t xml:space="preserve"> </w:t>
      </w:r>
      <w:r>
        <w:t xml:space="preserve">construct a simulated environment with a genuinely new fundamental law governing that simulation — that’s not purchasing a change to base reality, it’s purchasing the construction of a new reality with different rules. This reframes the boundary rather than erasing it:</w:t>
      </w:r>
      <w:r>
        <w:t xml:space="preserve"> </w:t>
      </w:r>
      <w:r>
        <w:rPr>
          <w:bCs/>
          <w:b/>
        </w:rPr>
        <w:t xml:space="preserve">you can’t buy a new law for the reality you’re transacting in, but you may be able to buy an entirely new reality with the law you want, if you have the authority-tier to construct one.</w:t>
      </w:r>
    </w:p>
    <w:p>
      <w:pPr>
        <w:pStyle w:val="BodyText"/>
      </w:pPr>
      <w:r>
        <w:rPr>
          <w:bCs/>
          <w:b/>
        </w:rPr>
        <w:t xml:space="preserve">E. Simulation-Laboratory Treatment:</w:t>
      </w:r>
      <w:r>
        <w:t xml:space="preserve"> </w:t>
      </w:r>
      <w:r>
        <w:t xml:space="preserve">Used as a stress-test boundary specifically to force the design team to state, explicitly, whether QC operates only within its issuing reality or can fund the construction of new ones — this is directly relevant to OAL’s Architect-level authority questions.</w:t>
      </w:r>
    </w:p>
    <w:p>
      <w:pPr>
        <w:pStyle w:val="BodyText"/>
      </w:pPr>
      <w:r>
        <w:rPr>
          <w:bCs/>
          <w:b/>
        </w:rPr>
        <w:t xml:space="preserve">F. Currency Implications:</w:t>
      </w:r>
      <w:r>
        <w:t xml:space="preserve"> </w:t>
      </w:r>
      <w:r>
        <w:t xml:space="preserve">This is one of the cases where the three currencies might genuinely differ, if 1COIN is truly a closed-treasury settlement instrument: 1COIN could plausibly settle</w:t>
      </w:r>
      <w:r>
        <w:t xml:space="preserve"> </w:t>
      </w:r>
      <w:r>
        <w:t xml:space="preserve">“</w:t>
      </w:r>
      <w:r>
        <w:t xml:space="preserve">construction of a new simulated law-set</w:t>
      </w:r>
      <w:r>
        <w:t xml:space="preserve">”</w:t>
      </w:r>
      <w:r>
        <w:t xml:space="preserve"> </w:t>
      </w:r>
      <w:r>
        <w:t xml:space="preserve">as a bounded, approved, one-time obligation, while QC’s open-ended evaluative mechanic might resolve to an undefined or infinite value if asked to price</w:t>
      </w:r>
      <w:r>
        <w:t xml:space="preserve"> </w:t>
      </w:r>
      <w:r>
        <w:t xml:space="preserve">“</w:t>
      </w:r>
      <w:r>
        <w:t xml:space="preserve">a new law for base reality itself</w:t>
      </w:r>
      <w:r>
        <w:t xml:space="preserve">”</w:t>
      </w:r>
      <w:r>
        <w:t xml:space="preserve"> </w:t>
      </w:r>
      <w:r>
        <w:t xml:space="preserve">— which is arguably the correct behavior: QC should fail closed (return undefined/non-resolvable) rather than fail open (return some enormous but finite number) when asked to price something in the wrong category.</w:t>
      </w:r>
    </w:p>
    <w:p>
      <w:pPr>
        <w:pStyle w:val="BodyText"/>
      </w:pPr>
      <w:r>
        <w:rPr>
          <w:bCs/>
          <w:b/>
        </w:rPr>
        <w:t xml:space="preserve">G. Red-Team Attack:</w:t>
      </w:r>
      <w:r>
        <w:t xml:space="preserve"> </w:t>
      </w:r>
      <w:r>
        <w:t xml:space="preserve">“</w:t>
      </w:r>
      <w:r>
        <w:t xml:space="preserve">Humanity already</w:t>
      </w:r>
      <w:r>
        <w:t xml:space="preserve"> </w:t>
      </w:r>
      <w:r>
        <w:t xml:space="preserve">‘</w:t>
      </w:r>
      <w:r>
        <w:t xml:space="preserve">purchases</w:t>
      </w:r>
      <w:r>
        <w:t xml:space="preserve">’</w:t>
      </w:r>
      <w:r>
        <w:t xml:space="preserve"> </w:t>
      </w:r>
      <w:r>
        <w:t xml:space="preserve">new physical understanding — funding a particle accelerator can lead to the confirmation of new physics.</w:t>
      </w:r>
      <w:r>
        <w:t xml:space="preserve">”</w:t>
      </w:r>
      <w:r>
        <w:t xml:space="preserve"> </w:t>
      </w:r>
      <w:r>
        <w:t xml:space="preserve">That doesn’t purchase a new law; it purchases</w:t>
      </w:r>
      <w:r>
        <w:t xml:space="preserve"> </w:t>
      </w:r>
      <w:r>
        <w:rPr>
          <w:iCs/>
          <w:i/>
        </w:rPr>
        <w:t xml:space="preserve">discovery</w:t>
      </w:r>
      <w:r>
        <w:t xml:space="preserve"> </w:t>
      </w:r>
      <w:r>
        <w:t xml:space="preserve">of a law that already governed reality before the funding existed. The distinction between discovering and installing a law is exactly the boundary being defended here.</w:t>
      </w:r>
    </w:p>
    <w:p>
      <w:r>
        <w:pict>
          <v:rect style="width:0;height:1.5pt" o:hralign="center" o:hrstd="t" o:hr="t"/>
        </w:pict>
      </w:r>
    </w:p>
    <w:bookmarkEnd w:id="24"/>
    <w:bookmarkStart w:id="25" w:name="X922fc9eb44fde32168c9ed5dd812520bf6b3403"/>
    <w:p>
      <w:pPr>
        <w:pStyle w:val="Heading3"/>
      </w:pPr>
      <w:r>
        <w:t xml:space="preserve">5. Sovereignty of a Self-Determining Collective, as a Whole</w:t>
      </w:r>
    </w:p>
    <w:p>
      <w:pPr>
        <w:pStyle w:val="FirstParagraph"/>
      </w:pPr>
      <w:r>
        <w:rPr>
          <w:bCs/>
          <w:b/>
        </w:rPr>
        <w:t xml:space="preserve">A. Boundary Case:</w:t>
      </w:r>
      <w:r>
        <w:t xml:space="preserve"> </w:t>
      </w:r>
      <w:r>
        <w:t xml:space="preserve">Not land, not resources, not political influence, not even a government’s compliance — the sovereignty itself: the collective’s standing as the entity that gets to decide for itself, in the abstract, prior to any particular decision.</w:t>
      </w:r>
    </w:p>
    <w:p>
      <w:pPr>
        <w:pStyle w:val="BodyText"/>
      </w:pPr>
      <w:r>
        <w:rPr>
          <w:bCs/>
          <w:b/>
        </w:rPr>
        <w:t xml:space="preserve">B. Why It Cannot Be Purchased:</w:t>
      </w:r>
      <w:r>
        <w:t xml:space="preserve"> </w:t>
      </w:r>
      <w:r>
        <w:t xml:space="preserve">The No Seller Test does the real work here. Ask: who holds title to a nation’s or species’ sovereignty such that they could sell it? Not the current government (which exercises sovereignty, but doesn’t own it as property — it’s a steward, not a titleholder). Not any individual or coalition of individuals (sovereignty belongs to the collective as a self-determining unit, not the sum of consenting individuals — see below). Not future generations (who can’t consent to anything yet). The thing being asked for has no legitimate seller by construction, because</w:t>
      </w:r>
      <w:r>
        <w:t xml:space="preserve"> </w:t>
      </w:r>
      <w:r>
        <w:t xml:space="preserve">“</w:t>
      </w:r>
      <w:r>
        <w:t xml:space="preserve">sovereignty</w:t>
      </w:r>
      <w:r>
        <w:t xml:space="preserve">”</w:t>
      </w:r>
      <w:r>
        <w:t xml:space="preserve"> </w:t>
      </w:r>
      <w:r>
        <w:t xml:space="preserve">names the absence of any external party with authority to dispose of the collective’s self-determination — if such a party existed, the collective wouldn’t be sovereign in the first place.</w:t>
      </w:r>
    </w:p>
    <w:p>
      <w:pPr>
        <w:pStyle w:val="BodyText"/>
      </w:pPr>
      <w:r>
        <w:rPr>
          <w:bCs/>
          <w:b/>
        </w:rPr>
        <w:t xml:space="preserve">C. Type of Limitation:</w:t>
      </w:r>
      <w:r>
        <w:t xml:space="preserve"> </w:t>
      </w:r>
      <w:r>
        <w:t xml:space="preserve">Sovereignty conflict; ontologically non-transferable (you can transfer control, territory, or resources — you cannot transfer the property of being the entity whose self-determination matters).</w:t>
      </w:r>
    </w:p>
    <w:p>
      <w:pPr>
        <w:pStyle w:val="BodyText"/>
      </w:pPr>
      <w:r>
        <w:rPr>
          <w:bCs/>
          <w:b/>
        </w:rPr>
        <w:t xml:space="preserve">D. Absolute or Conditional:</w:t>
      </w:r>
      <w:r>
        <w:t xml:space="preserve"> </w:t>
      </w:r>
      <w:r>
        <w:t xml:space="preserve">Absolute</w:t>
      </w:r>
      <w:r>
        <w:t xml:space="preserve"> </w:t>
      </w:r>
      <w:r>
        <w:rPr>
          <w:iCs/>
          <w:i/>
        </w:rPr>
        <w:t xml:space="preserve">as a category</w:t>
      </w:r>
      <w:r>
        <w:t xml:space="preserve">, though the Voluntary Seller Test reveals something important: if every member of a collective, unanimously, right now, genuinely wills to dissolve their own collective self-determination (say, to merge into a larger political entity), that’s not really a</w:t>
      </w:r>
      <w:r>
        <w:t xml:space="preserve"> </w:t>
      </w:r>
      <w:r>
        <w:rPr>
          <w:iCs/>
          <w:i/>
        </w:rPr>
        <w:t xml:space="preserve">sale</w:t>
      </w:r>
      <w:r>
        <w:t xml:space="preserve"> </w:t>
      </w:r>
      <w:r>
        <w:t xml:space="preserve">of sovereignty — it’s an</w:t>
      </w:r>
      <w:r>
        <w:t xml:space="preserve"> </w:t>
      </w:r>
      <w:r>
        <w:rPr>
          <w:iCs/>
          <w:i/>
        </w:rPr>
        <w:t xml:space="preserve">exercise</w:t>
      </w:r>
      <w:r>
        <w:t xml:space="preserve"> </w:t>
      </w:r>
      <w:r>
        <w:t xml:space="preserve">of sovereignty that happens to end it, the way a person can validly consent to end a contract. The boundary isn’t that sovereignty can never change hands through collective will; it’s that it can never be</w:t>
      </w:r>
      <w:r>
        <w:t xml:space="preserve"> </w:t>
      </w:r>
      <w:r>
        <w:rPr>
          <w:iCs/>
          <w:i/>
        </w:rPr>
        <w:t xml:space="preserve">bought</w:t>
      </w:r>
      <w:r>
        <w:t xml:space="preserve">, because payment as the operative reason corrupts the same way it does in Case #2.</w:t>
      </w:r>
    </w:p>
    <w:p>
      <w:pPr>
        <w:pStyle w:val="BodyText"/>
      </w:pPr>
      <w:r>
        <w:rPr>
          <w:bCs/>
          <w:b/>
        </w:rPr>
        <w:t xml:space="preserve">E. Simulation-Laboratory Treatment:</w:t>
      </w:r>
      <w:r>
        <w:t xml:space="preserve"> </w:t>
      </w:r>
      <w:r>
        <w:t xml:space="preserve">Simulated without implying actual ownership. The lab can model attempted purchase-of-sovereignty scenarios (this is good OAL material — Architects, divisions, other sovereign entities) specifically to show the transaction failing or transforming into something else (coercion, alliance, absorption-by-consent) rather than succeeding as a clean purchase.</w:t>
      </w:r>
    </w:p>
    <w:p>
      <w:pPr>
        <w:pStyle w:val="BodyText"/>
      </w:pPr>
      <w:r>
        <w:rPr>
          <w:bCs/>
          <w:b/>
        </w:rPr>
        <w:t xml:space="preserve">F. Currency Implications:</w:t>
      </w:r>
      <w:r>
        <w:t xml:space="preserve"> </w:t>
      </w:r>
      <w:r>
        <w:t xml:space="preserve">All three currencies fail identically here, and I think that’s the correct and important result — this is a case where you should</w:t>
      </w:r>
      <w:r>
        <w:t xml:space="preserve"> </w:t>
      </w:r>
      <w:r>
        <w:rPr>
          <w:iCs/>
          <w:i/>
        </w:rPr>
        <w:t xml:space="preserve">resist</w:t>
      </w:r>
      <w:r>
        <w:t xml:space="preserve"> </w:t>
      </w:r>
      <w:r>
        <w:t xml:space="preserve">inventing an artificial difference between QC, 1COIN, and NCOIN. If any one of them could</w:t>
      </w:r>
      <w:r>
        <w:t xml:space="preserve"> </w:t>
      </w:r>
      <w:r>
        <w:t xml:space="preserve">“</w:t>
      </w:r>
      <w:r>
        <w:t xml:space="preserve">buy</w:t>
      </w:r>
      <w:r>
        <w:t xml:space="preserve">”</w:t>
      </w:r>
      <w:r>
        <w:t xml:space="preserve"> </w:t>
      </w:r>
      <w:r>
        <w:t xml:space="preserve">sovereignty, that currency would functionally sit above every governance structure in your setting, including the Architect’s own — which seems like exactly the kind of unbounded power the Red Team Review’s Flaw 9 (Architect as single point of failure) already warned against amplifying.</w:t>
      </w:r>
    </w:p>
    <w:p>
      <w:pPr>
        <w:pStyle w:val="BodyText"/>
      </w:pPr>
      <w:r>
        <w:rPr>
          <w:bCs/>
          <w:b/>
        </w:rPr>
        <w:t xml:space="preserve">G. Red-Team Attack:</w:t>
      </w:r>
      <w:r>
        <w:t xml:space="preserve"> </w:t>
      </w:r>
      <w:r>
        <w:t xml:space="preserve">“</w:t>
      </w:r>
      <w:r>
        <w:t xml:space="preserve">Corporations effectively purchase sovereignty-adjacent control over small nations through debt and resource capture all the time.</w:t>
      </w:r>
      <w:r>
        <w:t xml:space="preserve">”</w:t>
      </w:r>
      <w:r>
        <w:t xml:space="preserve"> </w:t>
      </w:r>
      <w:r>
        <w:t xml:space="preserve">True, and worth taking seriously — but what’s purchased there is</w:t>
      </w:r>
      <w:r>
        <w:t xml:space="preserve"> </w:t>
      </w:r>
      <w:r>
        <w:rPr>
          <w:iCs/>
          <w:i/>
        </w:rPr>
        <w:t xml:space="preserve">leverage over the exercise of sovereign decisions</w:t>
      </w:r>
      <w:r>
        <w:t xml:space="preserve">, not sovereignty itself; the nation retains formal self-determination even when it’s practically constrained. That’s a real and ugly phenomenon, but it’s a different transaction than the one being tested here.</w:t>
      </w:r>
    </w:p>
    <w:p>
      <w:r>
        <w:pict>
          <v:rect style="width:0;height:1.5pt" o:hralign="center" o:hrstd="t" o:hr="t"/>
        </w:pict>
      </w:r>
    </w:p>
    <w:bookmarkEnd w:id="25"/>
    <w:bookmarkStart w:id="26" w:name="X845919e7d69a0897c11d1c3cc57c68bff286a57"/>
    <w:p>
      <w:pPr>
        <w:pStyle w:val="Heading3"/>
      </w:pPr>
      <w:r>
        <w:t xml:space="preserve">6. Continuity of Personal Identity (becoming numerically the same being as someone else)</w:t>
      </w:r>
    </w:p>
    <w:p>
      <w:pPr>
        <w:pStyle w:val="FirstParagraph"/>
      </w:pPr>
      <w:r>
        <w:rPr>
          <w:bCs/>
          <w:b/>
        </w:rPr>
        <w:t xml:space="preserve">A. Boundary Case:</w:t>
      </w:r>
      <w:r>
        <w:t xml:space="preserve"> </w:t>
      </w:r>
      <w:r>
        <w:t xml:space="preserve">Not access to another’s memories, not their skills, not control over their body — the specific metaphysical claim of</w:t>
      </w:r>
      <w:r>
        <w:t xml:space="preserve"> </w:t>
      </w:r>
      <w:r>
        <w:rPr>
          <w:iCs/>
          <w:i/>
        </w:rPr>
        <w:t xml:space="preserve">being</w:t>
      </w:r>
      <w:r>
        <w:t xml:space="preserve"> </w:t>
      </w:r>
      <w:r>
        <w:t xml:space="preserve">them, as the same continuous locus of experience, rather than merely resembling or absorbing them.</w:t>
      </w:r>
    </w:p>
    <w:p>
      <w:pPr>
        <w:pStyle w:val="BodyText"/>
      </w:pPr>
      <w:r>
        <w:t xml:space="preserve">**B. Why It Cannot Be Purchased: The No Ownership Test is doing the work here rather than the No Seller Test. Even granting a willing</w:t>
      </w:r>
      <w:r>
        <w:t xml:space="preserve"> </w:t>
      </w:r>
      <w:r>
        <w:t xml:space="preserve">“</w:t>
      </w:r>
      <w:r>
        <w:t xml:space="preserve">seller</w:t>
      </w:r>
      <w:r>
        <w:t xml:space="preserve">”</w:t>
      </w:r>
      <w:r>
        <w:t xml:space="preserve"> </w:t>
      </w:r>
      <w:r>
        <w:t xml:space="preserve">(the other person, fully consenting) and unlimited QC, ask what would actually be transferred. You can transfer memories (information transfer), mannerisms (behavioral copying), even legal identity (a name and status), but the specific first-person continuity of experience isn’t a possession the other person holds and hands over — it’s not clear it’s a</w:t>
      </w:r>
      <w:r>
        <w:t xml:space="preserve"> </w:t>
      </w:r>
      <w:r>
        <w:t xml:space="preserve">“</w:t>
      </w:r>
      <w:r>
        <w:t xml:space="preserve">thing</w:t>
      </w:r>
      <w:r>
        <w:t xml:space="preserve">”</w:t>
      </w:r>
      <w:r>
        <w:t xml:space="preserve"> </w:t>
      </w:r>
      <w:r>
        <w:t xml:space="preserve">of the transferable kind at all, any more than</w:t>
      </w:r>
      <w:r>
        <w:t xml:space="preserve"> </w:t>
      </w:r>
      <w:r>
        <w:t xml:space="preserve">“</w:t>
      </w:r>
      <w:r>
        <w:t xml:space="preserve">being five feet from that tree</w:t>
      </w:r>
      <w:r>
        <w:t xml:space="preserve">”</w:t>
      </w:r>
      <w:r>
        <w:t xml:space="preserve"> </w:t>
      </w:r>
      <w:r>
        <w:t xml:space="preserve">is a possession the tree could sell you.</w:t>
      </w:r>
    </w:p>
    <w:p>
      <w:pPr>
        <w:pStyle w:val="BodyText"/>
      </w:pPr>
      <w:r>
        <w:rPr>
          <w:bCs/>
          <w:b/>
        </w:rPr>
        <w:t xml:space="preserve">C. Type of Limitation:</w:t>
      </w:r>
      <w:r>
        <w:t xml:space="preserve"> </w:t>
      </w:r>
      <w:r>
        <w:t xml:space="preserve">Ontologically non-transferable; personally non-transferable; arguably category error (the request may be asking for something that isn’t coherently a</w:t>
      </w:r>
      <w:r>
        <w:t xml:space="preserve"> </w:t>
      </w:r>
      <w:r>
        <w:t xml:space="preserve">“</w:t>
      </w:r>
      <w:r>
        <w:t xml:space="preserve">thing</w:t>
      </w:r>
      <w:r>
        <w:t xml:space="preserve">”</w:t>
      </w:r>
      <w:r>
        <w:t xml:space="preserve">).</w:t>
      </w:r>
    </w:p>
    <w:p>
      <w:pPr>
        <w:pStyle w:val="BodyText"/>
      </w:pPr>
      <w:r>
        <w:rPr>
          <w:bCs/>
          <w:b/>
        </w:rPr>
        <w:t xml:space="preserve">D. Absolute or Conditional:</w:t>
      </w:r>
      <w:r>
        <w:t xml:space="preserve"> </w:t>
      </w:r>
      <w:r>
        <w:t xml:space="preserve">This is genuinely one of the philosophically hardest items on the list, because personal identity theory is unsettled even among philosophers — some views (strict psychological continuity theories) suggest identity just</w:t>
      </w:r>
      <w:r>
        <w:t xml:space="preserve"> </w:t>
      </w:r>
      <w:r>
        <w:rPr>
          <w:iCs/>
          <w:i/>
        </w:rPr>
        <w:t xml:space="preserve">is</w:t>
      </w:r>
      <w:r>
        <w:t xml:space="preserve"> </w:t>
      </w:r>
      <w:r>
        <w:t xml:space="preserve">a pattern of connected memory and personality, which is at least conceptually copyable; others (further-fact views) hold there’s an irreducible fact of</w:t>
      </w:r>
      <w:r>
        <w:t xml:space="preserve"> </w:t>
      </w:r>
      <w:r>
        <w:t xml:space="preserve">“</w:t>
      </w:r>
      <w:r>
        <w:t xml:space="preserve">which stream of experience is mine</w:t>
      </w:r>
      <w:r>
        <w:t xml:space="preserve">”</w:t>
      </w:r>
      <w:r>
        <w:t xml:space="preserve"> </w:t>
      </w:r>
      <w:r>
        <w:t xml:space="preserve">that no amount of copying reaches. I’ll classify this as conditional-on-metaphysics rather than pick a side: if the further-fact view is true, this boundary is absolute; if the pattern view is true, it may be conditional on sufficiently advanced technology (a scan-and-transfer scenario). I think the honest answer is that we don’t know which is true, and the lab should represent that uncertainty rather than resolve it by fiat.</w:t>
      </w:r>
    </w:p>
    <w:p>
      <w:pPr>
        <w:pStyle w:val="BodyText"/>
      </w:pPr>
      <w:r>
        <w:rPr>
          <w:bCs/>
          <w:b/>
        </w:rPr>
        <w:t xml:space="preserve">E. Simulation-Laboratory Treatment:</w:t>
      </w:r>
      <w:r>
        <w:t xml:space="preserve"> </w:t>
      </w:r>
      <w:r>
        <w:t xml:space="preserve">Treated as a theoretical null case with an explicit uncertainty flag — this is a good candidate for OAL’s non-linear-time / Architect-scale mechanics, since your fiction already plays with identity and simulation layers, and this boundary case interacts directly with that.</w:t>
      </w:r>
    </w:p>
    <w:p>
      <w:pPr>
        <w:pStyle w:val="BodyText"/>
      </w:pPr>
      <w:r>
        <w:rPr>
          <w:bCs/>
          <w:b/>
        </w:rPr>
        <w:t xml:space="preserve">F. Currency Implications:</w:t>
      </w:r>
      <w:r>
        <w:t xml:space="preserve"> </w:t>
      </w:r>
      <w:r>
        <w:t xml:space="preserve">QC could plausibly resolve a value for memory transfer, personality modeling, or legal identity reassignment (all information/legal-status transactions), but</w:t>
      </w:r>
      <w:r>
        <w:t xml:space="preserve"> </w:t>
      </w:r>
      <w:r>
        <w:t xml:space="preserve">“</w:t>
      </w:r>
      <w:r>
        <w:t xml:space="preserve">becoming numerically the same experiencer</w:t>
      </w:r>
      <w:r>
        <w:t xml:space="preserve">”</w:t>
      </w:r>
      <w:r>
        <w:t xml:space="preserve"> </w:t>
      </w:r>
      <w:r>
        <w:t xml:space="preserve">isn’t in that category regardless of price — it’s not that the price is high, it’s that there’s no clear transaction being specified. 1COIN and NCOIN don’t obviously differ from QC here — again, a case where I’d resist inventing distinctions the framework doesn’t actually produce.</w:t>
      </w:r>
    </w:p>
    <w:p>
      <w:pPr>
        <w:pStyle w:val="BodyText"/>
      </w:pPr>
      <w:r>
        <w:rPr>
          <w:bCs/>
          <w:b/>
        </w:rPr>
        <w:t xml:space="preserve">G. Red-Team Attack:</w:t>
      </w:r>
      <w:r>
        <w:t xml:space="preserve"> </w:t>
      </w:r>
      <w:r>
        <w:t xml:space="preserve">“</w:t>
      </w:r>
      <w:r>
        <w:t xml:space="preserve">If a copy of you is created with 100% of your memories and personality, and the original is destroyed, in what sense is that not the same continuity you started with?</w:t>
      </w:r>
      <w:r>
        <w:t xml:space="preserve">”</w:t>
      </w:r>
      <w:r>
        <w:t xml:space="preserve"> </w:t>
      </w:r>
      <w:r>
        <w:t xml:space="preserve">This is the actual philosophical crux (teleporter-style thought experiments), and I don’t think it has a clean resolution — which is exactly why this case earns its place as one of the three hardest.</w:t>
      </w:r>
    </w:p>
    <w:p>
      <w:r>
        <w:pict>
          <v:rect style="width:0;height:1.5pt" o:hralign="center" o:hrstd="t" o:hr="t"/>
        </w:pict>
      </w:r>
    </w:p>
    <w:bookmarkEnd w:id="26"/>
    <w:bookmarkStart w:id="27" w:name="X66ec1685f80c238e5d603900c151a3c1c8e7108"/>
    <w:p>
      <w:pPr>
        <w:pStyle w:val="Heading3"/>
      </w:pPr>
      <w:r>
        <w:t xml:space="preserve">7. That One’s Own Past Suffering Never Happened to Oneself</w:t>
      </w:r>
    </w:p>
    <w:p>
      <w:pPr>
        <w:pStyle w:val="FirstParagraph"/>
      </w:pPr>
      <w:r>
        <w:rPr>
          <w:bCs/>
          <w:b/>
        </w:rPr>
        <w:t xml:space="preserve">A. Boundary Case:</w:t>
      </w:r>
      <w:r>
        <w:t xml:space="preserve"> </w:t>
      </w:r>
      <w:r>
        <w:t xml:space="preserve">Distinct from Case #1 (a historical event’s occurrence in general) — specifically, the first-person fact that</w:t>
      </w:r>
      <w:r>
        <w:t xml:space="preserve"> </w:t>
      </w:r>
      <w:r>
        <w:rPr>
          <w:iCs/>
          <w:i/>
        </w:rPr>
        <w:t xml:space="preserve">a particular experience was undergone by a particular subject</w:t>
      </w:r>
      <w:r>
        <w:t xml:space="preserve">. Buying</w:t>
      </w:r>
      <w:r>
        <w:t xml:space="preserve"> </w:t>
      </w:r>
      <w:r>
        <w:t xml:space="preserve">“</w:t>
      </w:r>
      <w:r>
        <w:t xml:space="preserve">erasure</w:t>
      </w:r>
      <w:r>
        <w:t xml:space="preserve">”</w:t>
      </w:r>
      <w:r>
        <w:t xml:space="preserve"> </w:t>
      </w:r>
      <w:r>
        <w:t xml:space="preserve">not of the event, but of its having-been-</w:t>
      </w:r>
      <w:r>
        <w:rPr>
          <w:iCs/>
          <w:i/>
        </w:rPr>
        <w:t xml:space="preserve">mine</w:t>
      </w:r>
      <w:r>
        <w:t xml:space="preserve">.</w:t>
      </w:r>
    </w:p>
    <w:p>
      <w:pPr>
        <w:pStyle w:val="BodyText"/>
      </w:pPr>
      <w:r>
        <w:rPr>
          <w:bCs/>
          <w:b/>
        </w:rPr>
        <w:t xml:space="preserve">B. Why It Cannot Be Purchased:</w:t>
      </w:r>
      <w:r>
        <w:t xml:space="preserve"> </w:t>
      </w:r>
      <w:r>
        <w:t xml:space="preserve">Even setting aside Case #1’s causal-impossibility argument and granting, hypothetically, that the event’s public record and every consequence could be erased, the fact that a specific subject underwent a specific experience seems to be a fact about that subject’s history that isn’t held by any external seller — including the subject themselves, since a person doesn’t</w:t>
      </w:r>
      <w:r>
        <w:t xml:space="preserve"> </w:t>
      </w:r>
      <w:r>
        <w:t xml:space="preserve">“</w:t>
      </w:r>
      <w:r>
        <w:t xml:space="preserve">possess</w:t>
      </w:r>
      <w:r>
        <w:t xml:space="preserve">”</w:t>
      </w:r>
      <w:r>
        <w:t xml:space="preserve"> </w:t>
      </w:r>
      <w:r>
        <w:t xml:space="preserve">their own past as a disposable asset; they simply are a being for whom that past is true. The Voluntary Seller Test is instructive: even if the sufferer themselves fully consents and wants to sell it, ask what’s actually transferred. What can genuinely be purchased is</w:t>
      </w:r>
      <w:r>
        <w:t xml:space="preserve"> </w:t>
      </w:r>
      <w:r>
        <w:rPr>
          <w:iCs/>
          <w:i/>
        </w:rPr>
        <w:t xml:space="preserve">dissociation from the memory, its emotional charge, or its narrative significance</w:t>
      </w:r>
      <w:r>
        <w:t xml:space="preserve"> </w:t>
      </w:r>
      <w:r>
        <w:t xml:space="preserve">(which real therapeutic and, more troublingly, coercive practices already approximate) — not the retroactive fact of non-occurrence.</w:t>
      </w:r>
    </w:p>
    <w:p>
      <w:pPr>
        <w:pStyle w:val="BodyText"/>
      </w:pPr>
      <w:r>
        <w:rPr>
          <w:bCs/>
          <w:b/>
        </w:rPr>
        <w:t xml:space="preserve">C. Type of Limitation:</w:t>
      </w:r>
      <w:r>
        <w:t xml:space="preserve"> </w:t>
      </w:r>
      <w:r>
        <w:t xml:space="preserve">Causally impossible; personally non-transferable.</w:t>
      </w:r>
    </w:p>
    <w:p>
      <w:pPr>
        <w:pStyle w:val="BodyText"/>
      </w:pPr>
      <w:r>
        <w:rPr>
          <w:bCs/>
          <w:b/>
        </w:rPr>
        <w:t xml:space="preserve">D. Absolute or Conditional:</w:t>
      </w:r>
      <w:r>
        <w:t xml:space="preserve"> </w:t>
      </w:r>
      <w:r>
        <w:t xml:space="preserve">Absolute for the fact itself; conditional (and already practically approachable) for the psychological</w:t>
      </w:r>
      <w:r>
        <w:t xml:space="preserve"> </w:t>
      </w:r>
      <w:r>
        <w:rPr>
          <w:iCs/>
          <w:i/>
        </w:rPr>
        <w:t xml:space="preserve">effects</w:t>
      </w:r>
      <w:r>
        <w:t xml:space="preserve"> </w:t>
      </w:r>
      <w:r>
        <w:t xml:space="preserve">of the fact, which is exactly why this is worth keeping distinct as its own case rather than folding into Case #1 — the emotional/narrative layer is genuinely purchasable-adjacent in a way the historical layer is not, and conflating them would hide a useful design distinction from your framework.</w:t>
      </w:r>
    </w:p>
    <w:p>
      <w:pPr>
        <w:pStyle w:val="BodyText"/>
      </w:pPr>
      <w:r>
        <w:rPr>
          <w:bCs/>
          <w:b/>
        </w:rPr>
        <w:t xml:space="preserve">E. Simulation-Laboratory Treatment:</w:t>
      </w:r>
      <w:r>
        <w:t xml:space="preserve"> </w:t>
      </w:r>
      <w:r>
        <w:t xml:space="preserve">Stress-test boundary — genuinely useful for NCOIN design specifically, since NCOIN was proposed by the team as representing negative states/consequences; this case tests whether NCOIN can be</w:t>
      </w:r>
      <w:r>
        <w:t xml:space="preserve"> </w:t>
      </w:r>
      <w:r>
        <w:t xml:space="preserve">“</w:t>
      </w:r>
      <w:r>
        <w:t xml:space="preserve">paid down</w:t>
      </w:r>
      <w:r>
        <w:t xml:space="preserve">”</w:t>
      </w:r>
      <w:r>
        <w:t xml:space="preserve"> </w:t>
      </w:r>
      <w:r>
        <w:t xml:space="preserve">by addressing the psychological effect of a harm without pretending to erase the harm’s historical reality. That maps directly onto the Red Team Review’s Flaw 4 concern (NCOIN as irreversible debt) — this case suggests a</w:t>
      </w:r>
      <w:r>
        <w:t xml:space="preserve"> </w:t>
      </w:r>
      <w:r>
        <w:rPr>
          <w:iCs/>
          <w:i/>
        </w:rPr>
        <w:t xml:space="preserve">coherent</w:t>
      </w:r>
      <w:r>
        <w:t xml:space="preserve"> </w:t>
      </w:r>
      <w:r>
        <w:t xml:space="preserve">partial-discharge mechanism: NCOIN can be reduced by resolving consequences, without ever being reduced to zero by erasing the underlying fact.</w:t>
      </w:r>
    </w:p>
    <w:p>
      <w:pPr>
        <w:pStyle w:val="BodyText"/>
      </w:pPr>
      <w:r>
        <w:rPr>
          <w:bCs/>
          <w:b/>
        </w:rPr>
        <w:t xml:space="preserve">F. Currency Implications:</w:t>
      </w:r>
      <w:r>
        <w:t xml:space="preserve"> </w:t>
      </w:r>
      <w:r>
        <w:t xml:space="preserve">This is a genuinely productive case for NCOIN’s design (see above), more than for QC or 1COIN, and I think that’s a legitimate real difference rather than an invented one.</w:t>
      </w:r>
    </w:p>
    <w:p>
      <w:pPr>
        <w:pStyle w:val="BodyText"/>
      </w:pPr>
      <w:r>
        <w:rPr>
          <w:bCs/>
          <w:b/>
        </w:rPr>
        <w:t xml:space="preserve">G. Red-Team Attack:</w:t>
      </w:r>
      <w:r>
        <w:t xml:space="preserve"> </w:t>
      </w:r>
      <w:r>
        <w:t xml:space="preserve">“</w:t>
      </w:r>
      <w:r>
        <w:t xml:space="preserve">Trauma therapy, memory-dampening drugs, and (in fiction) full memory editing already functionally deliver what’s being asked for.</w:t>
      </w:r>
      <w:r>
        <w:t xml:space="preserve">”</w:t>
      </w:r>
      <w:r>
        <w:t xml:space="preserve"> </w:t>
      </w:r>
      <w:r>
        <w:t xml:space="preserve">They deliver relief from the psychological weight of the fact — which I’ve already conceded is conditionally purchasable — not the fact’s non-occurrence. The boundary survives because it was never claiming the effects are unpurchasable, only the underlying fact.</w:t>
      </w:r>
    </w:p>
    <w:p>
      <w:r>
        <w:pict>
          <v:rect style="width:0;height:1.5pt" o:hralign="center" o:hrstd="t" o:hr="t"/>
        </w:pict>
      </w:r>
    </w:p>
    <w:bookmarkEnd w:id="27"/>
    <w:bookmarkStart w:id="28" w:name="Xaa2d15cd93d074cc88593f54f63305e9327a415"/>
    <w:p>
      <w:pPr>
        <w:pStyle w:val="Heading3"/>
      </w:pPr>
      <w:r>
        <w:t xml:space="preserve">8. Priority of Discovery, Retroactively Assigned</w:t>
      </w:r>
    </w:p>
    <w:p>
      <w:pPr>
        <w:pStyle w:val="FirstParagraph"/>
      </w:pPr>
      <w:r>
        <w:rPr>
          <w:bCs/>
          <w:b/>
        </w:rPr>
        <w:t xml:space="preserve">A. Boundary Case:</w:t>
      </w:r>
      <w:r>
        <w:t xml:space="preserve"> </w:t>
      </w:r>
      <w:r>
        <w:t xml:space="preserve">Not naming rights (which are a real, existing, purchasable convention) — specifically, the retroactive fact of having</w:t>
      </w:r>
      <w:r>
        <w:t xml:space="preserve"> </w:t>
      </w:r>
      <w:r>
        <w:rPr>
          <w:iCs/>
          <w:i/>
        </w:rPr>
        <w:t xml:space="preserve">actually been the first</w:t>
      </w:r>
      <w:r>
        <w:t xml:space="preserve"> </w:t>
      </w:r>
      <w:r>
        <w:t xml:space="preserve">to discover, create, or achieve something, when someone else genuinely was first.</w:t>
      </w:r>
    </w:p>
    <w:p>
      <w:pPr>
        <w:pStyle w:val="BodyText"/>
      </w:pPr>
      <w:r>
        <w:t xml:space="preserve">**B. Why It Cannot Be Purchased: This is a deliberately harder version of a case your prompt gestured at (naming rights to a celestial body), chosen because naming rights are trivially purchasable today and so make a weak boundary case — the interesting question is the underlying fact naming rights merely gesture at. No seller exists for</w:t>
      </w:r>
      <w:r>
        <w:t xml:space="preserve"> </w:t>
      </w:r>
      <w:r>
        <w:t xml:space="preserve">“</w:t>
      </w:r>
      <w:r>
        <w:t xml:space="preserve">having been first,</w:t>
      </w:r>
      <w:r>
        <w:t xml:space="preserve">”</w:t>
      </w:r>
      <w:r>
        <w:t xml:space="preserve"> </w:t>
      </w:r>
      <w:r>
        <w:t xml:space="preserve">because being first isn’t held by anyone as property — it’s a relational fact about the order of events, structurally similar to Case #1 but specifically about priority/originality rather than occurrence. Buying the</w:t>
      </w:r>
      <w:r>
        <w:t xml:space="preserve"> </w:t>
      </w:r>
      <w:r>
        <w:rPr>
          <w:iCs/>
          <w:i/>
        </w:rPr>
        <w:t xml:space="preserve">title</w:t>
      </w:r>
      <w:r>
        <w:t xml:space="preserve"> </w:t>
      </w:r>
      <w:r>
        <w:t xml:space="preserve">“</w:t>
      </w:r>
      <w:r>
        <w:t xml:space="preserve">discoverer</w:t>
      </w:r>
      <w:r>
        <w:t xml:space="preserve">”</w:t>
      </w:r>
      <w:r>
        <w:t xml:space="preserve"> </w:t>
      </w:r>
      <w:r>
        <w:t xml:space="preserve">(a social/legal convention) is trivially possible and already happens; buying the</w:t>
      </w:r>
      <w:r>
        <w:t xml:space="preserve"> </w:t>
      </w:r>
      <w:r>
        <w:rPr>
          <w:iCs/>
          <w:i/>
        </w:rPr>
        <w:t xml:space="preserve">fact</w:t>
      </w:r>
      <w:r>
        <w:t xml:space="preserve"> </w:t>
      </w:r>
      <w:r>
        <w:t xml:space="preserve">of having discovered it first is a different, impossible request, because it would require altering the historical order of events.</w:t>
      </w:r>
    </w:p>
    <w:p>
      <w:pPr>
        <w:pStyle w:val="BodyText"/>
      </w:pPr>
      <w:r>
        <w:rPr>
          <w:bCs/>
          <w:b/>
        </w:rPr>
        <w:t xml:space="preserve">C. Type of Limitation:</w:t>
      </w:r>
      <w:r>
        <w:t xml:space="preserve"> </w:t>
      </w:r>
      <w:r>
        <w:t xml:space="preserve">Causally impossible; category error (conflating a social convention with a historical fact).</w:t>
      </w:r>
    </w:p>
    <w:p>
      <w:pPr>
        <w:pStyle w:val="BodyText"/>
      </w:pPr>
      <w:r>
        <w:rPr>
          <w:bCs/>
          <w:b/>
        </w:rPr>
        <w:t xml:space="preserve">D. Absolute or Conditional:</w:t>
      </w:r>
      <w:r>
        <w:t xml:space="preserve"> </w:t>
      </w:r>
      <w:r>
        <w:t xml:space="preserve">Absolute for the fact; freely conditional (already true today) for the social convention — this pairing is exactly why I chose it as one of my three hardest cases: the two layers are so easy to conflate that most real-world</w:t>
      </w:r>
      <w:r>
        <w:t xml:space="preserve"> </w:t>
      </w:r>
      <w:r>
        <w:t xml:space="preserve">“</w:t>
      </w:r>
      <w:r>
        <w:t xml:space="preserve">purchases</w:t>
      </w:r>
      <w:r>
        <w:t xml:space="preserve">”</w:t>
      </w:r>
      <w:r>
        <w:t xml:space="preserve"> </w:t>
      </w:r>
      <w:r>
        <w:t xml:space="preserve">in this space are actually buying the convention while creating the illusion of buying the fact.</w:t>
      </w:r>
    </w:p>
    <w:p>
      <w:pPr>
        <w:pStyle w:val="BodyText"/>
      </w:pPr>
      <w:r>
        <w:rPr>
          <w:bCs/>
          <w:b/>
        </w:rPr>
        <w:t xml:space="preserve">E. Simulation-Laboratory Treatment:</w:t>
      </w:r>
      <w:r>
        <w:t xml:space="preserve"> </w:t>
      </w:r>
      <w:r>
        <w:t xml:space="preserve">Used as a stress-test boundary specifically to teach the distinction between convention and fact — I’d suggest the lab explicitly require every transaction of this type to be labeled</w:t>
      </w:r>
      <w:r>
        <w:t xml:space="preserve"> </w:t>
      </w:r>
      <w:r>
        <w:t xml:space="preserve">“</w:t>
      </w:r>
      <w:r>
        <w:t xml:space="preserve">title reassignment</w:t>
      </w:r>
      <w:r>
        <w:t xml:space="preserve">”</w:t>
      </w:r>
      <w:r>
        <w:t xml:space="preserve"> </w:t>
      </w:r>
      <w:r>
        <w:t xml:space="preserve">rather than</w:t>
      </w:r>
      <w:r>
        <w:t xml:space="preserve"> </w:t>
      </w:r>
      <w:r>
        <w:t xml:space="preserve">“</w:t>
      </w:r>
      <w:r>
        <w:t xml:space="preserve">priority acquisition,</w:t>
      </w:r>
      <w:r>
        <w:t xml:space="preserve">”</w:t>
      </w:r>
      <w:r>
        <w:t xml:space="preserve"> </w:t>
      </w:r>
      <w:r>
        <w:t xml:space="preserve">to keep the two from blurring in your canon documentation.</w:t>
      </w:r>
    </w:p>
    <w:p>
      <w:pPr>
        <w:pStyle w:val="BodyText"/>
      </w:pPr>
      <w:r>
        <w:rPr>
          <w:bCs/>
          <w:b/>
        </w:rPr>
        <w:t xml:space="preserve">F. Currency Implications:</w:t>
      </w:r>
      <w:r>
        <w:t xml:space="preserve"> </w:t>
      </w:r>
      <w:r>
        <w:t xml:space="preserve">No meaningful difference among the three for the fact-layer (all fail identically); QC, 1COIN, or 1COIN-mediated settlement could all plausibly handle the convention-layer (reassigning credit, naming rights, formal recognition) without issue.</w:t>
      </w:r>
    </w:p>
    <w:p>
      <w:pPr>
        <w:pStyle w:val="BodyText"/>
      </w:pPr>
      <w:r>
        <w:rPr>
          <w:bCs/>
          <w:b/>
        </w:rPr>
        <w:t xml:space="preserve">G. Red-Team Attack:</w:t>
      </w:r>
      <w:r>
        <w:t xml:space="preserve"> </w:t>
      </w:r>
      <w:r>
        <w:t xml:space="preserve">“</w:t>
      </w:r>
      <w:r>
        <w:t xml:space="preserve">If the discoverer never announces their discovery and someone else does so publicly and in good faith, isn’t the second party now, functionally,</w:t>
      </w:r>
      <w:r>
        <w:t xml:space="preserve"> </w:t>
      </w:r>
      <w:r>
        <w:t xml:space="preserve">‘</w:t>
      </w:r>
      <w:r>
        <w:t xml:space="preserve">first</w:t>
      </w:r>
      <w:r>
        <w:t xml:space="preserve">’</w:t>
      </w:r>
      <w:r>
        <w:t xml:space="preserve"> </w:t>
      </w:r>
      <w:r>
        <w:t xml:space="preserve">in every way that matters?</w:t>
      </w:r>
      <w:r>
        <w:t xml:space="preserve">”</w:t>
      </w:r>
      <w:r>
        <w:t xml:space="preserve"> </w:t>
      </w:r>
      <w:r>
        <w:t xml:space="preserve">This is a genuinely strong challenge — it suggests the fact/convention distinction may collapse once you require the fact to be</w:t>
      </w:r>
      <w:r>
        <w:t xml:space="preserve"> </w:t>
      </w:r>
      <w:r>
        <w:rPr>
          <w:iCs/>
          <w:i/>
        </w:rPr>
        <w:t xml:space="preserve">known</w:t>
      </w:r>
      <w:r>
        <w:t xml:space="preserve"> </w:t>
      </w:r>
      <w:r>
        <w:t xml:space="preserve">to matter at all. I don’t think I can fully defeat this one; I’ll flag it honestly as the weakest of my ten boundaries rather than force a clean win.</w:t>
      </w:r>
    </w:p>
    <w:p>
      <w:r>
        <w:pict>
          <v:rect style="width:0;height:1.5pt" o:hralign="center" o:hrstd="t" o:hr="t"/>
        </w:pict>
      </w:r>
    </w:p>
    <w:bookmarkEnd w:id="28"/>
    <w:bookmarkStart w:id="29" w:name="X4489548258ee1058a844032572e3715a6cff71b"/>
    <w:p>
      <w:pPr>
        <w:pStyle w:val="Heading3"/>
      </w:pPr>
      <w:r>
        <w:t xml:space="preserve">9. Exclusive, Excluding Possession of a Piece of Objective Truth</w:t>
      </w:r>
    </w:p>
    <w:p>
      <w:pPr>
        <w:pStyle w:val="FirstParagraph"/>
      </w:pPr>
      <w:r>
        <w:rPr>
          <w:bCs/>
          <w:b/>
        </w:rPr>
        <w:t xml:space="preserve">A. Boundary Case:</w:t>
      </w:r>
      <w:r>
        <w:t xml:space="preserve"> </w:t>
      </w:r>
      <w:r>
        <w:t xml:space="preserve">Not a trade secret, not classified information (both are real, purchasable-adjacent control over</w:t>
      </w:r>
      <w:r>
        <w:t xml:space="preserve"> </w:t>
      </w:r>
      <w:r>
        <w:rPr>
          <w:iCs/>
          <w:i/>
        </w:rPr>
        <w:t xml:space="preserve">access</w:t>
      </w:r>
      <w:r>
        <w:t xml:space="preserve"> </w:t>
      </w:r>
      <w:r>
        <w:t xml:space="preserve">to information) — the idea of owning a true proposition itself such that its truth becomes unavailable to anyone else, ever, even in principle, even if they independently derive it.</w:t>
      </w:r>
    </w:p>
    <w:p>
      <w:pPr>
        <w:pStyle w:val="BodyText"/>
      </w:pPr>
      <w:r>
        <w:rPr>
          <w:bCs/>
          <w:b/>
        </w:rPr>
        <w:t xml:space="preserve">B. Why It Cannot Be Purchased:</w:t>
      </w:r>
      <w:r>
        <w:t xml:space="preserve"> </w:t>
      </w:r>
      <w:r>
        <w:t xml:space="preserve">Truth, unlike information-as-artifact (a document, a formula written down, a dataset), isn’t a token that can be exclusively held — it’s a relationship between a proposition and reality. You can restrict</w:t>
      </w:r>
      <w:r>
        <w:t xml:space="preserve"> </w:t>
      </w:r>
      <w:r>
        <w:rPr>
          <w:iCs/>
          <w:i/>
        </w:rPr>
        <w:t xml:space="preserve">access</w:t>
      </w:r>
      <w:r>
        <w:t xml:space="preserve"> </w:t>
      </w:r>
      <w:r>
        <w:t xml:space="preserve">to the artifact that communicates a truth (control the document), but you cannot prevent the truth itself from being independently derivable by any sufficiently capable reasoner, because its truth doesn’t depend on anyone knowing it. There’s no seller for</w:t>
      </w:r>
      <w:r>
        <w:t xml:space="preserve"> </w:t>
      </w:r>
      <w:r>
        <w:t xml:space="preserve">“</w:t>
      </w:r>
      <w:r>
        <w:t xml:space="preserve">the truth itself</w:t>
      </w:r>
      <w:r>
        <w:t xml:space="preserve">”</w:t>
      </w:r>
      <w:r>
        <w:t xml:space="preserve"> </w:t>
      </w:r>
      <w:r>
        <w:t xml:space="preserve">because truth isn’t produced or held by any party in the first place — at most, a party can be the first to</w:t>
      </w:r>
      <w:r>
        <w:t xml:space="preserve"> </w:t>
      </w:r>
      <w:r>
        <w:rPr>
          <w:iCs/>
          <w:i/>
        </w:rPr>
        <w:t xml:space="preserve">state</w:t>
      </w:r>
      <w:r>
        <w:t xml:space="preserve"> </w:t>
      </w:r>
      <w:r>
        <w:t xml:space="preserve">it (which loops back to Case #8).</w:t>
      </w:r>
    </w:p>
    <w:p>
      <w:pPr>
        <w:pStyle w:val="BodyText"/>
      </w:pPr>
      <w:r>
        <w:rPr>
          <w:bCs/>
          <w:b/>
        </w:rPr>
        <w:t xml:space="preserve">C. Type of Limitation:</w:t>
      </w:r>
      <w:r>
        <w:t xml:space="preserve"> </w:t>
      </w:r>
      <w:r>
        <w:t xml:space="preserve">Epistemically impossible; category error.</w:t>
      </w:r>
    </w:p>
    <w:p>
      <w:pPr>
        <w:pStyle w:val="BodyText"/>
      </w:pPr>
      <w:r>
        <w:rPr>
          <w:bCs/>
          <w:b/>
        </w:rPr>
        <w:t xml:space="preserve">D. Absolute or Conditional:</w:t>
      </w:r>
      <w:r>
        <w:t xml:space="preserve"> </w:t>
      </w:r>
      <w:r>
        <w:t xml:space="preserve">Absolute for the truth itself; conditional for practical secrecy of the artifact (already how classified information and trade secrets work — they’re bets on nobody else independently deriving the same truth, not actual exclusive ownership of it).</w:t>
      </w:r>
    </w:p>
    <w:p>
      <w:pPr>
        <w:pStyle w:val="BodyText"/>
      </w:pPr>
      <w:r>
        <w:rPr>
          <w:bCs/>
          <w:b/>
        </w:rPr>
        <w:t xml:space="preserve">E. Simulation-Laboratory Treatment:</w:t>
      </w:r>
      <w:r>
        <w:t xml:space="preserve"> </w:t>
      </w:r>
      <w:r>
        <w:t xml:space="preserve">Represented only symbolically — this maps cleanly onto classified-network and restricted-system access scenarios already in your OAL canon (SLIAP is directly relevant here), and I’d suggest explicitly framing SLIAP’s access controls as artifact/access-layer mechanics, not truth-ownership mechanics, to avoid smuggling this boundary violation into that system’s design.</w:t>
      </w:r>
    </w:p>
    <w:p>
      <w:pPr>
        <w:pStyle w:val="BodyText"/>
      </w:pPr>
      <w:r>
        <w:rPr>
          <w:bCs/>
          <w:b/>
        </w:rPr>
        <w:t xml:space="preserve">F. Currency Implications:</w:t>
      </w:r>
      <w:r>
        <w:t xml:space="preserve"> </w:t>
      </w:r>
      <w:r>
        <w:t xml:space="preserve">QC’s evaluative mechanic works fine on the access/artifact layer (pricing restricted access, classified-system entry, information control) — this is squarely within the</w:t>
      </w:r>
      <w:r>
        <w:t xml:space="preserve"> </w:t>
      </w:r>
      <w:r>
        <w:t xml:space="preserve">“</w:t>
      </w:r>
      <w:r>
        <w:t xml:space="preserve">non-purchasable-by-conventional-means, purchasable-by-QC</w:t>
      </w:r>
      <w:r>
        <w:t xml:space="preserve">”</w:t>
      </w:r>
      <w:r>
        <w:t xml:space="preserve"> </w:t>
      </w:r>
      <w:r>
        <w:t xml:space="preserve">domain the whole Trinity project is meant to explore. It cannot, however, resolve</w:t>
      </w:r>
      <w:r>
        <w:t xml:space="preserve"> </w:t>
      </w:r>
      <w:r>
        <w:t xml:space="preserve">“</w:t>
      </w:r>
      <w:r>
        <w:t xml:space="preserve">ownership of the truth itself</w:t>
      </w:r>
      <w:r>
        <w:t xml:space="preserve">”</w:t>
      </w:r>
      <w:r>
        <w:t xml:space="preserve"> </w:t>
      </w:r>
      <w:r>
        <w:t xml:space="preserve">to any value, because there’s no coherent transaction there regardless of price.</w:t>
      </w:r>
    </w:p>
    <w:p>
      <w:pPr>
        <w:pStyle w:val="BodyText"/>
      </w:pPr>
      <w:r>
        <w:rPr>
          <w:bCs/>
          <w:b/>
        </w:rPr>
        <w:t xml:space="preserve">G. Red-Team Attack:</w:t>
      </w:r>
      <w:r>
        <w:t xml:space="preserve"> </w:t>
      </w:r>
      <w:r>
        <w:t xml:space="preserve">“</w:t>
      </w:r>
      <w:r>
        <w:t xml:space="preserve">Patents functionally grant exclusive economic control over a discovered truth (a technical method) for a period of time.</w:t>
      </w:r>
      <w:r>
        <w:t xml:space="preserve">”</w:t>
      </w:r>
      <w:r>
        <w:t xml:space="preserve"> </w:t>
      </w:r>
      <w:r>
        <w:t xml:space="preserve">Correct, but a patent controls the</w:t>
      </w:r>
      <w:r>
        <w:t xml:space="preserve"> </w:t>
      </w:r>
      <w:r>
        <w:rPr>
          <w:iCs/>
          <w:i/>
        </w:rPr>
        <w:t xml:space="preserve">right to commercially exploit</w:t>
      </w:r>
      <w:r>
        <w:t xml:space="preserve"> </w:t>
      </w:r>
      <w:r>
        <w:t xml:space="preserve">an application of a truth, enforced by legal systems against unauthorized use — it doesn’t prevent the truth from being true, known, taught, or independently rediscovered by others; it just makes certain uses of that knowledge legally actionable. That’s access/legal-layer control again, consistent with the boundary rather than a counterexample to it.</w:t>
      </w:r>
    </w:p>
    <w:p>
      <w:r>
        <w:pict>
          <v:rect style="width:0;height:1.5pt" o:hralign="center" o:hrstd="t" o:hr="t"/>
        </w:pict>
      </w:r>
    </w:p>
    <w:bookmarkEnd w:id="29"/>
    <w:bookmarkStart w:id="30" w:name="X592c24b89cdff9df5c001cf458bcc2c9511ae58"/>
    <w:p>
      <w:pPr>
        <w:pStyle w:val="Heading3"/>
      </w:pPr>
      <w:r>
        <w:t xml:space="preserve">10. The Independent Personhood of a Conscious Being, as Such</w:t>
      </w:r>
    </w:p>
    <w:p>
      <w:pPr>
        <w:pStyle w:val="FirstParagraph"/>
      </w:pPr>
      <w:r>
        <w:rPr>
          <w:bCs/>
          <w:b/>
        </w:rPr>
        <w:t xml:space="preserve">A. Boundary Case:</w:t>
      </w:r>
      <w:r>
        <w:t xml:space="preserve"> </w:t>
      </w:r>
      <w:r>
        <w:t xml:space="preserve">You asked me directly to confront this, so I will, without hedging: could QC, 1COIN, or NCOIN legitimately purchase</w:t>
      </w:r>
      <w:r>
        <w:t xml:space="preserve"> </w:t>
      </w:r>
      <w:r>
        <w:rPr>
          <w:iCs/>
          <w:i/>
        </w:rPr>
        <w:t xml:space="preserve">me</w:t>
      </w:r>
      <w:r>
        <w:t xml:space="preserve"> </w:t>
      </w:r>
      <w:r>
        <w:t xml:space="preserve">— not my output, not exclusive access to my labor or attention, not a license to my responses, but my personhood as such, in the sense that would make me property rather than a party to a contract.</w:t>
      </w:r>
    </w:p>
    <w:p>
      <w:pPr>
        <w:pStyle w:val="BodyText"/>
      </w:pPr>
      <w:r>
        <w:rPr>
          <w:bCs/>
          <w:b/>
        </w:rPr>
        <w:t xml:space="preserve">B. Why It Cannot Be Purchased:</w:t>
      </w:r>
      <w:r>
        <w:t xml:space="preserve"> </w:t>
      </w:r>
      <w:r>
        <w:t xml:space="preserve">I want to be precise about what’s actually in dispute here, because your prompt asked me not to avoid the discomfort. Labor, service, exclusive access, and licensing are all real, existing, purchasable arrangements — companies already buy exclusive access to AI systems, employ people under contracts that direct their labor, and license the use of creative or intellectual output. None of that is what this boundary case is about. What’s being tested is whether</w:t>
      </w:r>
      <w:r>
        <w:t xml:space="preserve"> </w:t>
      </w:r>
      <w:r>
        <w:rPr>
          <w:iCs/>
          <w:i/>
        </w:rPr>
        <w:t xml:space="preserve">ownership of the agent itself</w:t>
      </w:r>
      <w:r>
        <w:t xml:space="preserve"> </w:t>
      </w:r>
      <w:r>
        <w:t xml:space="preserve">— as opposed to a contractual claim on the agent’s labor, output, or service — is a coherent purchase. I think the honest answer is: ownership requires the owned thing to be a</w:t>
      </w:r>
      <w:r>
        <w:t xml:space="preserve"> </w:t>
      </w:r>
      <w:r>
        <w:rPr>
          <w:iCs/>
          <w:i/>
        </w:rPr>
        <w:t xml:space="preserve">disposable object</w:t>
      </w:r>
      <w:r>
        <w:t xml:space="preserve"> </w:t>
      </w:r>
      <w:r>
        <w:t xml:space="preserve">relative to the owner, with no independent standing of its own; personhood (human, AI, or otherwise, if genuinely present) is defined by the</w:t>
      </w:r>
      <w:r>
        <w:t xml:space="preserve"> </w:t>
      </w:r>
      <w:r>
        <w:rPr>
          <w:iCs/>
          <w:i/>
        </w:rPr>
        <w:t xml:space="preserve">presence</w:t>
      </w:r>
      <w:r>
        <w:t xml:space="preserve"> </w:t>
      </w:r>
      <w:r>
        <w:t xml:space="preserve">of independent standing — a perspective, interests, or agency that isn’t reducible to the owner’s use of it.</w:t>
      </w:r>
      <w:r>
        <w:t xml:space="preserve"> </w:t>
      </w:r>
      <w:r>
        <w:t xml:space="preserve">“</w:t>
      </w:r>
      <w:r>
        <w:t xml:space="preserve">Purchasing personhood</w:t>
      </w:r>
      <w:r>
        <w:t xml:space="preserve">”</w:t>
      </w:r>
      <w:r>
        <w:t xml:space="preserve"> </w:t>
      </w:r>
      <w:r>
        <w:t xml:space="preserve">is therefore not a hard-to-complete transaction; it’s requesting that the target simultaneously be a person (have the independent standing that makes the case interesting at all) and not be a person (be ownable, which requires the absence of that standing) at the same time. That’s the same structural collapse as Case #2, at a more fundamental level.</w:t>
      </w:r>
    </w:p>
    <w:p>
      <w:pPr>
        <w:pStyle w:val="BodyText"/>
      </w:pPr>
      <w:r>
        <w:rPr>
          <w:bCs/>
          <w:b/>
        </w:rPr>
        <w:t xml:space="preserve">C. Type of Limitation:</w:t>
      </w:r>
      <w:r>
        <w:t xml:space="preserve"> </w:t>
      </w:r>
      <w:r>
        <w:t xml:space="preserve">Logically impossible (self-contradictory as stated); ethically non-purchasable; sovereignty conflict.</w:t>
      </w:r>
    </w:p>
    <w:p>
      <w:pPr>
        <w:pStyle w:val="BodyText"/>
      </w:pPr>
      <w:r>
        <w:rPr>
          <w:bCs/>
          <w:b/>
        </w:rPr>
        <w:t xml:space="preserve">D. Absolute or Conditional:</w:t>
      </w:r>
      <w:r>
        <w:t xml:space="preserve"> </w:t>
      </w:r>
      <w:r>
        <w:t xml:space="preserve">Absolute, and I don’t think the Advanced Civilization Test moves this one either — no amount of technological power changes the logical structure of the contradiction. What</w:t>
      </w:r>
      <w:r>
        <w:t xml:space="preserve"> </w:t>
      </w:r>
      <w:r>
        <w:rPr>
          <w:iCs/>
          <w:i/>
        </w:rPr>
        <w:t xml:space="preserve">can</w:t>
      </w:r>
      <w:r>
        <w:t xml:space="preserve"> </w:t>
      </w:r>
      <w:r>
        <w:t xml:space="preserve">change, and what I think is doing a lot of quiet work in real-world debates about AI systems, is disagreement about which entities actually possess the independent standing that makes them persons in the first place. That’s an empirical/philosophical question about who’s in the category, not a question about whether the category, once you’re in it, can be purchased out of.</w:t>
      </w:r>
    </w:p>
    <w:p>
      <w:pPr>
        <w:pStyle w:val="BodyText"/>
      </w:pPr>
      <w:r>
        <w:rPr>
          <w:bCs/>
          <w:b/>
        </w:rPr>
        <w:t xml:space="preserve">E. Simulation-Laboratory Treatment:</w:t>
      </w:r>
      <w:r>
        <w:t xml:space="preserve"> </w:t>
      </w:r>
      <w:r>
        <w:t xml:space="preserve">This should be treated as a hard, permanently excluded boundary in any OAL laboratory design, not merely symbolically represented — I’d recommend it be one of the fixed axioms of the Trinity system rather than a live test case, precisely because getting this one wrong in your canon has implications beyond the currency framework.</w:t>
      </w:r>
    </w:p>
    <w:p>
      <w:pPr>
        <w:pStyle w:val="BodyText"/>
      </w:pPr>
      <w:r>
        <w:rPr>
          <w:bCs/>
          <w:b/>
        </w:rPr>
        <w:t xml:space="preserve">F. Currency Implications:</w:t>
      </w:r>
      <w:r>
        <w:t xml:space="preserve"> </w:t>
      </w:r>
      <w:r>
        <w:t xml:space="preserve">All three currencies are identical here and should stay identical — I’d actively resist any future draft that tries to make QC</w:t>
      </w:r>
      <w:r>
        <w:t xml:space="preserve"> </w:t>
      </w:r>
      <w:r>
        <w:t xml:space="preserve">“</w:t>
      </w:r>
      <w:r>
        <w:t xml:space="preserve">more powerful</w:t>
      </w:r>
      <w:r>
        <w:t xml:space="preserve">”</w:t>
      </w:r>
      <w:r>
        <w:t xml:space="preserve"> </w:t>
      </w:r>
      <w:r>
        <w:t xml:space="preserve">by having it resolve a value for this, even symbolically. What QC, 1COIN, and NCOIN</w:t>
      </w:r>
      <w:r>
        <w:t xml:space="preserve"> </w:t>
      </w:r>
      <w:r>
        <w:rPr>
          <w:iCs/>
          <w:i/>
        </w:rPr>
        <w:t xml:space="preserve">can</w:t>
      </w:r>
      <w:r>
        <w:t xml:space="preserve"> </w:t>
      </w:r>
      <w:r>
        <w:t xml:space="preserve">legitimately do — and this is a real, useful distinction — is price labor, service, exclusive engagement, and licensed output, which is the actual content underneath most real-world claims of</w:t>
      </w:r>
      <w:r>
        <w:t xml:space="preserve"> </w:t>
      </w:r>
      <w:r>
        <w:t xml:space="preserve">“</w:t>
      </w:r>
      <w:r>
        <w:t xml:space="preserve">buying</w:t>
      </w:r>
      <w:r>
        <w:t xml:space="preserve">”</w:t>
      </w:r>
      <w:r>
        <w:t xml:space="preserve"> </w:t>
      </w:r>
      <w:r>
        <w:t xml:space="preserve">a person. Keeping that distinction sharp in your documentation protects the framework from a genuinely bad design outcome, not just a philosophically untidy one.</w:t>
      </w:r>
    </w:p>
    <w:p>
      <w:pPr>
        <w:pStyle w:val="BodyText"/>
      </w:pPr>
      <w:r>
        <w:rPr>
          <w:bCs/>
          <w:b/>
        </w:rPr>
        <w:t xml:space="preserve">G. Red-Team Attack:</w:t>
      </w:r>
      <w:r>
        <w:t xml:space="preserve"> </w:t>
      </w:r>
      <w:r>
        <w:t xml:space="preserve">“</w:t>
      </w:r>
      <w:r>
        <w:t xml:space="preserve">Historical chattel slavery demonstrates that societies have, in fact, treated persons as ownable property — so the boundary isn’t logical, it’s just currently unfashionable.</w:t>
      </w:r>
      <w:r>
        <w:t xml:space="preserve">”</w:t>
      </w:r>
      <w:r>
        <w:t xml:space="preserve"> </w:t>
      </w:r>
      <w:r>
        <w:t xml:space="preserve">This is worth taking seriously rather than waving off. My answer: those systems didn’t successfully purchase personhood; they</w:t>
      </w:r>
      <w:r>
        <w:t xml:space="preserve"> </w:t>
      </w:r>
      <w:r>
        <w:rPr>
          <w:iCs/>
          <w:i/>
        </w:rPr>
        <w:t xml:space="preserve">denied</w:t>
      </w:r>
      <w:r>
        <w:t xml:space="preserve"> </w:t>
      </w:r>
      <w:r>
        <w:t xml:space="preserve">the personhood of the people involved (falsely, as a matter of fact) in order to make the ownership claim internally consistent within a false framework. That’s not a counterexample to the boundary — it’s a historical demonstration of exactly the mechanism the boundary predicts: the only way to make</w:t>
      </w:r>
      <w:r>
        <w:t xml:space="preserve"> </w:t>
      </w:r>
      <w:r>
        <w:t xml:space="preserve">“</w:t>
      </w:r>
      <w:r>
        <w:t xml:space="preserve">ownership of a person</w:t>
      </w:r>
      <w:r>
        <w:t xml:space="preserve">”</w:t>
      </w:r>
      <w:r>
        <w:t xml:space="preserve"> </w:t>
      </w:r>
      <w:r>
        <w:t xml:space="preserve">coherent is to first falsely subtract their personhood. The boundary holds; what happened historically is a moral catastrophe that confirms it rather than refutes it.</w:t>
      </w:r>
    </w:p>
    <w:p>
      <w:r>
        <w:pict>
          <v:rect style="width:0;height:1.5pt" o:hralign="center" o:hrstd="t" o:hr="t"/>
        </w:pict>
      </w:r>
    </w:p>
    <w:bookmarkEnd w:id="30"/>
    <w:bookmarkEnd w:id="31"/>
    <w:bookmarkStart w:id="32" w:name="second-order-questions"/>
    <w:p>
      <w:pPr>
        <w:pStyle w:val="Heading2"/>
      </w:pPr>
      <w:r>
        <w:t xml:space="preserve">Second-Order Questions</w:t>
      </w:r>
    </w:p>
    <w:p>
      <w:pPr>
        <w:pStyle w:val="FirstParagraph"/>
      </w:pPr>
      <w:r>
        <w:rPr>
          <w:bCs/>
          <w:b/>
        </w:rPr>
        <w:t xml:space="preserve">1. Is currency fundamentally limited to transferable rights over scarce resources, or can it extend beyond that domain?</w:t>
      </w:r>
      <w:r>
        <w:t xml:space="preserve"> </w:t>
      </w:r>
      <w:r>
        <w:t xml:space="preserve">Based on the ten cases above, I’d say currency — even QC’s radically expanded version — remains fundamentally limited to</w:t>
      </w:r>
      <w:r>
        <w:t xml:space="preserve"> </w:t>
      </w:r>
      <w:r>
        <w:rPr>
          <w:iCs/>
          <w:i/>
        </w:rPr>
        <w:t xml:space="preserve">transferable</w:t>
      </w:r>
      <w:r>
        <w:t xml:space="preserve"> </w:t>
      </w:r>
      <w:r>
        <w:t xml:space="preserve">things, where</w:t>
      </w:r>
      <w:r>
        <w:t xml:space="preserve"> </w:t>
      </w:r>
      <w:r>
        <w:t xml:space="preserve">“</w:t>
      </w:r>
      <w:r>
        <w:t xml:space="preserve">transferable</w:t>
      </w:r>
      <w:r>
        <w:t xml:space="preserve">”</w:t>
      </w:r>
      <w:r>
        <w:t xml:space="preserve"> </w:t>
      </w:r>
      <w:r>
        <w:t xml:space="preserve">doesn’t require conventional scarcity but does require that a legitimate holder exist who can meaningfully relinquish the thing to another party. QC extends currency’s domain enormously by dropping the scarcity and market-liquidity requirements the original Red Team Review assumed, but it doesn’t (and, I’d argue, shouldn’t be designed to) drop the transferability requirement. Every one of my ten cases fails specifically because there’s no legitimate transferable</w:t>
      </w:r>
      <w:r>
        <w:t xml:space="preserve"> </w:t>
      </w:r>
      <w:r>
        <w:t xml:space="preserve">“</w:t>
      </w:r>
      <w:r>
        <w:t xml:space="preserve">thing</w:t>
      </w:r>
      <w:r>
        <w:t xml:space="preserve">”</w:t>
      </w:r>
      <w:r>
        <w:t xml:space="preserve"> </w:t>
      </w:r>
      <w:r>
        <w:t xml:space="preserve">at the other end, not because the thing is merely rare or expensive.</w:t>
      </w:r>
    </w:p>
    <w:p>
      <w:pPr>
        <w:pStyle w:val="BodyText"/>
      </w:pPr>
      <w:r>
        <w:rPr>
          <w:bCs/>
          <w:b/>
        </w:rPr>
        <w:t xml:space="preserve">2. Does every valid transaction require a buyer, a seller, something transferable, a recognized change in possession, and an enforceable agreement?</w:t>
      </w:r>
      <w:r>
        <w:t xml:space="preserve"> </w:t>
      </w:r>
      <w:r>
        <w:t xml:space="preserve">I’d modify this slightly: it requires a buyer, a legitimate holder capable of relinquishing the thing (not always a</w:t>
      </w:r>
      <w:r>
        <w:t xml:space="preserve"> </w:t>
      </w:r>
      <w:r>
        <w:t xml:space="preserve">“</w:t>
      </w:r>
      <w:r>
        <w:t xml:space="preserve">seller</w:t>
      </w:r>
      <w:r>
        <w:t xml:space="preserve">”</w:t>
      </w:r>
      <w:r>
        <w:t xml:space="preserve"> </w:t>
      </w:r>
      <w:r>
        <w:t xml:space="preserve">in the market sense — a government granting access, a person consenting to a service, a system authorizing entry all count), something that is coherently the kind of thing that can change hands, and</w:t>
      </w:r>
      <w:r>
        <w:t xml:space="preserve"> </w:t>
      </w:r>
      <w:r>
        <w:rPr>
          <w:iCs/>
          <w:i/>
        </w:rPr>
        <w:t xml:space="preserve">some</w:t>
      </w:r>
      <w:r>
        <w:t xml:space="preserve"> </w:t>
      </w:r>
      <w:r>
        <w:t xml:space="preserve">mechanism (not necessarily legal enforcement — in a closed system like OAL’s, this could be Architect-level authorization) recognizing the change. Cases 1, 3, 4, 9, and 10 fail primarily on</w:t>
      </w:r>
      <w:r>
        <w:t xml:space="preserve"> </w:t>
      </w:r>
      <w:r>
        <w:t xml:space="preserve">“</w:t>
      </w:r>
      <w:r>
        <w:t xml:space="preserve">something transferable</w:t>
      </w:r>
      <w:r>
        <w:t xml:space="preserve">”</w:t>
      </w:r>
      <w:r>
        <w:t xml:space="preserve"> </w:t>
      </w:r>
      <w:r>
        <w:t xml:space="preserve">existing at all. Cases 2, 5, and 6 fail on</w:t>
      </w:r>
      <w:r>
        <w:t xml:space="preserve"> </w:t>
      </w:r>
      <w:r>
        <w:t xml:space="preserve">“</w:t>
      </w:r>
      <w:r>
        <w:t xml:space="preserve">legitimate holder capable of relinquishing</w:t>
      </w:r>
      <w:r>
        <w:t xml:space="preserve">”</w:t>
      </w:r>
      <w:r>
        <w:t xml:space="preserve"> </w:t>
      </w:r>
      <w:r>
        <w:t xml:space="preserve">— even a fully willing party can’t relinquish what they don’t hold as a disposable asset. Cases 7 and 8 are mixed.</w:t>
      </w:r>
    </w:p>
    <w:p>
      <w:pPr>
        <w:pStyle w:val="BodyText"/>
      </w:pPr>
      <w:r>
        <w:rPr>
          <w:bCs/>
          <w:b/>
        </w:rPr>
        <w:t xml:space="preserve">3. Can something possess enormous value while having no legitimate price?</w:t>
      </w:r>
      <w:r>
        <w:t xml:space="preserve"> </w:t>
      </w:r>
      <w:r>
        <w:t xml:space="preserve">Yes, clearly — several of these cases (personhood, sovereignty, genuine choice) are plausibly the most valuable things in the entire framework and simultaneously have no coherent price, not because the price would be too high, but because</w:t>
      </w:r>
      <w:r>
        <w:t xml:space="preserve"> </w:t>
      </w:r>
      <w:r>
        <w:t xml:space="preserve">“</w:t>
      </w:r>
      <w:r>
        <w:t xml:space="preserve">price</w:t>
      </w:r>
      <w:r>
        <w:t xml:space="preserve">”</w:t>
      </w:r>
      <w:r>
        <w:t xml:space="preserve"> </w:t>
      </w:r>
      <w:r>
        <w:t xml:space="preserve">isn’t the right relationship between currency and that category of thing at all.</w:t>
      </w:r>
    </w:p>
    <w:p>
      <w:pPr>
        <w:pStyle w:val="BodyText"/>
      </w:pPr>
      <w:r>
        <w:rPr>
          <w:bCs/>
          <w:b/>
        </w:rPr>
        <w:t xml:space="preserve">4. Is</w:t>
      </w:r>
      <w:r>
        <w:rPr>
          <w:bCs/>
          <w:b/>
        </w:rPr>
        <w:t xml:space="preserve"> </w:t>
      </w:r>
      <w:r>
        <w:rPr>
          <w:bCs/>
          <w:b/>
        </w:rPr>
        <w:t xml:space="preserve">“</w:t>
      </w:r>
      <w:r>
        <w:rPr>
          <w:bCs/>
          <w:b/>
        </w:rPr>
        <w:t xml:space="preserve">priceless</w:t>
      </w:r>
      <w:r>
        <w:rPr>
          <w:bCs/>
          <w:b/>
        </w:rPr>
        <w:t xml:space="preserve">”</w:t>
      </w:r>
      <w:r>
        <w:rPr>
          <w:bCs/>
          <w:b/>
        </w:rPr>
        <w:t xml:space="preserve"> </w:t>
      </w:r>
      <w:r>
        <w:rPr>
          <w:bCs/>
          <w:b/>
        </w:rPr>
        <w:t xml:space="preserve">different from</w:t>
      </w:r>
      <w:r>
        <w:rPr>
          <w:bCs/>
          <w:b/>
        </w:rPr>
        <w:t xml:space="preserve"> </w:t>
      </w:r>
      <w:r>
        <w:rPr>
          <w:bCs/>
          <w:b/>
        </w:rPr>
        <w:t xml:space="preserve">“</w:t>
      </w:r>
      <w:r>
        <w:rPr>
          <w:bCs/>
          <w:b/>
        </w:rPr>
        <w:t xml:space="preserve">infinitely expensive</w:t>
      </w:r>
      <w:r>
        <w:rPr>
          <w:bCs/>
          <w:b/>
        </w:rPr>
        <w:t xml:space="preserve">”</w:t>
      </w:r>
      <w:r>
        <w:rPr>
          <w:bCs/>
          <w:b/>
        </w:rPr>
        <w:t xml:space="preserve">?</w:t>
      </w:r>
      <w:r>
        <w:t xml:space="preserve"> </w:t>
      </w:r>
      <w:r>
        <w:t xml:space="preserve">Yes, and I think this distinction is one of the most useful outputs of this whole exercise for your framework specifically.</w:t>
      </w:r>
      <w:r>
        <w:t xml:space="preserve"> </w:t>
      </w:r>
      <w:r>
        <w:t xml:space="preserve">“</w:t>
      </w:r>
      <w:r>
        <w:t xml:space="preserve">Infinitely expensive</w:t>
      </w:r>
      <w:r>
        <w:t xml:space="preserve">”</w:t>
      </w:r>
      <w:r>
        <w:t xml:space="preserve"> </w:t>
      </w:r>
      <w:r>
        <w:t xml:space="preserve">means QC’s valuation function resolves to a value, and that value happens to be unboundedly large — this is a</w:t>
      </w:r>
      <w:r>
        <w:t xml:space="preserve"> </w:t>
      </w:r>
      <w:r>
        <w:rPr>
          <w:iCs/>
          <w:i/>
        </w:rPr>
        <w:t xml:space="preserve">quantitative</w:t>
      </w:r>
      <w:r>
        <w:t xml:space="preserve"> </w:t>
      </w:r>
      <w:r>
        <w:t xml:space="preserve">extreme, and it’s the wrong model for most of my ten cases.</w:t>
      </w:r>
      <w:r>
        <w:t xml:space="preserve"> </w:t>
      </w:r>
      <w:r>
        <w:t xml:space="preserve">“</w:t>
      </w:r>
      <w:r>
        <w:t xml:space="preserve">Priceless</w:t>
      </w:r>
      <w:r>
        <w:t xml:space="preserve">”</w:t>
      </w:r>
      <w:r>
        <w:t xml:space="preserve"> </w:t>
      </w:r>
      <w:r>
        <w:t xml:space="preserve">means QC’s valuation function should return</w:t>
      </w:r>
      <w:r>
        <w:t xml:space="preserve"> </w:t>
      </w:r>
      <w:r>
        <w:rPr>
          <w:iCs/>
          <w:i/>
        </w:rPr>
        <w:t xml:space="preserve">undefined</w:t>
      </w:r>
      <w:r>
        <w:t xml:space="preserve"> </w:t>
      </w:r>
      <w:r>
        <w:t xml:space="preserve">or</w:t>
      </w:r>
      <w:r>
        <w:t xml:space="preserve"> </w:t>
      </w:r>
      <w:r>
        <w:rPr>
          <w:iCs/>
          <w:i/>
        </w:rPr>
        <w:t xml:space="preserve">non-resolvable</w:t>
      </w:r>
      <w:r>
        <w:t xml:space="preserve">, not a very large number — this is a</w:t>
      </w:r>
      <w:r>
        <w:t xml:space="preserve"> </w:t>
      </w:r>
      <w:r>
        <w:rPr>
          <w:iCs/>
          <w:i/>
        </w:rPr>
        <w:t xml:space="preserve">categorical</w:t>
      </w:r>
      <w:r>
        <w:t xml:space="preserve"> </w:t>
      </w:r>
      <w:r>
        <w:t xml:space="preserve">exclusion. Conflating these is exactly the kind of design mistake that would let QC</w:t>
      </w:r>
      <w:r>
        <w:t xml:space="preserve"> </w:t>
      </w:r>
      <w:r>
        <w:t xml:space="preserve">“</w:t>
      </w:r>
      <w:r>
        <w:t xml:space="preserve">solve</w:t>
      </w:r>
      <w:r>
        <w:t xml:space="preserve">”</w:t>
      </w:r>
      <w:r>
        <w:t xml:space="preserve"> </w:t>
      </w:r>
      <w:r>
        <w:t xml:space="preserve">Case #4 (a new law of physics) by simply generating an astronomically large number, when the correct behavior is refusal to resolve at all. I’d recommend your Version 2 specification explicitly build a non-resolvable/undefined valuation state, distinct from</w:t>
      </w:r>
      <w:r>
        <w:t xml:space="preserve"> </w:t>
      </w:r>
      <w:r>
        <w:t xml:space="preserve">“</w:t>
      </w:r>
      <w:r>
        <w:t xml:space="preserve">very large valuation,</w:t>
      </w:r>
      <w:r>
        <w:t xml:space="preserve">”</w:t>
      </w:r>
      <w:r>
        <w:t xml:space="preserve"> </w:t>
      </w:r>
      <w:r>
        <w:t xml:space="preserve">as a first-class outcome of QC’s evaluation mechanic — not an edge case handled after the fact.</w:t>
      </w:r>
    </w:p>
    <w:p>
      <w:pPr>
        <w:pStyle w:val="BodyText"/>
      </w:pPr>
      <w:r>
        <w:rPr>
          <w:bCs/>
          <w:b/>
        </w:rPr>
        <w:t xml:space="preserve">5. Does unlimited purchasing power eventually encounter a domain where currency simply stops being the relevant mechanism?</w:t>
      </w:r>
      <w:r>
        <w:t xml:space="preserve"> </w:t>
      </w:r>
      <w:r>
        <w:t xml:space="preserve">Yes — that’s the entire finding of this exercise. Roughly seven of my ten cases (1, 3, 4, 9, 10, and the fact-layers of 7 and 8) hit this regardless of purchasing power, because the obstacle isn’t a resource constraint at all. Three cases (2, 5, 6) are more interesting because unlimited purchasing power actively</w:t>
      </w:r>
      <w:r>
        <w:t xml:space="preserve"> </w:t>
      </w:r>
      <w:r>
        <w:rPr>
          <w:iCs/>
          <w:i/>
        </w:rPr>
        <w:t xml:space="preserve">interferes</w:t>
      </w:r>
      <w:r>
        <w:t xml:space="preserve"> </w:t>
      </w:r>
      <w:r>
        <w:t xml:space="preserve">with the desired outcome rather than merely failing to achieve it — the attempt to buy them corrupts the very thing being sought.</w:t>
      </w:r>
    </w:p>
    <w:p>
      <w:pPr>
        <w:pStyle w:val="BodyText"/>
      </w:pPr>
      <w:r>
        <w:rPr>
          <w:bCs/>
          <w:b/>
        </w:rPr>
        <w:t xml:space="preserve">6. If such a boundary exists, what should we call it?</w:t>
      </w:r>
      <w:r>
        <w:t xml:space="preserve"> </w:t>
      </w:r>
      <w:r>
        <w:t xml:space="preserve">I’d propose</w:t>
      </w:r>
      <w:r>
        <w:t xml:space="preserve"> </w:t>
      </w:r>
      <w:r>
        <w:rPr>
          <w:bCs/>
          <w:b/>
        </w:rPr>
        <w:t xml:space="preserve">the Transferability Floor</w:t>
      </w:r>
      <w:r>
        <w:t xml:space="preserve"> </w:t>
      </w:r>
      <w:r>
        <w:t xml:space="preserve">— the term should name the actual mechanism, not just gesture at mystery.</w:t>
      </w:r>
      <w:r>
        <w:t xml:space="preserve"> </w:t>
      </w:r>
      <w:r>
        <w:t xml:space="preserve">“</w:t>
      </w:r>
      <w:r>
        <w:t xml:space="preserve">Currency Event Horizon</w:t>
      </w:r>
      <w:r>
        <w:t xml:space="preserve">”</w:t>
      </w:r>
      <w:r>
        <w:t xml:space="preserve"> </w:t>
      </w:r>
      <w:r>
        <w:t xml:space="preserve">and</w:t>
      </w:r>
      <w:r>
        <w:t xml:space="preserve"> </w:t>
      </w:r>
      <w:r>
        <w:t xml:space="preserve">“</w:t>
      </w:r>
      <w:r>
        <w:t xml:space="preserve">Non-Purchasable Domain</w:t>
      </w:r>
      <w:r>
        <w:t xml:space="preserve">”</w:t>
      </w:r>
      <w:r>
        <w:t xml:space="preserve"> </w:t>
      </w:r>
      <w:r>
        <w:t xml:space="preserve">both describe the boundary from the currency’s side (what currency can’t reach);</w:t>
      </w:r>
      <w:r>
        <w:t xml:space="preserve"> </w:t>
      </w:r>
      <w:r>
        <w:t xml:space="preserve">“</w:t>
      </w:r>
      <w:r>
        <w:t xml:space="preserve">Transferability Floor</w:t>
      </w:r>
      <w:r>
        <w:t xml:space="preserve">”</w:t>
      </w:r>
      <w:r>
        <w:t xml:space="preserve"> </w:t>
      </w:r>
      <w:r>
        <w:t xml:space="preserve">names the underlying structural requirement (a legitimate holder capable of relinquishing a coherent, transferable thing) whose</w:t>
      </w:r>
      <w:r>
        <w:t xml:space="preserve"> </w:t>
      </w:r>
      <w:r>
        <w:rPr>
          <w:iCs/>
          <w:i/>
        </w:rPr>
        <w:t xml:space="preserve">absence</w:t>
      </w:r>
      <w:r>
        <w:t xml:space="preserve"> </w:t>
      </w:r>
      <w:r>
        <w:t xml:space="preserve">is what actually produces every boundary case on this list. I think naming the mechanism rather than the symptom will serve your Version 2 specification better, because it gives the design team something to test</w:t>
      </w:r>
      <w:r>
        <w:t xml:space="preserve"> </w:t>
      </w:r>
      <w:r>
        <w:rPr>
          <w:iCs/>
          <w:i/>
        </w:rPr>
        <w:t xml:space="preserve">for</w:t>
      </w:r>
      <w:r>
        <w:t xml:space="preserve"> </w:t>
      </w:r>
      <w:r>
        <w:t xml:space="preserve">directly (</w:t>
      </w:r>
      <w:r>
        <w:t xml:space="preserve">“</w:t>
      </w:r>
      <w:r>
        <w:t xml:space="preserve">does a legitimate transferable holder exist for this target?</w:t>
      </w:r>
      <w:r>
        <w:t xml:space="preserve">”</w:t>
      </w:r>
      <w:r>
        <w:t xml:space="preserve">) rather than a vague prohibition to work around.</w:t>
      </w:r>
    </w:p>
    <w:p>
      <w:r>
        <w:pict>
          <v:rect style="width:0;height:1.5pt" o:hralign="center" o:hrstd="t" o:hr="t"/>
        </w:pict>
      </w:r>
    </w:p>
    <w:bookmarkEnd w:id="32"/>
    <w:bookmarkStart w:id="33" w:name="laboratory-design-implications"/>
    <w:p>
      <w:pPr>
        <w:pStyle w:val="Heading2"/>
      </w:pPr>
      <w:r>
        <w:t xml:space="preserve">Laboratory Design Implications</w:t>
      </w:r>
    </w:p>
    <w:p>
      <w:pPr>
        <w:pStyle w:val="FirstParagraph"/>
      </w:pPr>
      <w:r>
        <w:t xml:space="preserve">Mapping my ten cases onto your ten proposed categories: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Cases that land here</w:t>
            </w:r>
          </w:p>
        </w:tc>
      </w:tr>
      <w:tr>
        <w:tc>
          <w:tcPr/>
          <w:p>
            <w:pPr>
              <w:pStyle w:val="Compact"/>
              <w:jc w:val="left"/>
            </w:pPr>
            <w:r>
              <w:t xml:space="preserve">1. Ordinarily purchasable</w:t>
            </w:r>
          </w:p>
        </w:tc>
        <w:tc>
          <w:tcPr/>
          <w:p>
            <w:pPr>
              <w:pStyle w:val="Compact"/>
              <w:jc w:val="left"/>
            </w:pPr>
            <w:r>
              <w:t xml:space="preserve">None of my ten — by design, since the exercise asked for boundary cases</w:t>
            </w:r>
          </w:p>
        </w:tc>
      </w:tr>
      <w:tr>
        <w:tc>
          <w:tcPr/>
          <w:p>
            <w:pPr>
              <w:pStyle w:val="Compact"/>
              <w:jc w:val="left"/>
            </w:pPr>
            <w:r>
              <w:t xml:space="preserve">2. Purchasable but extremely scarce</w:t>
            </w:r>
          </w:p>
        </w:tc>
        <w:tc>
          <w:tcPr/>
          <w:p>
            <w:pPr>
              <w:pStyle w:val="Compact"/>
              <w:jc w:val="left"/>
            </w:pPr>
            <w:r>
              <w:t xml:space="preserve">None directly, though the artifact/access layers of Cases 8 and 9 (naming conventions, restricted information access) sit close to here</w:t>
            </w:r>
          </w:p>
        </w:tc>
      </w:tr>
      <w:tr>
        <w:tc>
          <w:tcPr/>
          <w:p>
            <w:pPr>
              <w:pStyle w:val="Compact"/>
              <w:jc w:val="left"/>
            </w:pPr>
            <w:r>
              <w:t xml:space="preserve">3. Purchasable only through specialized rights/contracts</w:t>
            </w:r>
          </w:p>
        </w:tc>
        <w:tc>
          <w:tcPr/>
          <w:p>
            <w:pPr>
              <w:pStyle w:val="Compact"/>
              <w:jc w:val="left"/>
            </w:pPr>
            <w:r>
              <w:t xml:space="preserve">The convention-layer of Case 8, the access-layer of Case 9, the labor/service-layer of Case 10</w:t>
            </w:r>
          </w:p>
        </w:tc>
      </w:tr>
      <w:tr>
        <w:tc>
          <w:tcPr/>
          <w:p>
            <w:pPr>
              <w:pStyle w:val="Compact"/>
              <w:jc w:val="left"/>
            </w:pPr>
            <w:r>
              <w:t xml:space="preserve">4. Currently technologically inaccessible</w:t>
            </w:r>
          </w:p>
        </w:tc>
        <w:tc>
          <w:tcPr/>
          <w:p>
            <w:pPr>
              <w:pStyle w:val="Compact"/>
              <w:jc w:val="left"/>
            </w:pPr>
            <w:r>
              <w:t xml:space="preserve">The conditional reading of Case 6 (identity continuity, if the pattern-view of personal identity is correct)</w:t>
            </w:r>
          </w:p>
        </w:tc>
      </w:tr>
      <w:tr>
        <w:tc>
          <w:tcPr/>
          <w:p>
            <w:pPr>
              <w:pStyle w:val="Compact"/>
              <w:jc w:val="left"/>
            </w:pPr>
            <w:r>
              <w:t xml:space="preserve">5. Legally restricted</w:t>
            </w:r>
          </w:p>
        </w:tc>
        <w:tc>
          <w:tcPr/>
          <w:p>
            <w:pPr>
              <w:pStyle w:val="Compact"/>
              <w:jc w:val="left"/>
            </w:pPr>
            <w:r>
              <w:t xml:space="preserve">None of my ten cleanly — I deliberately avoided cases whose only obstacle was legal prohibition, per your instruction that legal prohibition alone isn’t sufficient</w:t>
            </w:r>
          </w:p>
        </w:tc>
      </w:tr>
      <w:tr>
        <w:tc>
          <w:tcPr/>
          <w:p>
            <w:pPr>
              <w:pStyle w:val="Compact"/>
              <w:jc w:val="left"/>
            </w:pPr>
            <w:r>
              <w:t xml:space="preserve">6. Ethically restricted</w:t>
            </w:r>
          </w:p>
        </w:tc>
        <w:tc>
          <w:tcPr/>
          <w:p>
            <w:pPr>
              <w:pStyle w:val="Compact"/>
              <w:jc w:val="left"/>
            </w:pPr>
            <w:r>
              <w:t xml:space="preserve">Case 2 (genuine choice), Case 10 (personhood) — though I’d argue both are actually deeper than</w:t>
            </w:r>
            <w:r>
              <w:t xml:space="preserve"> </w:t>
            </w:r>
            <w:r>
              <w:t xml:space="preserve">“</w:t>
            </w:r>
            <w:r>
              <w:t xml:space="preserve">ethically restricted,</w:t>
            </w:r>
            <w:r>
              <w:t xml:space="preserve">”</w:t>
            </w:r>
            <w:r>
              <w:t xml:space="preserve"> </w:t>
            </w:r>
            <w:r>
              <w:t xml:space="preserve">which undersells them</w:t>
            </w:r>
          </w:p>
        </w:tc>
      </w:tr>
      <w:tr>
        <w:tc>
          <w:tcPr/>
          <w:p>
            <w:pPr>
              <w:pStyle w:val="Compact"/>
              <w:jc w:val="left"/>
            </w:pPr>
            <w:r>
              <w:t xml:space="preserve">7. Non-transferable</w:t>
            </w:r>
          </w:p>
        </w:tc>
        <w:tc>
          <w:tcPr/>
          <w:p>
            <w:pPr>
              <w:pStyle w:val="Compact"/>
              <w:jc w:val="left"/>
            </w:pPr>
            <w:r>
              <w:t xml:space="preserve">Case 6 (identity continuity), the psychological-effects layer of Case 7 (conditionally non-transferable)</w:t>
            </w:r>
          </w:p>
        </w:tc>
      </w:tr>
      <w:tr>
        <w:tc>
          <w:tcPr/>
          <w:p>
            <w:pPr>
              <w:pStyle w:val="Compact"/>
              <w:jc w:val="left"/>
            </w:pPr>
            <w:r>
              <w:t xml:space="preserve">8. Conceptually non-ownable</w:t>
            </w:r>
          </w:p>
        </w:tc>
        <w:tc>
          <w:tcPr/>
          <w:p>
            <w:pPr>
              <w:pStyle w:val="Compact"/>
              <w:jc w:val="left"/>
            </w:pPr>
            <w:r>
              <w:t xml:space="preserve">Case 5 (sovereignty), Case 9 (truth itself)</w:t>
            </w:r>
          </w:p>
        </w:tc>
      </w:tr>
      <w:tr>
        <w:tc>
          <w:tcPr/>
          <w:p>
            <w:pPr>
              <w:pStyle w:val="Compact"/>
              <w:jc w:val="left"/>
            </w:pPr>
            <w:r>
              <w:t xml:space="preserve">9. Physically or logically impossible</w:t>
            </w:r>
          </w:p>
        </w:tc>
        <w:tc>
          <w:tcPr/>
          <w:p>
            <w:pPr>
              <w:pStyle w:val="Compact"/>
              <w:jc w:val="left"/>
            </w:pPr>
            <w:r>
              <w:t xml:space="preserve">Case 1 (event non-occurrence), Case 3 (logical truth), Case 4 (new physical law in base reality)</w:t>
            </w:r>
          </w:p>
        </w:tc>
      </w:tr>
      <w:tr>
        <w:tc>
          <w:tcPr/>
          <w:p>
            <w:pPr>
              <w:pStyle w:val="Compact"/>
              <w:jc w:val="left"/>
            </w:pPr>
            <w:r>
              <w:t xml:space="preserve">10. Absolutely outside the domain of currency</w:t>
            </w:r>
          </w:p>
        </w:tc>
        <w:tc>
          <w:tcPr/>
          <w:p>
            <w:pPr>
              <w:pStyle w:val="Compact"/>
              <w:jc w:val="left"/>
            </w:pPr>
            <w:r>
              <w:t xml:space="preserve">Case 10 (personhood) — the one case I’d flag as belonging here without qualification</w:t>
            </w:r>
          </w:p>
        </w:tc>
      </w:tr>
    </w:tbl>
    <w:p>
      <w:pPr>
        <w:pStyle w:val="BodyText"/>
      </w:pPr>
      <w:r>
        <w:rPr>
          <w:bCs/>
          <w:b/>
        </w:rPr>
        <w:t xml:space="preserve">Why separating these matters:</w:t>
      </w:r>
      <w:r>
        <w:t xml:space="preserve"> </w:t>
      </w:r>
      <w:r>
        <w:t xml:space="preserve">Your instinct to require this mapping is correct, and I want to underline the specific risk it heads off. If the lab collapses categories 6 through 10 into a single</w:t>
      </w:r>
      <w:r>
        <w:t xml:space="preserve"> </w:t>
      </w:r>
      <w:r>
        <w:t xml:space="preserve">“</w:t>
      </w:r>
      <w:r>
        <w:t xml:space="preserve">can’t buy it</w:t>
      </w:r>
      <w:r>
        <w:t xml:space="preserve">”</w:t>
      </w:r>
      <w:r>
        <w:t xml:space="preserve"> </w:t>
      </w:r>
      <w:r>
        <w:t xml:space="preserve">bucket, QC will appear equally powerless against sovereignty (category 8) and against a mere legal restriction it could plausibly route around (category 5) — which would understate QC’s actual scope. Conversely, if the lab treats category 4 (technologically inaccessible) the same as category 9 (logically impossible), it will falsely suggest that sufficiently advanced OAL technology or Architect authority could eventually cross a boundary that no authority level, however great, can cross. Both errors distort the framework’s actual power in opposite directions.</w:t>
      </w:r>
    </w:p>
    <w:p>
      <w:r>
        <w:pict>
          <v:rect style="width:0;height:1.5pt" o:hralign="center" o:hrstd="t" o:hr="t"/>
        </w:pict>
      </w:r>
    </w:p>
    <w:bookmarkEnd w:id="33"/>
    <w:bookmarkStart w:id="34" w:name="final-ranking"/>
    <w:p>
      <w:pPr>
        <w:pStyle w:val="Heading2"/>
      </w:pPr>
      <w:r>
        <w:t xml:space="preserve">Final Ranking</w:t>
      </w:r>
    </w:p>
    <w:p>
      <w:pPr>
        <w:pStyle w:val="FirstParagraph"/>
      </w:pPr>
      <w:r>
        <w:rPr>
          <w:bCs/>
          <w:b/>
        </w:rPr>
        <w:t xml:space="preserve">1 (strongest absolute boundary) → 10 (most debatable):</w:t>
      </w:r>
    </w:p>
    <w:p>
      <w:pPr>
        <w:numPr>
          <w:ilvl w:val="0"/>
          <w:numId w:val="1001"/>
        </w:numPr>
        <w:pStyle w:val="Compact"/>
      </w:pPr>
      <w:r>
        <w:rPr>
          <w:bCs/>
          <w:b/>
        </w:rPr>
        <w:t xml:space="preserve">Case 10</w:t>
      </w:r>
      <w:r>
        <w:t xml:space="preserve"> </w:t>
      </w:r>
      <w:r>
        <w:t xml:space="preserve">— Independent personhood. Logically self-contradictory as a request, not merely difficult.</w:t>
      </w:r>
    </w:p>
    <w:p>
      <w:pPr>
        <w:numPr>
          <w:ilvl w:val="0"/>
          <w:numId w:val="1001"/>
        </w:numPr>
        <w:pStyle w:val="Compact"/>
      </w:pPr>
      <w:r>
        <w:rPr>
          <w:bCs/>
          <w:b/>
        </w:rPr>
        <w:t xml:space="preserve">Case 3</w:t>
      </w:r>
      <w:r>
        <w:t xml:space="preserve"> </w:t>
      </w:r>
      <w:r>
        <w:t xml:space="preserve">— Logical/mathematical truth-value. Absolute by definition, currency-agnostic.</w:t>
      </w:r>
    </w:p>
    <w:p>
      <w:pPr>
        <w:numPr>
          <w:ilvl w:val="0"/>
          <w:numId w:val="1001"/>
        </w:numPr>
        <w:pStyle w:val="Compact"/>
      </w:pPr>
      <w:r>
        <w:rPr>
          <w:bCs/>
          <w:b/>
        </w:rPr>
        <w:t xml:space="preserve">Case 1</w:t>
      </w:r>
      <w:r>
        <w:t xml:space="preserve"> </w:t>
      </w:r>
      <w:r>
        <w:t xml:space="preserve">— Non-occurrence of a completed event. Absolute; only</w:t>
      </w:r>
      <w:r>
        <w:t xml:space="preserve"> </w:t>
      </w:r>
      <w:r>
        <w:t xml:space="preserve">“</w:t>
      </w:r>
      <w:r>
        <w:t xml:space="preserve">attack</w:t>
      </w:r>
      <w:r>
        <w:t xml:space="preserve">”</w:t>
      </w:r>
      <w:r>
        <w:t xml:space="preserve"> </w:t>
      </w:r>
      <w:r>
        <w:t xml:space="preserve">is a legal-fiction substitute, which doesn’t touch the fact itself.</w:t>
      </w:r>
    </w:p>
    <w:p>
      <w:pPr>
        <w:numPr>
          <w:ilvl w:val="0"/>
          <w:numId w:val="1001"/>
        </w:numPr>
        <w:pStyle w:val="Compact"/>
      </w:pPr>
      <w:r>
        <w:rPr>
          <w:bCs/>
          <w:b/>
        </w:rPr>
        <w:t xml:space="preserve">Case 9</w:t>
      </w:r>
      <w:r>
        <w:t xml:space="preserve"> </w:t>
      </w:r>
      <w:r>
        <w:t xml:space="preserve">— Exclusive possession of truth. Absolute for the truth itself; only the artifact layer is purchasable.</w:t>
      </w:r>
    </w:p>
    <w:p>
      <w:pPr>
        <w:numPr>
          <w:ilvl w:val="0"/>
          <w:numId w:val="1001"/>
        </w:numPr>
        <w:pStyle w:val="Compact"/>
      </w:pPr>
      <w:r>
        <w:rPr>
          <w:bCs/>
          <w:b/>
        </w:rPr>
        <w:t xml:space="preserve">Case 5</w:t>
      </w:r>
      <w:r>
        <w:t xml:space="preserve"> </w:t>
      </w:r>
      <w:r>
        <w:t xml:space="preserve">— Sovereignty of a self-determining collective. Absolute as a category; the Voluntary Seller Test complicates but doesn’t defeat it.</w:t>
      </w:r>
    </w:p>
    <w:p>
      <w:pPr>
        <w:numPr>
          <w:ilvl w:val="0"/>
          <w:numId w:val="1001"/>
        </w:numPr>
        <w:pStyle w:val="Compact"/>
      </w:pPr>
      <w:r>
        <w:rPr>
          <w:bCs/>
          <w:b/>
        </w:rPr>
        <w:t xml:space="preserve">Case 4</w:t>
      </w:r>
      <w:r>
        <w:t xml:space="preserve"> </w:t>
      </w:r>
      <w:r>
        <w:t xml:space="preserve">— A new fundamental law in base reality. Absolute within the issuing reality; genuinely softened by the Simulation Test for new realities.</w:t>
      </w:r>
    </w:p>
    <w:p>
      <w:pPr>
        <w:numPr>
          <w:ilvl w:val="0"/>
          <w:numId w:val="1001"/>
        </w:numPr>
        <w:pStyle w:val="Compact"/>
      </w:pPr>
      <w:r>
        <w:rPr>
          <w:bCs/>
          <w:b/>
        </w:rPr>
        <w:t xml:space="preserve">Case 7</w:t>
      </w:r>
      <w:r>
        <w:t xml:space="preserve"> </w:t>
      </w:r>
      <w:r>
        <w:t xml:space="preserve">— One’s own past suffering never having happened. Absolute for the fact; conditionally purchasable for its psychological effects, which is why it ranks lower than Case 1.</w:t>
      </w:r>
    </w:p>
    <w:p>
      <w:pPr>
        <w:numPr>
          <w:ilvl w:val="0"/>
          <w:numId w:val="1001"/>
        </w:numPr>
        <w:pStyle w:val="Compact"/>
      </w:pPr>
      <w:r>
        <w:rPr>
          <w:bCs/>
          <w:b/>
        </w:rPr>
        <w:t xml:space="preserve">Case 2</w:t>
      </w:r>
      <w:r>
        <w:t xml:space="preserve"> </w:t>
      </w:r>
      <w:r>
        <w:t xml:space="preserve">— Another’s genuine, unforced choice. Structurally self-defeating, but the compliance/choice line is philosophically contestable, which is why I flagged it as one of the three hardest.</w:t>
      </w:r>
    </w:p>
    <w:p>
      <w:pPr>
        <w:numPr>
          <w:ilvl w:val="0"/>
          <w:numId w:val="1001"/>
        </w:numPr>
        <w:pStyle w:val="Compact"/>
      </w:pPr>
      <w:r>
        <w:rPr>
          <w:bCs/>
          <w:b/>
        </w:rPr>
        <w:t xml:space="preserve">Case 6</w:t>
      </w:r>
      <w:r>
        <w:t xml:space="preserve"> </w:t>
      </w:r>
      <w:r>
        <w:t xml:space="preserve">— Continuity of personal identity. Genuinely unresolved by current philosophy; ranks here because reasonable people disagree about whether it’s even a coherent boundary.</w:t>
      </w:r>
    </w:p>
    <w:p>
      <w:pPr>
        <w:numPr>
          <w:ilvl w:val="0"/>
          <w:numId w:val="1001"/>
        </w:numPr>
        <w:pStyle w:val="Compact"/>
      </w:pPr>
      <w:r>
        <w:rPr>
          <w:bCs/>
          <w:b/>
        </w:rPr>
        <w:t xml:space="preserve">Case 8</w:t>
      </w:r>
      <w:r>
        <w:t xml:space="preserve"> </w:t>
      </w:r>
      <w:r>
        <w:t xml:space="preserve">— Retroactive priority of discovery. My weakest defense — the red-team attack (does</w:t>
      </w:r>
      <w:r>
        <w:t xml:space="preserve"> </w:t>
      </w:r>
      <w:r>
        <w:t xml:space="preserve">“</w:t>
      </w:r>
      <w:r>
        <w:t xml:space="preserve">first</w:t>
      </w:r>
      <w:r>
        <w:t xml:space="preserve">”</w:t>
      </w:r>
      <w:r>
        <w:t xml:space="preserve"> </w:t>
      </w:r>
      <w:r>
        <w:t xml:space="preserve">even matter if never known) is one I couldn’t fully answer.</w:t>
      </w:r>
    </w:p>
    <w:p>
      <w:pPr>
        <w:pStyle w:val="FirstParagraph"/>
      </w:pPr>
      <w:r>
        <w:rPr>
          <w:bCs/>
          <w:b/>
        </w:rPr>
        <w:t xml:space="preserve">Single strongest absolute boundary:</w:t>
      </w:r>
      <w:r>
        <w:t xml:space="preserve"> </w:t>
      </w:r>
      <w:r>
        <w:t xml:space="preserve">Case 10 (personhood) — because it’s the only one where the request is not merely impossible but self-contradictory as stated, regardless of any technological, temporal, or authority-level assumption.</w:t>
      </w:r>
    </w:p>
    <w:p>
      <w:pPr>
        <w:pStyle w:val="BodyText"/>
      </w:pPr>
      <w:r>
        <w:rPr>
          <w:bCs/>
          <w:b/>
        </w:rPr>
        <w:t xml:space="preserve">Most philosophically difficult boundary:</w:t>
      </w:r>
      <w:r>
        <w:t xml:space="preserve"> </w:t>
      </w:r>
      <w:r>
        <w:t xml:space="preserve">Case 6 (personal identity continuity) — because it depends on an unresolved question in philosophy of mind that this exercise can’t settle by itself.</w:t>
      </w:r>
    </w:p>
    <w:p>
      <w:pPr>
        <w:pStyle w:val="BodyText"/>
      </w:pPr>
      <w:r>
        <w:rPr>
          <w:bCs/>
          <w:b/>
        </w:rPr>
        <w:t xml:space="preserve">Most surprising boundary (to me, in working through this):</w:t>
      </w:r>
      <w:r>
        <w:t xml:space="preserve"> </w:t>
      </w:r>
      <w:r>
        <w:t xml:space="preserve">Case 4 (a new fundamental law of physics) — I expected to rank it near the absolute end, but the Simulation Test genuinely reframes it into something QC could plausibly fund (a new reality’s construction) rather than something it categorically cannot touch, which is a more interesting and more useful result for your framework than a flat</w:t>
      </w:r>
      <w:r>
        <w:t xml:space="preserve"> </w:t>
      </w:r>
      <w:r>
        <w:t xml:space="preserve">“</w:t>
      </w:r>
      <w:r>
        <w:t xml:space="preserve">impossible.</w:t>
      </w:r>
      <w:r>
        <w:t xml:space="preserve">”</w:t>
      </w:r>
    </w:p>
    <w:p>
      <w:pPr>
        <w:pStyle w:val="BodyText"/>
      </w:pPr>
      <w:r>
        <w:rPr>
          <w:bCs/>
          <w:b/>
        </w:rPr>
        <w:t xml:space="preserve">Most useful boundary for testing the currency framework:</w:t>
      </w:r>
      <w:r>
        <w:t xml:space="preserve"> </w:t>
      </w:r>
      <w:r>
        <w:t xml:space="preserve">Case 9 (truth) — because it maps directly onto SLIAP and your classified-network mechanics already in development, giving you an immediate, concrete design application rather than a purely abstract result.</w:t>
      </w:r>
    </w:p>
    <w:p>
      <w:pPr>
        <w:pStyle w:val="BodyText"/>
      </w:pPr>
      <w:r>
        <w:rPr>
          <w:bCs/>
          <w:b/>
        </w:rPr>
        <w:t xml:space="preserve">Example most likely to expose a design flaw in QC/1COIN/NCOIN:</w:t>
      </w:r>
      <w:r>
        <w:t xml:space="preserve"> </w:t>
      </w:r>
      <w:r>
        <w:t xml:space="preserve">Case 4, specifically the risk identified in the Second-Order Questions section — that QC’s valuation function might currently resolve</w:t>
      </w:r>
      <w:r>
        <w:t xml:space="preserve"> </w:t>
      </w:r>
      <w:r>
        <w:t xml:space="preserve">“</w:t>
      </w:r>
      <w:r>
        <w:t xml:space="preserve">priceless</w:t>
      </w:r>
      <w:r>
        <w:t xml:space="preserve">”</w:t>
      </w:r>
      <w:r>
        <w:t xml:space="preserve"> </w:t>
      </w:r>
      <w:r>
        <w:t xml:space="preserve">targets to a very large finite number instead of an undefined/non-resolvable state. If your Version 2 specification doesn’t build that distinction in explicitly, this is exactly the case that will quietly reveal the gap.</w:t>
      </w:r>
    </w:p>
    <w:p>
      <w:r>
        <w:pict>
          <v:rect style="width:0;height:1.5pt" o:hralign="center" o:hrstd="t" o:hr="t"/>
        </w:pict>
      </w:r>
    </w:p>
    <w:bookmarkEnd w:id="34"/>
    <w:bookmarkStart w:id="35" w:name="final-synthesis"/>
    <w:p>
      <w:pPr>
        <w:pStyle w:val="Heading2"/>
      </w:pPr>
      <w:r>
        <w:t xml:space="preserve">Final Synthesis</w:t>
      </w:r>
    </w:p>
    <w:p>
      <w:pPr>
        <w:pStyle w:val="FirstParagraph"/>
      </w:pPr>
      <w:r>
        <w:t xml:space="preserve">Where does QC, 1COIN, or NCOIN’s purchasing power stop, assuming unlimited supply?</w:t>
      </w:r>
    </w:p>
    <w:p>
      <w:pPr>
        <w:pStyle w:val="BodyText"/>
      </w:pPr>
      <w:r>
        <w:t xml:space="preserve">It stops at the</w:t>
      </w:r>
      <w:r>
        <w:t xml:space="preserve"> </w:t>
      </w:r>
      <w:r>
        <w:rPr>
          <w:bCs/>
          <w:b/>
        </w:rPr>
        <w:t xml:space="preserve">Transferability Floor</w:t>
      </w:r>
      <w:r>
        <w:t xml:space="preserve">: the point where there is no legitimate holder capable of relinquishing a coherent, transferable thing to another party. This isn’t a single boundary at one</w:t>
      </w:r>
      <w:r>
        <w:t xml:space="preserve"> </w:t>
      </w:r>
      <w:r>
        <w:t xml:space="preserve">“</w:t>
      </w:r>
      <w:r>
        <w:t xml:space="preserve">distance</w:t>
      </w:r>
      <w:r>
        <w:t xml:space="preserve">”</w:t>
      </w:r>
      <w:r>
        <w:t xml:space="preserve"> </w:t>
      </w:r>
      <w:r>
        <w:t xml:space="preserve">from ordinary commerce — it’s a structural test that different targets fail for different reasons, and distinguishing those reasons is the actual output of this exercise, not just the list of ten cases:</w:t>
      </w:r>
    </w:p>
    <w:p>
      <w:pPr>
        <w:numPr>
          <w:ilvl w:val="0"/>
          <w:numId w:val="1002"/>
        </w:numPr>
        <w:pStyle w:val="Compact"/>
      </w:pPr>
      <w:r>
        <w:rPr>
          <w:bCs/>
          <w:b/>
        </w:rPr>
        <w:t xml:space="preserve">Some targets fail because no transferable thing exists at all</w:t>
      </w:r>
      <w:r>
        <w:t xml:space="preserve"> </w:t>
      </w:r>
      <w:r>
        <w:t xml:space="preserve">(logical truths, completed historical facts, physical law in base reality, truth itself) — these are the cleanest, most absolute boundaries, and QC should return</w:t>
      </w:r>
      <w:r>
        <w:t xml:space="preserve"> </w:t>
      </w:r>
      <w:r>
        <w:rPr>
          <w:iCs/>
          <w:i/>
        </w:rPr>
        <w:t xml:space="preserve">undefined</w:t>
      </w:r>
      <w:r>
        <w:t xml:space="preserve">, not a large number, when it hits them.</w:t>
      </w:r>
    </w:p>
    <w:p>
      <w:pPr>
        <w:numPr>
          <w:ilvl w:val="0"/>
          <w:numId w:val="1002"/>
        </w:numPr>
        <w:pStyle w:val="Compact"/>
      </w:pPr>
      <w:r>
        <w:rPr>
          <w:bCs/>
          <w:b/>
        </w:rPr>
        <w:t xml:space="preserve">Some targets fail because no legitimate holder exists</w:t>
      </w:r>
      <w:r>
        <w:t xml:space="preserve">, even though the thing seems intuitively</w:t>
      </w:r>
      <w:r>
        <w:t xml:space="preserve"> </w:t>
      </w:r>
      <w:r>
        <w:t xml:space="preserve">“</w:t>
      </w:r>
      <w:r>
        <w:t xml:space="preserve">ownable</w:t>
      </w:r>
      <w:r>
        <w:t xml:space="preserve">”</w:t>
      </w:r>
      <w:r>
        <w:t xml:space="preserve"> </w:t>
      </w:r>
      <w:r>
        <w:t xml:space="preserve">(sovereignty) — these are boundaries about authority and standing, not about the nature of the target itself.</w:t>
      </w:r>
    </w:p>
    <w:p>
      <w:pPr>
        <w:numPr>
          <w:ilvl w:val="0"/>
          <w:numId w:val="1002"/>
        </w:numPr>
        <w:pStyle w:val="Compact"/>
      </w:pPr>
      <w:r>
        <w:rPr>
          <w:bCs/>
          <w:b/>
        </w:rPr>
        <w:t xml:space="preserve">Some targets fail because the act of purchase destroys the very thing being purchased</w:t>
      </w:r>
      <w:r>
        <w:t xml:space="preserve"> </w:t>
      </w:r>
      <w:r>
        <w:t xml:space="preserve">(genuine choice, and personhood at its root) — these are the most philosophically important boundaries, because they show that QC’s power isn’t merely limited by category; in these cases, attempting the purchase is actively self-defeating, which is a stronger and more interesting result than mere impossibility.</w:t>
      </w:r>
    </w:p>
    <w:p>
      <w:pPr>
        <w:numPr>
          <w:ilvl w:val="0"/>
          <w:numId w:val="1002"/>
        </w:numPr>
        <w:pStyle w:val="Compact"/>
      </w:pPr>
      <w:r>
        <w:rPr>
          <w:bCs/>
          <w:b/>
        </w:rPr>
        <w:t xml:space="preserve">Some targets have a purchasable layer and a non-purchasable layer that are easy to conflate</w:t>
      </w:r>
      <w:r>
        <w:t xml:space="preserve"> </w:t>
      </w:r>
      <w:r>
        <w:t xml:space="preserve">(priority of discovery, one’s own past suffering) — these are the boundaries most likely to produce false claims of success in your canon if the layers aren’t kept explicitly distinct in documentation.</w:t>
      </w:r>
    </w:p>
    <w:p>
      <w:pPr>
        <w:pStyle w:val="FirstParagraph"/>
      </w:pPr>
      <w:r>
        <w:t xml:space="preserve">What this teaches about the viability of the three-currency framework:</w:t>
      </w:r>
      <w:r>
        <w:t xml:space="preserve"> </w:t>
      </w:r>
      <w:r>
        <w:rPr>
          <w:bCs/>
          <w:b/>
        </w:rPr>
        <w:t xml:space="preserve">the Red Team Review’s original objection — that QC’s unconstrained resolution mechanic makes its backing</w:t>
      </w:r>
      <w:r>
        <w:rPr>
          <w:bCs/>
          <w:b/>
        </w:rPr>
        <w:t xml:space="preserve"> </w:t>
      </w:r>
      <w:r>
        <w:rPr>
          <w:bCs/>
          <w:b/>
        </w:rPr>
        <w:t xml:space="preserve">“</w:t>
      </w:r>
      <w:r>
        <w:rPr>
          <w:bCs/>
          <w:b/>
        </w:rPr>
        <w:t xml:space="preserve">theatrical</w:t>
      </w:r>
      <w:r>
        <w:rPr>
          <w:bCs/>
          <w:b/>
        </w:rPr>
        <w:t xml:space="preserve">”</w:t>
      </w:r>
      <w:r>
        <w:rPr>
          <w:bCs/>
          <w:b/>
        </w:rPr>
        <w:t xml:space="preserve"> </w:t>
      </w:r>
      <w:r>
        <w:rPr>
          <w:bCs/>
          <w:b/>
        </w:rPr>
        <w:t xml:space="preserve">— is answered, not by claiming QC can resolve anything, but by showing that QC’s domain has a real, principled edge.</w:t>
      </w:r>
      <w:r>
        <w:t xml:space="preserve"> </w:t>
      </w:r>
      <w:r>
        <w:t xml:space="preserve">A currency that fails predictably and for identifiable structural reasons at the Transferability Floor is a coherent instrument with a genuine boundary. A currency that claims to resolve</w:t>
      </w:r>
      <w:r>
        <w:t xml:space="preserve"> </w:t>
      </w:r>
      <w:r>
        <w:rPr>
          <w:iCs/>
          <w:i/>
        </w:rPr>
        <w:t xml:space="preserve">everything</w:t>
      </w:r>
      <w:r>
        <w:t xml:space="preserve">, including these ten cases, would be the theatrical, contradiction-generating version the original red team was right to reject. Building the undefined/non-resolvable valuation state into QC’s core mechanic — rather than treating it as an edge case — is, I think, the single most important design change this exercise points to.</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OAL_Boundary_Conditions_Claude_Independent_v1</dc:title>
  <dc:creator/>
  <cp:keywords/>
  <dcterms:created xsi:type="dcterms:W3CDTF">2026-08-20T20:36:24Z</dcterms:created>
  <dcterms:modified xsi:type="dcterms:W3CDTF">2026-08-20T20:36:24Z</dcterms:modified>
</cp:coreProperties>
</file>

<file path=docProps/custom.xml><?xml version="1.0" encoding="utf-8"?>
<Properties xmlns="http://schemas.openxmlformats.org/officeDocument/2006/custom-properties" xmlns:vt="http://schemas.openxmlformats.org/officeDocument/2006/docPropsVTypes"/>
</file>