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oal-trinity-currency-system"/>
    <w:p>
      <w:pPr>
        <w:pStyle w:val="Heading1"/>
      </w:pPr>
      <w:r>
        <w:t xml:space="preserve">OAL Trinity Currency System</w:t>
      </w:r>
    </w:p>
    <w:bookmarkStart w:id="21" w:name="X9b4de33d1b4724d45fc67e2cdd81d8c9f8b8e4d"/>
    <w:p>
      <w:pPr>
        <w:pStyle w:val="Heading2"/>
      </w:pPr>
      <w:r>
        <w:t xml:space="preserve">Full Conversation Archive and Currency Laboratory Framework Foundation</w:t>
      </w:r>
    </w:p>
    <w:bookmarkStart w:id="20" w:name="X29c4ef380d476e3e03f63cae20b2ff60d245919"/>
    <w:p>
      <w:pPr>
        <w:pStyle w:val="Heading3"/>
      </w:pPr>
      <w:r>
        <w:t xml:space="preserve">From Inception through the Unpurchasable Domain Boundary Exercise</w:t>
      </w:r>
    </w:p>
    <w:p>
      <w:pPr>
        <w:pStyle w:val="FirstParagraph"/>
      </w:pPr>
      <w:r>
        <w:rPr>
          <w:bCs/>
          <w:b/>
        </w:rPr>
        <w:t xml:space="preserve">Document Status:</w:t>
      </w:r>
      <w:r>
        <w:t xml:space="preserve"> </w:t>
      </w:r>
      <w:r>
        <w:t xml:space="preserve">Working Archive for AI Collaboration Team</w:t>
      </w:r>
      <w:r>
        <w:br/>
      </w:r>
      <w:r>
        <w:rPr>
          <w:bCs/>
          <w:b/>
        </w:rPr>
        <w:t xml:space="preserve">Prepared by:</w:t>
      </w:r>
      <w:r>
        <w:t xml:space="preserve"> </w:t>
      </w:r>
      <w:r>
        <w:t xml:space="preserve">Grok (xAI)</w:t>
      </w:r>
      <w:r>
        <w:br/>
      </w:r>
      <w:r>
        <w:rPr>
          <w:bCs/>
          <w:b/>
        </w:rPr>
        <w:t xml:space="preserve">Date:</w:t>
      </w:r>
      <w:r>
        <w:t xml:space="preserve"> </w:t>
      </w:r>
      <w:r>
        <w:t xml:space="preserve">20 August 2026</w:t>
      </w:r>
      <w:r>
        <w:br/>
      </w:r>
      <w:r>
        <w:rPr>
          <w:bCs/>
          <w:b/>
        </w:rPr>
        <w:t xml:space="preserve">Purpose:</w:t>
      </w:r>
      <w:r>
        <w:t xml:space="preserve"> </w:t>
      </w:r>
      <w:r>
        <w:t xml:space="preserve">Provide a single, detailed, chronological and analytical record of the entire design conversation so that the collaborative team can build a coherent framework for the Currency Laboratory.</w:t>
      </w:r>
    </w:p>
    <w:p>
      <w:r>
        <w:pict>
          <v:rect style="width:0;height:1.5pt" o:hralign="center" o:hrstd="t" o:hr="t"/>
        </w:pict>
      </w:r>
    </w:p>
    <w:bookmarkEnd w:id="20"/>
    <w:bookmarkEnd w:id="21"/>
    <w:bookmarkStart w:id="22" w:name="document-purpose-and-scope"/>
    <w:p>
      <w:pPr>
        <w:pStyle w:val="Heading2"/>
      </w:pPr>
      <w:r>
        <w:t xml:space="preserve">1. Document Purpose and Scope</w:t>
      </w:r>
    </w:p>
    <w:p>
      <w:pPr>
        <w:pStyle w:val="FirstParagraph"/>
      </w:pPr>
      <w:r>
        <w:t xml:space="preserve">This document captures the full arc of the Quantum Credits (QC) / 1COIN / NCOIN design conversation from the user’s initial stream-of-consciousness request through the formal Boundary Conditions and the Unpurchasable Domain Exercise.</w:t>
      </w:r>
    </w:p>
    <w:p>
      <w:pPr>
        <w:pStyle w:val="BodyText"/>
      </w:pPr>
      <w:r>
        <w:t xml:space="preserve">It includes:</w:t>
      </w:r>
    </w:p>
    <w:p>
      <w:pPr>
        <w:numPr>
          <w:ilvl w:val="0"/>
          <w:numId w:val="1001"/>
        </w:numPr>
        <w:pStyle w:val="Compact"/>
      </w:pPr>
      <w:r>
        <w:t xml:space="preserve">The user’s original statements and clarifications (quoted or closely paraphrased where critical).</w:t>
      </w:r>
    </w:p>
    <w:p>
      <w:pPr>
        <w:numPr>
          <w:ilvl w:val="0"/>
          <w:numId w:val="1001"/>
        </w:numPr>
        <w:pStyle w:val="Compact"/>
      </w:pPr>
      <w:r>
        <w:t xml:space="preserve">Key responses from the AI collaboration team (especially the structured baselines and the independent boundary analysis).</w:t>
      </w:r>
    </w:p>
    <w:p>
      <w:pPr>
        <w:numPr>
          <w:ilvl w:val="0"/>
          <w:numId w:val="1001"/>
        </w:numPr>
        <w:pStyle w:val="Compact"/>
      </w:pPr>
      <w:r>
        <w:t xml:space="preserve">The evolution of the core design principle.</w:t>
      </w:r>
    </w:p>
    <w:p>
      <w:pPr>
        <w:numPr>
          <w:ilvl w:val="0"/>
          <w:numId w:val="1001"/>
        </w:numPr>
        <w:pStyle w:val="Compact"/>
      </w:pPr>
      <w:r>
        <w:t xml:space="preserve">The critical findings of the earlier Red Team Currency Review.</w:t>
      </w:r>
    </w:p>
    <w:p>
      <w:pPr>
        <w:numPr>
          <w:ilvl w:val="0"/>
          <w:numId w:val="1001"/>
        </w:numPr>
        <w:pStyle w:val="Compact"/>
      </w:pPr>
      <w:r>
        <w:t xml:space="preserve">A synthesized set of recommendations for the Currency Laboratory framework.</w:t>
      </w:r>
    </w:p>
    <w:p>
      <w:pPr>
        <w:pStyle w:val="FirstParagraph"/>
      </w:pPr>
      <w:r>
        <w:t xml:space="preserve">The goal is not merely archival. The goal is to give every team member a shared, high-fidelity foundation so that subsequent laboratory work proceeds from the same understanding of intent, constraints, and open questions.</w:t>
      </w:r>
    </w:p>
    <w:p>
      <w:r>
        <w:pict>
          <v:rect style="width:0;height:1.5pt" o:hralign="center" o:hrstd="t" o:hr="t"/>
        </w:pict>
      </w:r>
    </w:p>
    <w:bookmarkEnd w:id="22"/>
    <w:bookmarkStart w:id="25" w:name="inception-original-user-intent"/>
    <w:p>
      <w:pPr>
        <w:pStyle w:val="Heading2"/>
      </w:pPr>
      <w:r>
        <w:t xml:space="preserve">2. Inception — Original User Intent</w:t>
      </w:r>
    </w:p>
    <w:bookmarkStart w:id="23" w:name="users-initial-statement-pasted-text"/>
    <w:p>
      <w:pPr>
        <w:pStyle w:val="Heading3"/>
      </w:pPr>
      <w:r>
        <w:t xml:space="preserve">2.1 User’s Initial Statement (Pasted Text)</w:t>
      </w:r>
    </w:p>
    <w:p>
      <w:pPr>
        <w:pStyle w:val="FirstParagraph"/>
      </w:pPr>
      <w:r>
        <w:t xml:space="preserve">The conversation began with the following request (lightly cleaned for readability while preserving meaning):</w:t>
      </w:r>
    </w:p>
    <w:p>
      <w:pPr>
        <w:pStyle w:val="BlockText"/>
      </w:pPr>
      <w:r>
        <w:t xml:space="preserve">Can you look something up for me? So we did like this exercise before with me and the AI collaboration team. And so like I’m trying to design three currencies one of them is quantum credits the other is 1COIN, and NCOIN. I’m really sold on like quantum credits because it rolls off the tongue well but I wanted to test all three. So what we were trying to do is an exercise to test their viability. The design of the currency is built around them being able to purchase things that you cannot purchase, you cannot exchange. You cannot have enter into a transaction.</w:t>
      </w:r>
    </w:p>
    <w:p>
      <w:pPr>
        <w:pStyle w:val="BlockText"/>
      </w:pPr>
      <w:r>
        <w:t xml:space="preserve">…</w:t>
      </w:r>
    </w:p>
    <w:p>
      <w:pPr>
        <w:pStyle w:val="BlockText"/>
      </w:pPr>
      <w:r>
        <w:t xml:space="preserve">One of the qualities of the currency for quantum credits is that it evaluates whatever it is used on so it equals the value of whatever it is used on. Like let’s say I generate one quantum credit and then I want to use it for the next 150 years on the total annual spending for the IT sector…</w:t>
      </w:r>
    </w:p>
    <w:p>
      <w:pPr>
        <w:pStyle w:val="BlockText"/>
      </w:pPr>
      <w:r>
        <w:t xml:space="preserve">So what I actually said was that I would double it. So whatever they spend annually for the IT sector or AI sector… I would double that and then I would invest it into research and design and all this other stuff and into my company’s…</w:t>
      </w:r>
    </w:p>
    <w:p>
      <w:pPr>
        <w:pStyle w:val="BlockText"/>
      </w:pPr>
      <w:r>
        <w:t xml:space="preserve">So we did this exercise and we essentially weren’t able to make… they could not find viability for it and I’m just like this is how the currency works. It evaluates to whatever it is utilized on. If something cannot be purchased then I can use a quantum credit on it. It doesn’t matter… if it is a simulation if it is a network that is classified if it is a company if it is something else if it is another architect if it is anything… I do not mean this for like a real world scenario. I’m just giving you extreme examples because that is the design and it evaluates to whatever it is used on. It doesn’t matter if it is within or beyond linear time…</w:t>
      </w:r>
    </w:p>
    <w:p>
      <w:pPr>
        <w:pStyle w:val="BlockText"/>
      </w:pPr>
      <w:r>
        <w:t xml:space="preserve">… the whole thing with NCOIN that they proposed was that they wanted it to be a negative currency which I don’t have a problem with. I just wanted to see how they would work with the scenario that I give…</w:t>
      </w:r>
    </w:p>
    <w:p>
      <w:pPr>
        <w:pStyle w:val="BlockText"/>
      </w:pPr>
      <w:r>
        <w:t xml:space="preserve">Can you rewrite this in a structured and detailed manner so that we have a baseline to work off of please?</w:t>
      </w:r>
    </w:p>
    <w:p>
      <w:pPr>
        <w:pStyle w:val="FirstParagraph"/>
      </w:pPr>
      <w:r>
        <w:t xml:space="preserve">Attached to this request was the</w:t>
      </w:r>
      <w:r>
        <w:t xml:space="preserve"> </w:t>
      </w:r>
      <w:r>
        <w:rPr>
          <w:bCs/>
          <w:b/>
        </w:rPr>
        <w:t xml:space="preserve">Red Team Currency Review (Version 1)</w:t>
      </w:r>
      <w:r>
        <w:t xml:space="preserve"> </w:t>
      </w:r>
      <w:r>
        <w:t xml:space="preserve">PDF — an independent meta-analysis of six prior AI red-team responses.</w:t>
      </w:r>
    </w:p>
    <w:bookmarkEnd w:id="23"/>
    <w:bookmarkStart w:id="24" w:name="X197682f1e9a59cec9bfd3f3b9aee0365659dfbd"/>
    <w:p>
      <w:pPr>
        <w:pStyle w:val="Heading3"/>
      </w:pPr>
      <w:r>
        <w:t xml:space="preserve">2.2 Core Design Claim Extracted from Inception</w:t>
      </w:r>
    </w:p>
    <w:p>
      <w:pPr>
        <w:pStyle w:val="FirstParagraph"/>
      </w:pPr>
      <w:r>
        <w:t xml:space="preserve">From the user’s statements, the following principles were identified as non-negotiable starting points:</w:t>
      </w:r>
    </w:p>
    <w:p>
      <w:pPr>
        <w:numPr>
          <w:ilvl w:val="0"/>
          <w:numId w:val="1002"/>
        </w:numPr>
      </w:pPr>
      <w:r>
        <w:rPr>
          <w:bCs/>
          <w:b/>
        </w:rPr>
        <w:t xml:space="preserve">Quantum Credits are defined by value resolution, not by a fixed denomination or conventional reserve.</w:t>
      </w:r>
      <w:r>
        <w:br/>
      </w:r>
      <w:r>
        <w:t xml:space="preserve">A QC evaluates to (equals the value of) whatever valid target it is applied against.</w:t>
      </w:r>
    </w:p>
    <w:p>
      <w:pPr>
        <w:numPr>
          <w:ilvl w:val="0"/>
          <w:numId w:val="1002"/>
        </w:numPr>
      </w:pPr>
      <w:r>
        <w:rPr>
          <w:bCs/>
          <w:b/>
        </w:rPr>
        <w:t xml:space="preserve">The system is intended to operate on targets that ordinary markets cannot or will not transact</w:t>
      </w:r>
      <w:r>
        <w:t xml:space="preserve"> </w:t>
      </w:r>
      <w:r>
        <w:t xml:space="preserve">— classified systems, simulations, non-linear temporal objects, other Architects, non-purchasable capabilities, etc.</w:t>
      </w:r>
    </w:p>
    <w:p>
      <w:pPr>
        <w:numPr>
          <w:ilvl w:val="0"/>
          <w:numId w:val="1002"/>
        </w:numPr>
      </w:pPr>
      <w:r>
        <w:rPr>
          <w:bCs/>
          <w:b/>
        </w:rPr>
        <w:t xml:space="preserve">The 150-year doubled global IT/AI spending scenario</w:t>
      </w:r>
      <w:r>
        <w:t xml:space="preserve"> </w:t>
      </w:r>
      <w:r>
        <w:t xml:space="preserve">is a deliberate extreme stress test of magnitude, duration, and domain independence, not a literal claim about present-day financial capacity.</w:t>
      </w:r>
    </w:p>
    <w:p>
      <w:pPr>
        <w:numPr>
          <w:ilvl w:val="0"/>
          <w:numId w:val="1002"/>
        </w:numPr>
      </w:pPr>
      <w:r>
        <w:rPr>
          <w:bCs/>
          <w:b/>
        </w:rPr>
        <w:t xml:space="preserve">NCOIN as a negative / counter-value instrument</w:t>
      </w:r>
      <w:r>
        <w:t xml:space="preserve"> </w:t>
      </w:r>
      <w:r>
        <w:t xml:space="preserve">is acceptable in principle; its exact mechanics remain open.</w:t>
      </w:r>
    </w:p>
    <w:p>
      <w:pPr>
        <w:numPr>
          <w:ilvl w:val="0"/>
          <w:numId w:val="1002"/>
        </w:numPr>
      </w:pPr>
      <w:r>
        <w:rPr>
          <w:bCs/>
          <w:b/>
        </w:rPr>
        <w:t xml:space="preserve">The design is primarily for a fictional / simulation / laboratory context</w:t>
      </w:r>
      <w:r>
        <w:t xml:space="preserve"> </w:t>
      </w:r>
      <w:r>
        <w:t xml:space="preserve">inside the Omniversal Architect Labs (OAL) canon, even if it may later inform real-world thinking. Real-world monetary theory is a useful adversarial comparison tool, not the governing assumption.</w:t>
      </w:r>
    </w:p>
    <w:p>
      <w:r>
        <w:pict>
          <v:rect style="width:0;height:1.5pt" o:hralign="center" o:hrstd="t" o:hr="t"/>
        </w:pict>
      </w:r>
    </w:p>
    <w:bookmarkEnd w:id="24"/>
    <w:bookmarkEnd w:id="25"/>
    <w:bookmarkStart w:id="26" w:name="X2a537b84ccdd365df25f3bc99c84f268de02717"/>
    <w:p>
      <w:pPr>
        <w:pStyle w:val="Heading2"/>
      </w:pPr>
      <w:r>
        <w:t xml:space="preserve">3. The Red Team Currency Review (Version 1) — Key Findings</w:t>
      </w:r>
    </w:p>
    <w:p>
      <w:pPr>
        <w:pStyle w:val="FirstParagraph"/>
      </w:pPr>
      <w:r>
        <w:t xml:space="preserve">The attached independent review evaluated adversarial analyses produced by ChatGPT, Claude, Grok, Gemini, Copilot, and Perplexity (prior version).</w:t>
      </w:r>
    </w:p>
    <w:p>
      <w:pPr>
        <w:pStyle w:val="BodyText"/>
      </w:pPr>
      <w:r>
        <w:rPr>
          <w:bCs/>
          <w:b/>
        </w:rPr>
        <w:t xml:space="preserve">Overall verdict of the Review:</w:t>
      </w:r>
      <w:r>
        <w:br/>
      </w:r>
      <w:r>
        <w:t xml:space="preserve">The red-team critiques were overwhelmingly valid, historically grounded, and methodologically rigorous. The system as then designed faced structural, economic, governance, and narrative challenges and was not ready to be called</w:t>
      </w:r>
      <w:r>
        <w:t xml:space="preserve"> </w:t>
      </w:r>
      <w:r>
        <w:t xml:space="preserve">“</w:t>
      </w:r>
      <w:r>
        <w:t xml:space="preserve">canon.</w:t>
      </w:r>
      <w:r>
        <w:t xml:space="preserve">”</w:t>
      </w:r>
    </w:p>
    <w:p>
      <w:pPr>
        <w:pStyle w:val="BodyText"/>
      </w:pPr>
      <w:r>
        <w:rPr>
          <w:bCs/>
          <w:b/>
        </w:rPr>
        <w:t xml:space="preserve">Consensus Critical Flaws identified:</w:t>
      </w:r>
    </w:p>
    <w:tbl>
      <w:tblPr>
        <w:tblStyle w:val="Table"/>
        <w:tblW w:type="pct" w:w="5000"/>
        <w:tblLook w:firstRow="1" w:lastRow="0" w:firstColumn="0" w:lastColumn="0" w:noHBand="0" w:noVBand="0" w:val="0020"/>
        <w:jc w:val="start"/>
      </w:tblPr>
      <w:tblGrid>
        <w:gridCol w:w="1697"/>
        <w:gridCol w:w="2828"/>
        <w:gridCol w:w="3394"/>
      </w:tblGrid>
      <w:tr>
        <w:trPr>
          <w:tblHeader w:val="true"/>
        </w:trPr>
        <w:tc>
          <w:tcPr/>
          <w:p>
            <w:pPr>
              <w:pStyle w:val="Compact"/>
              <w:jc w:val="left"/>
            </w:pPr>
            <w:r>
              <w:t xml:space="preserve">Flaw</w:t>
            </w:r>
          </w:p>
        </w:tc>
        <w:tc>
          <w:tcPr/>
          <w:p>
            <w:pPr>
              <w:pStyle w:val="Compact"/>
              <w:jc w:val="left"/>
            </w:pPr>
            <w:r>
              <w:t xml:space="preserve">Severity</w:t>
            </w:r>
          </w:p>
        </w:tc>
        <w:tc>
          <w:tcPr/>
          <w:p>
            <w:pPr>
              <w:pStyle w:val="Compact"/>
              <w:jc w:val="left"/>
            </w:pPr>
            <w:r>
              <w:t xml:space="preserve">Core Issue</w:t>
            </w:r>
          </w:p>
        </w:tc>
      </w:tr>
      <w:tr>
        <w:tc>
          <w:tcPr/>
          <w:p>
            <w:pPr>
              <w:pStyle w:val="Compact"/>
              <w:jc w:val="left"/>
            </w:pPr>
            <w:r>
              <w:t xml:space="preserve">Post-Scarcity Paradox</w:t>
            </w:r>
          </w:p>
        </w:tc>
        <w:tc>
          <w:tcPr/>
          <w:p>
            <w:pPr>
              <w:pStyle w:val="Compact"/>
              <w:jc w:val="left"/>
            </w:pPr>
            <w:r>
              <w:t xml:space="preserve">Critical</w:t>
            </w:r>
          </w:p>
        </w:tc>
        <w:tc>
          <w:tcPr/>
          <w:p>
            <w:pPr>
              <w:pStyle w:val="Compact"/>
              <w:jc w:val="left"/>
            </w:pPr>
            <w:r>
              <w:t xml:space="preserve">Cannot simultaneously claim post-scarcity abundance and scarcity-based work-backing</w:t>
            </w:r>
          </w:p>
        </w:tc>
      </w:tr>
      <w:tr>
        <w:tc>
          <w:tcPr/>
          <w:p>
            <w:pPr>
              <w:pStyle w:val="Compact"/>
              <w:jc w:val="left"/>
            </w:pPr>
            <w:r>
              <w:t xml:space="preserve">Architect as Single Point of Failure</w:t>
            </w:r>
          </w:p>
        </w:tc>
        <w:tc>
          <w:tcPr/>
          <w:p>
            <w:pPr>
              <w:pStyle w:val="Compact"/>
              <w:jc w:val="left"/>
            </w:pPr>
            <w:r>
              <w:t xml:space="preserve">Critical</w:t>
            </w:r>
          </w:p>
        </w:tc>
        <w:tc>
          <w:tcPr/>
          <w:p>
            <w:pPr>
              <w:pStyle w:val="Compact"/>
              <w:jc w:val="left"/>
            </w:pPr>
            <w:r>
              <w:t xml:space="preserve">Founder-dependent systems face succession and capture risks</w:t>
            </w:r>
          </w:p>
        </w:tc>
      </w:tr>
      <w:tr>
        <w:tc>
          <w:tcPr/>
          <w:p>
            <w:pPr>
              <w:pStyle w:val="Compact"/>
              <w:jc w:val="left"/>
            </w:pPr>
            <w:r>
              <w:t xml:space="preserve">150-Year Timeline Hubris</w:t>
            </w:r>
          </w:p>
        </w:tc>
        <w:tc>
          <w:tcPr/>
          <w:p>
            <w:pPr>
              <w:pStyle w:val="Compact"/>
              <w:jc w:val="left"/>
            </w:pPr>
            <w:r>
              <w:t xml:space="preserve">High</w:t>
            </w:r>
          </w:p>
        </w:tc>
        <w:tc>
          <w:tcPr/>
          <w:p>
            <w:pPr>
              <w:pStyle w:val="Compact"/>
              <w:jc w:val="left"/>
            </w:pPr>
            <w:r>
              <w:t xml:space="preserve">No currency or governance system has maintained coherence for 150 years</w:t>
            </w:r>
          </w:p>
        </w:tc>
      </w:tr>
      <w:tr>
        <w:tc>
          <w:tcPr/>
          <w:p>
            <w:pPr>
              <w:pStyle w:val="Compact"/>
              <w:jc w:val="left"/>
            </w:pPr>
            <w:r>
              <w:t xml:space="preserve">NCOIN Debt Trap / Ontological Execution</w:t>
            </w:r>
          </w:p>
        </w:tc>
        <w:tc>
          <w:tcPr/>
          <w:p>
            <w:pPr>
              <w:pStyle w:val="Compact"/>
              <w:jc w:val="left"/>
            </w:pPr>
            <w:r>
              <w:t xml:space="preserve">High</w:t>
            </w:r>
          </w:p>
        </w:tc>
        <w:tc>
          <w:tcPr/>
          <w:p>
            <w:pPr>
              <w:pStyle w:val="Compact"/>
              <w:jc w:val="left"/>
            </w:pPr>
            <w:r>
              <w:t xml:space="preserve">Freeze mechanisms can permanently kill entities rather than correct them</w:t>
            </w:r>
          </w:p>
        </w:tc>
      </w:tr>
      <w:tr>
        <w:tc>
          <w:tcPr/>
          <w:p>
            <w:pPr>
              <w:pStyle w:val="Compact"/>
              <w:jc w:val="left"/>
            </w:pPr>
            <w:r>
              <w:t xml:space="preserve">DAO / Bureau Governance Capture</w:t>
            </w:r>
          </w:p>
        </w:tc>
        <w:tc>
          <w:tcPr/>
          <w:p>
            <w:pPr>
              <w:pStyle w:val="Compact"/>
              <w:jc w:val="left"/>
            </w:pPr>
            <w:r>
              <w:t xml:space="preserve">High</w:t>
            </w:r>
          </w:p>
        </w:tc>
        <w:tc>
          <w:tcPr/>
          <w:p>
            <w:pPr>
              <w:pStyle w:val="Compact"/>
              <w:jc w:val="left"/>
            </w:pPr>
            <w:r>
              <w:t xml:space="preserve">3-of-5 AI nodes and token voting are trivially attackable</w:t>
            </w:r>
          </w:p>
        </w:tc>
      </w:tr>
      <w:tr>
        <w:tc>
          <w:tcPr/>
          <w:p>
            <w:pPr>
              <w:pStyle w:val="Compact"/>
              <w:jc w:val="left"/>
            </w:pPr>
            <w:r>
              <w:t xml:space="preserve">1COIN Death-Spiral Risk</w:t>
            </w:r>
          </w:p>
        </w:tc>
        <w:tc>
          <w:tcPr/>
          <w:p>
            <w:pPr>
              <w:pStyle w:val="Compact"/>
              <w:jc w:val="left"/>
            </w:pPr>
            <w:r>
              <w:t xml:space="preserve">Medium-High</w:t>
            </w:r>
          </w:p>
        </w:tc>
        <w:tc>
          <w:tcPr/>
          <w:p>
            <w:pPr>
              <w:pStyle w:val="Compact"/>
              <w:jc w:val="left"/>
            </w:pPr>
            <w:r>
              <w:t xml:space="preserve">Structural resemblance to TerraUSD algorithmic peg dynamics</w:t>
            </w:r>
          </w:p>
        </w:tc>
      </w:tr>
      <w:tr>
        <w:tc>
          <w:tcPr/>
          <w:p>
            <w:pPr>
              <w:pStyle w:val="Compact"/>
              <w:jc w:val="left"/>
            </w:pPr>
            <w:r>
              <w:t xml:space="preserve">Impossible Trinity / Triffin Dilemma</w:t>
            </w:r>
          </w:p>
        </w:tc>
        <w:tc>
          <w:tcPr/>
          <w:p>
            <w:pPr>
              <w:pStyle w:val="Compact"/>
              <w:jc w:val="left"/>
            </w:pPr>
            <w:r>
              <w:t xml:space="preserve">High</w:t>
            </w:r>
          </w:p>
        </w:tc>
        <w:tc>
          <w:tcPr/>
          <w:p>
            <w:pPr>
              <w:pStyle w:val="Compact"/>
              <w:jc w:val="left"/>
            </w:pPr>
            <w:r>
              <w:t xml:space="preserve">Cannot maintain stable peg + free flows + independent policy simultaneously</w:t>
            </w:r>
          </w:p>
        </w:tc>
      </w:tr>
      <w:tr>
        <w:tc>
          <w:tcPr/>
          <w:p>
            <w:pPr>
              <w:pStyle w:val="Compact"/>
              <w:jc w:val="left"/>
            </w:pPr>
            <w:r>
              <w:t xml:space="preserve">No Formal Adversarial Testing Plan</w:t>
            </w:r>
          </w:p>
        </w:tc>
        <w:tc>
          <w:tcPr/>
          <w:p>
            <w:pPr>
              <w:pStyle w:val="Compact"/>
              <w:jc w:val="left"/>
            </w:pPr>
            <w:r>
              <w:t xml:space="preserve">High</w:t>
            </w:r>
          </w:p>
        </w:tc>
        <w:tc>
          <w:tcPr/>
          <w:p>
            <w:pPr>
              <w:pStyle w:val="Compact"/>
              <w:jc w:val="left"/>
            </w:pPr>
            <w:r>
              <w:t xml:space="preserve">Simulations under friendly assumptions prove little</w:t>
            </w:r>
          </w:p>
        </w:tc>
      </w:tr>
    </w:tbl>
    <w:p>
      <w:pPr>
        <w:pStyle w:val="BodyText"/>
      </w:pPr>
      <w:r>
        <w:rPr>
          <w:bCs/>
          <w:b/>
        </w:rPr>
        <w:t xml:space="preserve">Important nuance recorded in the Review itself:</w:t>
      </w:r>
      <w:r>
        <w:br/>
      </w:r>
      <w:r>
        <w:t xml:space="preserve">Several critiques (especially Claude’s</w:t>
      </w:r>
      <w:r>
        <w:t xml:space="preserve"> </w:t>
      </w:r>
      <w:r>
        <w:t xml:space="preserve">“</w:t>
      </w:r>
      <w:r>
        <w:t xml:space="preserve">Should this exist?</w:t>
      </w:r>
      <w:r>
        <w:t xml:space="preserve">”</w:t>
      </w:r>
      <w:r>
        <w:t xml:space="preserve"> </w:t>
      </w:r>
      <w:r>
        <w:t xml:space="preserve">framing) overreached by imposing real-world regulatory and economic requirements on a system that is partly a narrative/worldbuilding device. The Review explicitly recommended separating a simplified narrative layer from a rigorous technical specification layer.</w:t>
      </w:r>
    </w:p>
    <w:p>
      <w:pPr>
        <w:pStyle w:val="BodyText"/>
      </w:pPr>
      <w:r>
        <w:t xml:space="preserve">This separation became a recurring theme in later baselines.</w:t>
      </w:r>
    </w:p>
    <w:p>
      <w:r>
        <w:pict>
          <v:rect style="width:0;height:1.5pt" o:hralign="center" o:hrstd="t" o:hr="t"/>
        </w:pict>
      </w:r>
    </w:p>
    <w:bookmarkEnd w:id="26"/>
    <w:bookmarkStart w:id="30" w:name="Xbcd3ab7c7ccaceefa3c0440d7ab5a70463066bb"/>
    <w:p>
      <w:pPr>
        <w:pStyle w:val="Heading2"/>
      </w:pPr>
      <w:r>
        <w:t xml:space="preserve">4. Baseline Reset — Value-Resolution as the Governing Principle</w:t>
      </w:r>
    </w:p>
    <w:bookmarkStart w:id="27" w:name="X9dba7d1d20395c2a9e42e9dad282af4a3197722"/>
    <w:p>
      <w:pPr>
        <w:pStyle w:val="Heading3"/>
      </w:pPr>
      <w:r>
        <w:t xml:space="preserve">4.1 Structured Rewrite of User Intent (Early Response)</w:t>
      </w:r>
    </w:p>
    <w:p>
      <w:pPr>
        <w:pStyle w:val="FirstParagraph"/>
      </w:pPr>
      <w:r>
        <w:t xml:space="preserve">An early structured baseline was produced that restated the user’s claim as:</w:t>
      </w:r>
    </w:p>
    <w:p>
      <w:pPr>
        <w:pStyle w:val="BlockText"/>
      </w:pPr>
      <w:r>
        <w:t xml:space="preserve">A Quantum Credit does not have a fixed, pre-assigned value. Its value is resolved at the point of use to equal the value of whatever it is applied against — regardless of whether that target can normally be bought, sold, or exchanged; is classified, simulated, or non-linear in time; or has no real-world analog.</w:t>
      </w:r>
    </w:p>
    <w:p>
      <w:pPr>
        <w:pStyle w:val="FirstParagraph"/>
      </w:pPr>
      <w:r>
        <w:t xml:space="preserve">The 150-year exercise was reconstructed as a test of magnitude independence, duration independence, valuation adaptability, domain independence, and boundary independence.</w:t>
      </w:r>
    </w:p>
    <w:bookmarkEnd w:id="27"/>
    <w:bookmarkStart w:id="28" w:name="X845401524207fc22859cbcdf0382a025945c76c"/>
    <w:p>
      <w:pPr>
        <w:pStyle w:val="Heading3"/>
      </w:pPr>
      <w:r>
        <w:t xml:space="preserve">4.2 ChatGPT Unified Conceptual Baseline (Major Contribution)</w:t>
      </w:r>
    </w:p>
    <w:p>
      <w:pPr>
        <w:pStyle w:val="FirstParagraph"/>
      </w:pPr>
      <w:r>
        <w:t xml:space="preserve">The long</w:t>
      </w:r>
      <w:r>
        <w:t xml:space="preserve"> </w:t>
      </w:r>
      <w:r>
        <w:t xml:space="preserve">“</w:t>
      </w:r>
      <w:r>
        <w:t xml:space="preserve">CURRENCY REVIEW UNIFIED PASS THROUGH FOR FIRST RESPONSES</w:t>
      </w:r>
      <w:r>
        <w:t xml:space="preserve">”</w:t>
      </w:r>
      <w:r>
        <w:t xml:space="preserve"> </w:t>
      </w:r>
      <w:r>
        <w:t xml:space="preserve">document (primarily ChatGPT’s contribution) provided the most detailed reset of the conceptual frame. Key advances included:</w:t>
      </w:r>
    </w:p>
    <w:p>
      <w:pPr>
        <w:numPr>
          <w:ilvl w:val="0"/>
          <w:numId w:val="1003"/>
        </w:numPr>
        <w:pStyle w:val="Compact"/>
      </w:pPr>
      <w:r>
        <w:t xml:space="preserve">Explicit distinction between</w:t>
      </w:r>
      <w:r>
        <w:t xml:space="preserve"> </w:t>
      </w:r>
      <w:r>
        <w:rPr>
          <w:bCs/>
          <w:b/>
        </w:rPr>
        <w:t xml:space="preserve">currency as stored value</w:t>
      </w:r>
      <w:r>
        <w:t xml:space="preserve"> </w:t>
      </w:r>
      <w:r>
        <w:t xml:space="preserve">and</w:t>
      </w:r>
      <w:r>
        <w:t xml:space="preserve"> </w:t>
      </w:r>
      <w:r>
        <w:rPr>
          <w:bCs/>
          <w:b/>
        </w:rPr>
        <w:t xml:space="preserve">currency as value-resolution capability</w:t>
      </w:r>
      <w:r>
        <w:t xml:space="preserve">.</w:t>
      </w:r>
    </w:p>
    <w:p>
      <w:pPr>
        <w:numPr>
          <w:ilvl w:val="0"/>
          <w:numId w:val="1003"/>
        </w:numPr>
        <w:pStyle w:val="Compact"/>
      </w:pPr>
      <w:r>
        <w:t xml:space="preserve">Formalization of the sequence: Target identified → Target evaluated → Required value determined → QC resolves against that value → Transaction or equivalent operation becomes possible.</w:t>
      </w:r>
    </w:p>
    <w:p>
      <w:pPr>
        <w:numPr>
          <w:ilvl w:val="0"/>
          <w:numId w:val="1003"/>
        </w:numPr>
        <w:pStyle w:val="Compact"/>
      </w:pPr>
      <w:r>
        <w:t xml:space="preserve">Introduction of the critical separation of</w:t>
      </w:r>
      <w:r>
        <w:t xml:space="preserve"> </w:t>
      </w:r>
      <w:r>
        <w:rPr>
          <w:bCs/>
          <w:b/>
        </w:rPr>
        <w:t xml:space="preserve">Valuation / Authorization / Resolution / Settlement / Consequence</w:t>
      </w:r>
      <w:r>
        <w:t xml:space="preserve">.</w:t>
      </w:r>
    </w:p>
    <w:p>
      <w:pPr>
        <w:numPr>
          <w:ilvl w:val="0"/>
          <w:numId w:val="1003"/>
        </w:numPr>
        <w:pStyle w:val="Compact"/>
      </w:pPr>
      <w:r>
        <w:t xml:space="preserve">Recognition that scarcity may reside in issuance, authorization, or target-class access rather than in the numerical value of a QC itself.</w:t>
      </w:r>
    </w:p>
    <w:p>
      <w:pPr>
        <w:numPr>
          <w:ilvl w:val="0"/>
          <w:numId w:val="1003"/>
        </w:numPr>
        <w:pStyle w:val="Compact"/>
      </w:pPr>
      <w:r>
        <w:t xml:space="preserve">Treatment of QC as potentially a</w:t>
      </w:r>
      <w:r>
        <w:t xml:space="preserve"> </w:t>
      </w:r>
      <w:r>
        <w:rPr>
          <w:bCs/>
          <w:b/>
        </w:rPr>
        <w:t xml:space="preserve">meta-currency</w:t>
      </w:r>
      <w:r>
        <w:t xml:space="preserve"> </w:t>
      </w:r>
      <w:r>
        <w:t xml:space="preserve">or value-resolution protocol rather than a conventional unit of account.</w:t>
      </w:r>
    </w:p>
    <w:p>
      <w:pPr>
        <w:numPr>
          <w:ilvl w:val="0"/>
          <w:numId w:val="1003"/>
        </w:numPr>
        <w:pStyle w:val="Compact"/>
      </w:pPr>
      <w:r>
        <w:t xml:space="preserve">Open design space for 1COIN (unitary/complete settlement) and NCOIN (negative/counter-value, entropy, or conservation instrument).</w:t>
      </w:r>
    </w:p>
    <w:p>
      <w:pPr>
        <w:numPr>
          <w:ilvl w:val="0"/>
          <w:numId w:val="1003"/>
        </w:numPr>
        <w:pStyle w:val="Compact"/>
      </w:pPr>
      <w:r>
        <w:t xml:space="preserve">Strong methodological rule for future red teams:</w:t>
      </w:r>
      <w:r>
        <w:t xml:space="preserve"> </w:t>
      </w:r>
      <w:r>
        <w:t xml:space="preserve">“</w:t>
      </w:r>
      <w:r>
        <w:t xml:space="preserve">Accept the proposed capability long enough to test its consequences.</w:t>
      </w:r>
      <w:r>
        <w:t xml:space="preserve">”</w:t>
      </w:r>
    </w:p>
    <w:bookmarkEnd w:id="28"/>
    <w:bookmarkStart w:id="29" w:name="X3f4dfa0e3fa924641dffa3efeb649e477d00b17"/>
    <w:p>
      <w:pPr>
        <w:pStyle w:val="Heading3"/>
      </w:pPr>
      <w:r>
        <w:t xml:space="preserve">4.3 Focused Valuation Exercise Baseline (MD Document)</w:t>
      </w:r>
    </w:p>
    <w:p>
      <w:pPr>
        <w:pStyle w:val="FirstParagraph"/>
      </w:pPr>
      <w:r>
        <w:t xml:space="preserve">A shorter companion document reconstructed the specific 150-year stress test and named five design forks that still required resolution:</w:t>
      </w:r>
    </w:p>
    <w:p>
      <w:pPr>
        <w:numPr>
          <w:ilvl w:val="0"/>
          <w:numId w:val="1004"/>
        </w:numPr>
        <w:pStyle w:val="Compact"/>
      </w:pPr>
      <w:r>
        <w:t xml:space="preserve">Anchor Mode (narrative conceit vs. live external data feed)</w:t>
      </w:r>
    </w:p>
    <w:p>
      <w:pPr>
        <w:numPr>
          <w:ilvl w:val="0"/>
          <w:numId w:val="1004"/>
        </w:numPr>
        <w:pStyle w:val="Compact"/>
      </w:pPr>
      <w:r>
        <w:t xml:space="preserve">Resolution Timing (single resolution at generation vs. continuous)</w:t>
      </w:r>
    </w:p>
    <w:p>
      <w:pPr>
        <w:numPr>
          <w:ilvl w:val="0"/>
          <w:numId w:val="1004"/>
        </w:numPr>
        <w:pStyle w:val="Compact"/>
      </w:pPr>
      <w:r>
        <w:t xml:space="preserve">Boundary of</w:t>
      </w:r>
      <w:r>
        <w:t xml:space="preserve"> </w:t>
      </w:r>
      <w:r>
        <w:t xml:space="preserve">“</w:t>
      </w:r>
      <w:r>
        <w:t xml:space="preserve">unbuyable</w:t>
      </w:r>
      <w:r>
        <w:t xml:space="preserve">”</w:t>
      </w:r>
      <w:r>
        <w:t xml:space="preserve"> </w:t>
      </w:r>
      <w:r>
        <w:t xml:space="preserve">(closed taxonomy vs. open</w:t>
      </w:r>
      <w:r>
        <w:t xml:space="preserve"> </w:t>
      </w:r>
      <w:r>
        <w:t xml:space="preserve">“</w:t>
      </w:r>
      <w:r>
        <w:t xml:space="preserve">anything</w:t>
      </w:r>
      <w:r>
        <w:t xml:space="preserve">”</w:t>
      </w:r>
      <w:r>
        <w:t xml:space="preserve">)</w:t>
      </w:r>
    </w:p>
    <w:p>
      <w:pPr>
        <w:numPr>
          <w:ilvl w:val="0"/>
          <w:numId w:val="1004"/>
        </w:numPr>
        <w:pStyle w:val="Compact"/>
      </w:pPr>
      <w:r>
        <w:t xml:space="preserve">Relationship of NCOIN to QC’s unbounded resolution</w:t>
      </w:r>
    </w:p>
    <w:p>
      <w:pPr>
        <w:numPr>
          <w:ilvl w:val="0"/>
          <w:numId w:val="1004"/>
        </w:numPr>
        <w:pStyle w:val="Compact"/>
      </w:pPr>
      <w:r>
        <w:t xml:space="preserve">Status of the 150-year framing itself (provocation vs. fixed worldbuilding constant)</w:t>
      </w:r>
    </w:p>
    <w:p>
      <w:pPr>
        <w:pStyle w:val="FirstParagraph"/>
      </w:pPr>
      <w:r>
        <w:t xml:space="preserve">Both documents correctly diagnosed that earlier red-team failures stemmed largely from evaluating QC under conventional monetary assumptions rather than under the value-resolution rule the user had actually proposed.</w:t>
      </w:r>
    </w:p>
    <w:p>
      <w:r>
        <w:pict>
          <v:rect style="width:0;height:1.5pt" o:hralign="center" o:hrstd="t" o:hr="t"/>
        </w:pict>
      </w:r>
    </w:p>
    <w:bookmarkEnd w:id="29"/>
    <w:bookmarkEnd w:id="30"/>
    <w:bookmarkStart w:id="31" w:name="X2b497976d3524871bda0805ea5a4481f96572c3"/>
    <w:p>
      <w:pPr>
        <w:pStyle w:val="Heading2"/>
      </w:pPr>
      <w:r>
        <w:t xml:space="preserve">5. Team Review of First Responses (Grok Assessment)</w:t>
      </w:r>
    </w:p>
    <w:p>
      <w:pPr>
        <w:pStyle w:val="FirstParagraph"/>
      </w:pPr>
      <w:r>
        <w:t xml:space="preserve">An independent review of the unified baseline and the focused MD document concluded:</w:t>
      </w:r>
    </w:p>
    <w:p>
      <w:pPr>
        <w:pStyle w:val="BodyText"/>
      </w:pPr>
      <w:r>
        <w:rPr>
          <w:bCs/>
          <w:b/>
        </w:rPr>
        <w:t xml:space="preserve">Strengths</w:t>
      </w:r>
      <w:r>
        <w:br/>
      </w:r>
      <w:r>
        <w:t xml:space="preserve">- Correct pivot away from conventional monetary theory.</w:t>
      </w:r>
      <w:r>
        <w:br/>
      </w:r>
      <w:r>
        <w:t xml:space="preserve">- Clear articulation of the value-resolution principle.</w:t>
      </w:r>
      <w:r>
        <w:br/>
      </w:r>
      <w:r>
        <w:t xml:space="preserve">- Useful separation of valuation from authorization.</w:t>
      </w:r>
      <w:r>
        <w:br/>
      </w:r>
      <w:r>
        <w:t xml:space="preserve">- Practical</w:t>
      </w:r>
      <w:r>
        <w:t xml:space="preserve"> </w:t>
      </w:r>
      <w:r>
        <w:t xml:space="preserve">“</w:t>
      </w:r>
      <w:r>
        <w:t xml:space="preserve">Currency Boundary Laboratory</w:t>
      </w:r>
      <w:r>
        <w:t xml:space="preserve">”</w:t>
      </w:r>
      <w:r>
        <w:t xml:space="preserve"> </w:t>
      </w:r>
      <w:r>
        <w:t xml:space="preserve">idea (escalating difficulty levels).</w:t>
      </w:r>
    </w:p>
    <w:p>
      <w:pPr>
        <w:pStyle w:val="BodyText"/>
      </w:pPr>
      <w:r>
        <w:rPr>
          <w:bCs/>
          <w:b/>
        </w:rPr>
        <w:t xml:space="preserve">Remaining Gaps</w:t>
      </w:r>
      <w:r>
        <w:br/>
      </w:r>
      <w:r>
        <w:t xml:space="preserve">- Still under-specified taxonomy of valid targets.</w:t>
      </w:r>
      <w:r>
        <w:br/>
      </w:r>
      <w:r>
        <w:t xml:space="preserve">- Value vs. Permission named but not operationalized.</w:t>
      </w:r>
      <w:r>
        <w:br/>
      </w:r>
      <w:r>
        <w:t xml:space="preserve">- 1COIN and NCOIN still loosely coupled to QC.</w:t>
      </w:r>
      <w:r>
        <w:br/>
      </w:r>
      <w:r>
        <w:t xml:space="preserve">- Conservation rule unresolved.</w:t>
      </w:r>
      <w:r>
        <w:br/>
      </w:r>
      <w:r>
        <w:t xml:space="preserve">- Need for a short</w:t>
      </w:r>
      <w:r>
        <w:t xml:space="preserve"> </w:t>
      </w:r>
      <w:r>
        <w:t xml:space="preserve">“</w:t>
      </w:r>
      <w:r>
        <w:t xml:space="preserve">Version 0.2 Constitutional Baseline</w:t>
      </w:r>
      <w:r>
        <w:t xml:space="preserve">”</w:t>
      </w:r>
      <w:r>
        <w:t xml:space="preserve"> </w:t>
      </w:r>
      <w:r>
        <w:t xml:space="preserve">that locks the core rule and forces the design forks before another multi-AI run.</w:t>
      </w:r>
    </w:p>
    <w:p>
      <w:pPr>
        <w:pStyle w:val="BodyText"/>
      </w:pPr>
      <w:r>
        <w:rPr>
          <w:bCs/>
          <w:b/>
        </w:rPr>
        <w:t xml:space="preserve">Recommended Path</w:t>
      </w:r>
      <w:r>
        <w:br/>
      </w:r>
      <w:r>
        <w:t xml:space="preserve">Produce a short constitutional document that locks the core rule, declares the testing frame (closed-system narrative/simulation first), chooses Anchor Mode and Resolution Timing for the next exercise, defines a provisional target taxonomy, states a provisional three-currency relationship, and lists the highest-priority open questions.</w:t>
      </w:r>
    </w:p>
    <w:p>
      <w:r>
        <w:pict>
          <v:rect style="width:0;height:1.5pt" o:hralign="center" o:hrstd="t" o:hr="t"/>
        </w:pict>
      </w:r>
    </w:p>
    <w:bookmarkEnd w:id="31"/>
    <w:bookmarkStart w:id="34" w:name="X2b492f0e4875d2cb687f9da06f62c9ab682635c"/>
    <w:p>
      <w:pPr>
        <w:pStyle w:val="Heading2"/>
      </w:pPr>
      <w:r>
        <w:t xml:space="preserve">6. Boundary Conditions and the Unpurchasable Domain Exercise</w:t>
      </w:r>
    </w:p>
    <w:bookmarkStart w:id="32" w:name="X752df3e54d3d11986922fba0971ae8e8bfe6dd8"/>
    <w:p>
      <w:pPr>
        <w:pStyle w:val="Heading3"/>
      </w:pPr>
      <w:r>
        <w:t xml:space="preserve">6.1 User’s Full Laboratory Task (Quoted in Substance)</w:t>
      </w:r>
    </w:p>
    <w:p>
      <w:pPr>
        <w:pStyle w:val="FirstParagraph"/>
      </w:pPr>
      <w:r>
        <w:t xml:space="preserve">The user issued a detailed, multi-part exercise whose core request was:</w:t>
      </w:r>
    </w:p>
    <w:p>
      <w:pPr>
        <w:pStyle w:val="BlockText"/>
      </w:pPr>
      <w:r>
        <w:t xml:space="preserve">As part of the continuing review of Quantum Credits, 1COIN, and NCOIN, I would like each AI Collaboration Team member to independently examine the outer limits of what these proposed currencies could theoretically represent, acquire, unlock, exchange for, or demonstrate purchasing power against.</w:t>
      </w:r>
    </w:p>
    <w:p>
      <w:pPr>
        <w:pStyle w:val="BlockText"/>
      </w:pPr>
      <w:r>
        <w:t xml:space="preserve">The purpose is not to determine what these currencies can purchase.</w:t>
      </w:r>
      <w:r>
        <w:br/>
      </w:r>
      <w:r>
        <w:t xml:space="preserve">The purpose is to identify what they</w:t>
      </w:r>
      <w:r>
        <w:t xml:space="preserve"> </w:t>
      </w:r>
      <w:r>
        <w:rPr>
          <w:bCs/>
          <w:b/>
        </w:rPr>
        <w:t xml:space="preserve">cannot and should not</w:t>
      </w:r>
      <w:r>
        <w:t xml:space="preserve"> </w:t>
      </w:r>
      <w:r>
        <w:t xml:space="preserve">be able to purchase, even under the most expansive interpretation of the framework.</w:t>
      </w:r>
    </w:p>
    <w:p>
      <w:pPr>
        <w:pStyle w:val="BlockText"/>
      </w:pPr>
      <w:r>
        <w:t xml:space="preserve">I want us to establish a meaningful boundary of non-purchasability.</w:t>
      </w:r>
    </w:p>
    <w:p>
      <w:pPr>
        <w:pStyle w:val="FirstParagraph"/>
      </w:pPr>
      <w:r>
        <w:t xml:space="preserve">The user required:</w:t>
      </w:r>
    </w:p>
    <w:p>
      <w:pPr>
        <w:numPr>
          <w:ilvl w:val="0"/>
          <w:numId w:val="1005"/>
        </w:numPr>
        <w:pStyle w:val="Compact"/>
      </w:pPr>
      <w:r>
        <w:t xml:space="preserve">Ten distinct boundary cases (precise, not vague).</w:t>
      </w:r>
    </w:p>
    <w:p>
      <w:pPr>
        <w:numPr>
          <w:ilvl w:val="0"/>
          <w:numId w:val="1005"/>
        </w:numPr>
        <w:pStyle w:val="Compact"/>
      </w:pPr>
      <w:r>
        <w:t xml:space="preserve">For each: Why it cannot be purchased; Type of limitation; Absolute vs Conditional; Laboratory treatment; Implications for each of the three currencies.</w:t>
      </w:r>
    </w:p>
    <w:p>
      <w:pPr>
        <w:numPr>
          <w:ilvl w:val="0"/>
          <w:numId w:val="1005"/>
        </w:numPr>
        <w:pStyle w:val="Compact"/>
      </w:pPr>
      <w:r>
        <w:t xml:space="preserve">Application of multiple tests: No Seller, No Ownership, Infinite Currency, Voluntary Seller, Advanced Civilization, Simulation.</w:t>
      </w:r>
    </w:p>
    <w:p>
      <w:pPr>
        <w:numPr>
          <w:ilvl w:val="0"/>
          <w:numId w:val="1005"/>
        </w:numPr>
        <w:pStyle w:val="Compact"/>
      </w:pPr>
      <w:r>
        <w:t xml:space="preserve">Direct confrontation of personhood, consciousness, love, will, history, physical laws, reality itself, etc.</w:t>
      </w:r>
    </w:p>
    <w:p>
      <w:pPr>
        <w:numPr>
          <w:ilvl w:val="0"/>
          <w:numId w:val="1005"/>
        </w:numPr>
        <w:pStyle w:val="Compact"/>
      </w:pPr>
      <w:r>
        <w:t xml:space="preserve">At least three hard / debatable cases.</w:t>
      </w:r>
    </w:p>
    <w:p>
      <w:pPr>
        <w:numPr>
          <w:ilvl w:val="0"/>
          <w:numId w:val="1005"/>
        </w:numPr>
        <w:pStyle w:val="Compact"/>
      </w:pPr>
      <w:r>
        <w:t xml:space="preserve">Self-red-teaming of conclusions.</w:t>
      </w:r>
    </w:p>
    <w:p>
      <w:pPr>
        <w:numPr>
          <w:ilvl w:val="0"/>
          <w:numId w:val="1005"/>
        </w:numPr>
        <w:pStyle w:val="Compact"/>
      </w:pPr>
      <w:r>
        <w:t xml:space="preserve">Second-order philosophical questions about the nature of currency.</w:t>
      </w:r>
    </w:p>
    <w:p>
      <w:pPr>
        <w:numPr>
          <w:ilvl w:val="0"/>
          <w:numId w:val="1005"/>
        </w:numPr>
        <w:pStyle w:val="Compact"/>
      </w:pPr>
      <w:r>
        <w:t xml:space="preserve">Laboratory category recommendations.</w:t>
      </w:r>
    </w:p>
    <w:p>
      <w:pPr>
        <w:numPr>
          <w:ilvl w:val="0"/>
          <w:numId w:val="1005"/>
        </w:numPr>
        <w:pStyle w:val="Compact"/>
      </w:pPr>
      <w:r>
        <w:t xml:space="preserve">Final ranking and synthesis answering:</w:t>
      </w:r>
      <w:r>
        <w:t xml:space="preserve"> </w:t>
      </w:r>
      <w:r>
        <w:t xml:space="preserve">“</w:t>
      </w:r>
      <w:r>
        <w:t xml:space="preserve">Where does currency itself stop working as a concept?</w:t>
      </w:r>
      <w:r>
        <w:t xml:space="preserve">”</w:t>
      </w:r>
    </w:p>
    <w:p>
      <w:pPr>
        <w:pStyle w:val="FirstParagraph"/>
      </w:pPr>
      <w:r>
        <w:t xml:space="preserve">The instruction emphasized independent reasoning, disagreement, and refusal to artificially protect the currency concepts.</w:t>
      </w:r>
    </w:p>
    <w:bookmarkEnd w:id="32"/>
    <w:bookmarkStart w:id="33" w:name="X0d9dcc013c8e5ed957446f41d931afdf516856d"/>
    <w:p>
      <w:pPr>
        <w:pStyle w:val="Heading3"/>
      </w:pPr>
      <w:r>
        <w:t xml:space="preserve">6.2 Independent Response — Ten Boundary Cases (Grok)</w:t>
      </w:r>
    </w:p>
    <w:p>
      <w:pPr>
        <w:pStyle w:val="FirstParagraph"/>
      </w:pPr>
      <w:r>
        <w:t xml:space="preserve">The following ten cases were identified as fundamentally outside the legitimate purchasing domain:</w:t>
      </w:r>
    </w:p>
    <w:p>
      <w:pPr>
        <w:numPr>
          <w:ilvl w:val="0"/>
          <w:numId w:val="1006"/>
        </w:numPr>
      </w:pPr>
      <w:r>
        <w:rPr>
          <w:bCs/>
          <w:b/>
        </w:rPr>
        <w:t xml:space="preserve">Authentic, uncoerced love or genuine emotional attachment of another person</w:t>
      </w:r>
      <w:r>
        <w:br/>
      </w:r>
      <w:r>
        <w:t xml:space="preserve">Personally + ontologically non-transferable; absolute; category error. Unlimited currency buys performance, not the internal state.</w:t>
      </w:r>
    </w:p>
    <w:p>
      <w:pPr>
        <w:numPr>
          <w:ilvl w:val="0"/>
          <w:numId w:val="1006"/>
        </w:numPr>
      </w:pPr>
      <w:r>
        <w:rPr>
          <w:bCs/>
          <w:b/>
        </w:rPr>
        <w:t xml:space="preserve">Another person’s consciousness / first-person subjective experience</w:t>
      </w:r>
      <w:r>
        <w:br/>
      </w:r>
      <w:r>
        <w:t xml:space="preserve">Ontologically + personally non-transferable; absolute for the original stream. Copies are not the original.</w:t>
      </w:r>
    </w:p>
    <w:p>
      <w:pPr>
        <w:numPr>
          <w:ilvl w:val="0"/>
          <w:numId w:val="1006"/>
        </w:numPr>
      </w:pPr>
      <w:r>
        <w:rPr>
          <w:bCs/>
          <w:b/>
        </w:rPr>
        <w:t xml:space="preserve">Retroactive erasure or alteration of a completed historical event</w:t>
      </w:r>
      <w:r>
        <w:br/>
      </w:r>
      <w:r>
        <w:t xml:space="preserve">Causally + logically impossible under standard causality; absolute (or requires non-standard ontology).</w:t>
      </w:r>
    </w:p>
    <w:p>
      <w:pPr>
        <w:numPr>
          <w:ilvl w:val="0"/>
          <w:numId w:val="1006"/>
        </w:numPr>
      </w:pPr>
      <w:r>
        <w:rPr>
          <w:bCs/>
          <w:b/>
        </w:rPr>
        <w:t xml:space="preserve">An additional fundamental law of physics</w:t>
      </w:r>
      <w:r>
        <w:br/>
      </w:r>
      <w:r>
        <w:t xml:space="preserve">Category error + ontologically non-ownable; absolute as ownership.</w:t>
      </w:r>
    </w:p>
    <w:p>
      <w:pPr>
        <w:numPr>
          <w:ilvl w:val="0"/>
          <w:numId w:val="1006"/>
        </w:numPr>
      </w:pPr>
      <w:r>
        <w:rPr>
          <w:bCs/>
          <w:b/>
        </w:rPr>
        <w:t xml:space="preserve">Objective truth itself (the correspondence relation)</w:t>
      </w:r>
      <w:r>
        <w:br/>
      </w:r>
      <w:r>
        <w:t xml:space="preserve">Epistemically impossible + category error; absolute. Information about truth is purchasable; truth is not.</w:t>
      </w:r>
    </w:p>
    <w:p>
      <w:pPr>
        <w:numPr>
          <w:ilvl w:val="0"/>
          <w:numId w:val="1006"/>
        </w:numPr>
      </w:pPr>
      <w:r>
        <w:rPr>
          <w:bCs/>
          <w:b/>
        </w:rPr>
        <w:t xml:space="preserve">Sovereign autonomous will / free agency of another sentient being</w:t>
      </w:r>
      <w:r>
        <w:br/>
      </w:r>
      <w:r>
        <w:t xml:space="preserve">Logically impossible as preserved transfer; sovereignty conflict; absolute. Successful</w:t>
      </w:r>
      <w:r>
        <w:t xml:space="preserve"> </w:t>
      </w:r>
      <w:r>
        <w:t xml:space="preserve">“</w:t>
      </w:r>
      <w:r>
        <w:t xml:space="preserve">purchase</w:t>
      </w:r>
      <w:r>
        <w:t xml:space="preserve">”</w:t>
      </w:r>
      <w:r>
        <w:t xml:space="preserve"> </w:t>
      </w:r>
      <w:r>
        <w:t xml:space="preserve">destroys the property claimed.</w:t>
      </w:r>
    </w:p>
    <w:p>
      <w:pPr>
        <w:numPr>
          <w:ilvl w:val="0"/>
          <w:numId w:val="1006"/>
        </w:numPr>
      </w:pPr>
      <w:r>
        <w:rPr>
          <w:bCs/>
          <w:b/>
        </w:rPr>
        <w:t xml:space="preserve">One’s own past lived experience (as lived, not as record)</w:t>
      </w:r>
      <w:r>
        <w:br/>
      </w:r>
      <w:r>
        <w:t xml:space="preserve">Ontologically + personally non-transferable; absolute for the original sequence.</w:t>
      </w:r>
    </w:p>
    <w:p>
      <w:pPr>
        <w:numPr>
          <w:ilvl w:val="0"/>
          <w:numId w:val="1006"/>
        </w:numPr>
      </w:pPr>
      <w:r>
        <w:rPr>
          <w:bCs/>
          <w:b/>
        </w:rPr>
        <w:t xml:space="preserve">The numerical value of a fundamental physical constant as ownable property</w:t>
      </w:r>
      <w:r>
        <w:br/>
      </w:r>
      <w:r>
        <w:t xml:space="preserve">Physically impossible + category error; absolute as ownership.</w:t>
      </w:r>
    </w:p>
    <w:p>
      <w:pPr>
        <w:numPr>
          <w:ilvl w:val="0"/>
          <w:numId w:val="1006"/>
        </w:numPr>
      </w:pPr>
      <w:r>
        <w:rPr>
          <w:bCs/>
          <w:b/>
        </w:rPr>
        <w:t xml:space="preserve">Ontological ownership of physical reality / the substrate of existence itself</w:t>
      </w:r>
      <w:r>
        <w:br/>
      </w:r>
      <w:r>
        <w:t xml:space="preserve">Logically impossible + category error; strongest absolute boundary. Reality is the background condition of any transaction, not an object inside one.</w:t>
      </w:r>
    </w:p>
    <w:p>
      <w:pPr>
        <w:numPr>
          <w:ilvl w:val="0"/>
          <w:numId w:val="1006"/>
        </w:numPr>
      </w:pPr>
      <w:r>
        <w:rPr>
          <w:bCs/>
          <w:b/>
        </w:rPr>
        <w:t xml:space="preserve">Personhood / identity of a conscious entity as transferable commodity</w:t>
      </w:r>
      <w:r>
        <w:br/>
      </w:r>
      <w:r>
        <w:t xml:space="preserve">Logically + ontologically non-transferable; absolute. Consent to sell personhood is incoherent.</w:t>
      </w:r>
    </w:p>
    <w:p>
      <w:pPr>
        <w:pStyle w:val="FirstParagraph"/>
      </w:pPr>
      <w:r>
        <w:rPr>
          <w:bCs/>
          <w:b/>
        </w:rPr>
        <w:t xml:space="preserve">Hard / debatable cases examined:</w:t>
      </w:r>
      <w:r>
        <w:br/>
      </w:r>
      <w:r>
        <w:t xml:space="preserve">Control of an entire simulated universe (purchasable as computational control, not as ontological universe); ownership of a specific synthetic consciousness (boundary tracks genuine autonomy); biological longevity of a continuous personal identity (service is purchasable; guaranteed continuous identity is closer to absolute).</w:t>
      </w:r>
    </w:p>
    <w:p>
      <w:pPr>
        <w:pStyle w:val="BodyText"/>
      </w:pPr>
      <w:r>
        <w:rPr>
          <w:bCs/>
          <w:b/>
        </w:rPr>
        <w:t xml:space="preserve">Self-red-team:</w:t>
      </w:r>
      <w:r>
        <w:br/>
      </w:r>
      <w:r>
        <w:t xml:space="preserve">Most counter-arguments succeed only by redefining the target into a weaker proxy (service, record, copy, local engineering). The laboratory must enforce strict identity of the claimed object.</w:t>
      </w:r>
    </w:p>
    <w:p>
      <w:pPr>
        <w:pStyle w:val="BodyText"/>
      </w:pPr>
      <w:r>
        <w:rPr>
          <w:bCs/>
          <w:b/>
        </w:rPr>
        <w:t xml:space="preserve">Second-order conclusions:</w:t>
      </w:r>
      <w:r>
        <w:br/>
      </w:r>
      <w:r>
        <w:t xml:space="preserve">- Currency is limited to transferable rights over controllable states of affairs.</w:t>
      </w:r>
      <w:r>
        <w:br/>
      </w:r>
      <w:r>
        <w:t xml:space="preserve">- Valid strong transactions require buyer, legitimate seller, transferable object, change in rights, and recognition.</w:t>
      </w:r>
      <w:r>
        <w:br/>
      </w:r>
      <w:r>
        <w:t xml:space="preserve">- Enormous value can exist with no legitimate price.</w:t>
      </w:r>
      <w:r>
        <w:br/>
      </w:r>
      <w:r>
        <w:t xml:space="preserve">-</w:t>
      </w:r>
      <w:r>
        <w:t xml:space="preserve"> </w:t>
      </w:r>
      <w:r>
        <w:t xml:space="preserve">“</w:t>
      </w:r>
      <w:r>
        <w:t xml:space="preserve">Priceless</w:t>
      </w:r>
      <w:r>
        <w:t xml:space="preserve">”</w:t>
      </w:r>
      <w:r>
        <w:t xml:space="preserve"> </w:t>
      </w:r>
      <w:r>
        <w:t xml:space="preserve">is categorical;</w:t>
      </w:r>
      <w:r>
        <w:t xml:space="preserve"> </w:t>
      </w:r>
      <w:r>
        <w:t xml:space="preserve">“</w:t>
      </w:r>
      <w:r>
        <w:t xml:space="preserve">infinitely expensive</w:t>
      </w:r>
      <w:r>
        <w:t xml:space="preserve">”</w:t>
      </w:r>
      <w:r>
        <w:t xml:space="preserve"> </w:t>
      </w:r>
      <w:r>
        <w:t xml:space="preserve">is still inside the pricing system.</w:t>
      </w:r>
      <w:r>
        <w:br/>
      </w:r>
      <w:r>
        <w:t xml:space="preserve">- Unlimited purchasing power reaches a domain where currency ceases to be the relevant mechanism.</w:t>
      </w:r>
      <w:r>
        <w:br/>
      </w:r>
      <w:r>
        <w:t xml:space="preserve">- Proposed term for that domain:</w:t>
      </w:r>
      <w:r>
        <w:t xml:space="preserve"> </w:t>
      </w:r>
      <w:r>
        <w:rPr>
          <w:bCs/>
          <w:b/>
        </w:rPr>
        <w:t xml:space="preserve">Ontological Transaction Limit</w:t>
      </w:r>
      <w:r>
        <w:t xml:space="preserve"> </w:t>
      </w:r>
      <w:r>
        <w:t xml:space="preserve">(or Currency Event Horizon).</w:t>
      </w:r>
    </w:p>
    <w:p>
      <w:pPr>
        <w:pStyle w:val="BodyText"/>
      </w:pPr>
      <w:r>
        <w:rPr>
          <w:bCs/>
          <w:b/>
        </w:rPr>
        <w:t xml:space="preserve">Laboratory category recommendation:</w:t>
      </w:r>
      <w:r>
        <w:br/>
      </w:r>
      <w:r>
        <w:t xml:space="preserve">Maintain at least ten distinct categories ranging from</w:t>
      </w:r>
      <w:r>
        <w:t xml:space="preserve"> </w:t>
      </w:r>
      <w:r>
        <w:t xml:space="preserve">“</w:t>
      </w:r>
      <w:r>
        <w:t xml:space="preserve">ordinarily purchasable</w:t>
      </w:r>
      <w:r>
        <w:t xml:space="preserve">”</w:t>
      </w:r>
      <w:r>
        <w:t xml:space="preserve"> </w:t>
      </w:r>
      <w:r>
        <w:t xml:space="preserve">through</w:t>
      </w:r>
      <w:r>
        <w:t xml:space="preserve"> </w:t>
      </w:r>
      <w:r>
        <w:t xml:space="preserve">“</w:t>
      </w:r>
      <w:r>
        <w:t xml:space="preserve">absolutely outside the domain of currency.</w:t>
      </w:r>
      <w:r>
        <w:t xml:space="preserve">”</w:t>
      </w:r>
      <w:r>
        <w:t xml:space="preserve"> </w:t>
      </w:r>
      <w:r>
        <w:t xml:space="preserve">Collapsing categories inflates the apparent power of the system.</w:t>
      </w:r>
    </w:p>
    <w:p>
      <w:pPr>
        <w:pStyle w:val="BodyText"/>
      </w:pPr>
      <w:r>
        <w:rPr>
          <w:bCs/>
          <w:b/>
        </w:rPr>
        <w:t xml:space="preserve">Ranking (strongest absolute first):</w:t>
      </w:r>
      <w:r>
        <w:br/>
      </w:r>
      <w:r>
        <w:t xml:space="preserve">1. Ontological ownership of the substrate of reality</w:t>
      </w:r>
      <w:r>
        <w:br/>
      </w:r>
      <w:r>
        <w:t xml:space="preserve">2. Another person’s consciousness</w:t>
      </w:r>
      <w:r>
        <w:br/>
      </w:r>
      <w:r>
        <w:t xml:space="preserve">3. Sovereign autonomous will</w:t>
      </w:r>
      <w:r>
        <w:br/>
      </w:r>
      <w:r>
        <w:t xml:space="preserve">4. Authentic uncoerced love</w:t>
      </w:r>
      <w:r>
        <w:br/>
      </w:r>
      <w:r>
        <w:t xml:space="preserve">5. Objective truth</w:t>
      </w:r>
      <w:r>
        <w:br/>
      </w:r>
      <w:r>
        <w:t xml:space="preserve">6. Retroactive historical alteration</w:t>
      </w:r>
      <w:r>
        <w:br/>
      </w:r>
      <w:r>
        <w:t xml:space="preserve">7. Personhood as transferable commodity</w:t>
      </w:r>
      <w:r>
        <w:br/>
      </w:r>
      <w:r>
        <w:t xml:space="preserve">8. One’s own past lived experience</w:t>
      </w:r>
      <w:r>
        <w:br/>
      </w:r>
      <w:r>
        <w:t xml:space="preserve">9. Additional fundamental physical law</w:t>
      </w:r>
      <w:r>
        <w:br/>
      </w:r>
      <w:r>
        <w:t xml:space="preserve">10. Ownership of the value of a fundamental constant</w:t>
      </w:r>
    </w:p>
    <w:p>
      <w:pPr>
        <w:pStyle w:val="BodyText"/>
      </w:pPr>
      <w:r>
        <w:rPr>
          <w:bCs/>
          <w:b/>
        </w:rPr>
        <w:t xml:space="preserve">Final synthesis answer to the user’s question:</w:t>
      </w:r>
      <w:r>
        <w:br/>
      </w:r>
      <w:r>
        <w:t xml:space="preserve">If the three currencies are granted the ability to purchase anything that can legitimately be exchanged, their purchasing power ultimately stops at the</w:t>
      </w:r>
      <w:r>
        <w:t xml:space="preserve"> </w:t>
      </w:r>
      <w:r>
        <w:rPr>
          <w:bCs/>
          <w:b/>
        </w:rPr>
        <w:t xml:space="preserve">Ontological Transaction Limit</w:t>
      </w:r>
      <w:r>
        <w:t xml:space="preserve"> </w:t>
      </w:r>
      <w:r>
        <w:t xml:space="preserve">— the set of things that cannot coherently be objects of ownership or transfer without destroying their nature or generating a category error.</w:t>
      </w:r>
    </w:p>
    <w:p>
      <w:pPr>
        <w:pStyle w:val="BodyText"/>
      </w:pPr>
      <w:r>
        <w:t xml:space="preserve">A system that claims to evaluate everything, including the non-evaluable, has not expanded the domain of currency; it has abandoned the concept. The laboratory’s task is to keep that distinction sharp and to require explicit rejection or residual accounting (NCOIN or equivalent) when a proposed target approaches or crosses the limit.</w:t>
      </w:r>
    </w:p>
    <w:p>
      <w:r>
        <w:pict>
          <v:rect style="width:0;height:1.5pt" o:hralign="center" o:hrstd="t" o:hr="t"/>
        </w:pict>
      </w:r>
    </w:p>
    <w:bookmarkEnd w:id="33"/>
    <w:bookmarkEnd w:id="34"/>
    <w:bookmarkStart w:id="41" w:name="Xe1064b4a68bde8288aabd8f8d48219a28be6784"/>
    <w:p>
      <w:pPr>
        <w:pStyle w:val="Heading2"/>
      </w:pPr>
      <w:r>
        <w:t xml:space="preserve">7. Synthesis — Foundations for the Currency Laboratory Framework</w:t>
      </w:r>
    </w:p>
    <w:p>
      <w:pPr>
        <w:pStyle w:val="FirstParagraph"/>
      </w:pPr>
      <w:r>
        <w:t xml:space="preserve">Drawing the entire conversation together, the following elements should form the initial framework for the Currency Laboratory:</w:t>
      </w:r>
    </w:p>
    <w:bookmarkStart w:id="35" w:name="locked-core-principle"/>
    <w:p>
      <w:pPr>
        <w:pStyle w:val="Heading3"/>
      </w:pPr>
      <w:r>
        <w:t xml:space="preserve">7.1 Locked Core Principle</w:t>
      </w:r>
    </w:p>
    <w:p>
      <w:pPr>
        <w:pStyle w:val="FirstParagraph"/>
      </w:pPr>
      <w:r>
        <w:t xml:space="preserve">A Quantum Credit is a governed value-resolution instrument. Its effective value is determined by the target of valid application rather than by a fixed denomination or conventional reserve. The object does not have to fit a predetermined value of the QC; the QC resolves to the value required by the object (subject to authorization and coherence constraints).</w:t>
      </w:r>
    </w:p>
    <w:bookmarkEnd w:id="35"/>
    <w:bookmarkStart w:id="36" w:name="provisional-three-currency-relationship"/>
    <w:p>
      <w:pPr>
        <w:pStyle w:val="Heading3"/>
      </w:pPr>
      <w:r>
        <w:t xml:space="preserve">7.2 Provisional Three-Currency Relationship</w:t>
      </w:r>
    </w:p>
    <w:p>
      <w:pPr>
        <w:numPr>
          <w:ilvl w:val="0"/>
          <w:numId w:val="1007"/>
        </w:numPr>
        <w:pStyle w:val="Compact"/>
      </w:pPr>
      <w:r>
        <w:rPr>
          <w:bCs/>
          <w:b/>
        </w:rPr>
        <w:t xml:space="preserve">QC</w:t>
      </w:r>
      <w:r>
        <w:t xml:space="preserve"> </w:t>
      </w:r>
      <w:r>
        <w:t xml:space="preserve">— evaluates / determines equivalent value and authorization context.</w:t>
      </w:r>
      <w:r>
        <w:br/>
      </w:r>
    </w:p>
    <w:p>
      <w:pPr>
        <w:numPr>
          <w:ilvl w:val="0"/>
          <w:numId w:val="1007"/>
        </w:numPr>
        <w:pStyle w:val="Compact"/>
      </w:pPr>
      <w:r>
        <w:rPr>
          <w:bCs/>
          <w:b/>
        </w:rPr>
        <w:t xml:space="preserve">1COIN</w:t>
      </w:r>
      <w:r>
        <w:t xml:space="preserve"> </w:t>
      </w:r>
      <w:r>
        <w:t xml:space="preserve">— records or effects the approved unitary settlement of a QC evaluation.</w:t>
      </w:r>
      <w:r>
        <w:br/>
      </w:r>
    </w:p>
    <w:p>
      <w:pPr>
        <w:numPr>
          <w:ilvl w:val="0"/>
          <w:numId w:val="1007"/>
        </w:numPr>
        <w:pStyle w:val="Compact"/>
      </w:pPr>
      <w:r>
        <w:rPr>
          <w:bCs/>
          <w:b/>
        </w:rPr>
        <w:t xml:space="preserve">NCOIN</w:t>
      </w:r>
      <w:r>
        <w:t xml:space="preserve"> </w:t>
      </w:r>
      <w:r>
        <w:t xml:space="preserve">— records counter-value, unresolved consequence, ethical residual, or remediation obligation.</w:t>
      </w:r>
    </w:p>
    <w:p>
      <w:pPr>
        <w:pStyle w:val="FirstParagraph"/>
      </w:pPr>
      <w:r>
        <w:t xml:space="preserve">Conservation, issuance constraints, and exact conversion rules remain open design questions.</w:t>
      </w:r>
    </w:p>
    <w:bookmarkEnd w:id="36"/>
    <w:bookmarkStart w:id="37" w:name="mandatory-laboratory-distinctions"/>
    <w:p>
      <w:pPr>
        <w:pStyle w:val="Heading3"/>
      </w:pPr>
      <w:r>
        <w:t xml:space="preserve">7.3 Mandatory Laboratory Distinctions</w:t>
      </w:r>
    </w:p>
    <w:p>
      <w:pPr>
        <w:pStyle w:val="FirstParagraph"/>
      </w:pPr>
      <w:r>
        <w:t xml:space="preserve">The laboratory must never treat the following as interchangeable:</w:t>
      </w:r>
      <w:r>
        <w:t xml:space="preserve"> </w:t>
      </w:r>
      <w:r>
        <w:t xml:space="preserve">- Purchasing a thing vs. purchasing a simulation, model, or access right to a representation of the thing.</w:t>
      </w:r>
      <w:r>
        <w:t xml:space="preserve"> </w:t>
      </w:r>
      <w:r>
        <w:t xml:space="preserve">- Controlling something vs. owning it.</w:t>
      </w:r>
      <w:r>
        <w:t xml:space="preserve"> </w:t>
      </w:r>
      <w:r>
        <w:t xml:space="preserve">- Buying behavior or service vs. buying an internal first-person state.</w:t>
      </w:r>
      <w:r>
        <w:t xml:space="preserve"> </w:t>
      </w:r>
      <w:r>
        <w:t xml:space="preserve">- Engineering a local approximation vs. owning a fundamental law or constant.</w:t>
      </w:r>
      <w:r>
        <w:t xml:space="preserve"> </w:t>
      </w:r>
      <w:r>
        <w:t xml:space="preserve">- Altering records or memories vs. altering completed causality.</w:t>
      </w:r>
    </w:p>
    <w:bookmarkEnd w:id="37"/>
    <w:bookmarkStart w:id="38" w:name="required-target-taxonomy-provisional"/>
    <w:p>
      <w:pPr>
        <w:pStyle w:val="Heading3"/>
      </w:pPr>
      <w:r>
        <w:t xml:space="preserve">7.4 Required Target Taxonomy (Provisional)</w:t>
      </w:r>
    </w:p>
    <w:p>
      <w:pPr>
        <w:pStyle w:val="FirstParagraph"/>
      </w:pPr>
      <w:r>
        <w:t xml:space="preserve">The laboratory needs an explicit (even if provisional) classification of:</w:t>
      </w:r>
      <w:r>
        <w:t xml:space="preserve"> </w:t>
      </w:r>
      <w:r>
        <w:t xml:space="preserve">- In-scope targets</w:t>
      </w:r>
      <w:r>
        <w:t xml:space="preserve"> </w:t>
      </w:r>
      <w:r>
        <w:t xml:space="preserve">- Conditionally authorized targets (require elevated approval)</w:t>
      </w:r>
      <w:r>
        <w:t xml:space="preserve"> </w:t>
      </w:r>
      <w:r>
        <w:t xml:space="preserve">- Out-of-scope / null targets (Ontological Transaction Limit)</w:t>
      </w:r>
    </w:p>
    <w:bookmarkEnd w:id="38"/>
    <w:bookmarkStart w:id="39" w:name="testing-methodology-rule"/>
    <w:p>
      <w:pPr>
        <w:pStyle w:val="Heading3"/>
      </w:pPr>
      <w:r>
        <w:t xml:space="preserve">7.5 Testing Methodology Rule</w:t>
      </w:r>
    </w:p>
    <w:p>
      <w:pPr>
        <w:pStyle w:val="FirstParagraph"/>
      </w:pPr>
      <w:r>
        <w:t xml:space="preserve">Future red teams and boundary exercises must accept the proposed capability long enough to test its consequences. They may not defeat the experiment merely by denying the defining assumption. They may, and should, attack contradictions, recursion, authorization failures, externalities, and category errors that arise once the assumption is granted.</w:t>
      </w:r>
    </w:p>
    <w:bookmarkEnd w:id="39"/>
    <w:bookmarkStart w:id="40" w:name="immediate-next-artifacts-recommended"/>
    <w:p>
      <w:pPr>
        <w:pStyle w:val="Heading3"/>
      </w:pPr>
      <w:r>
        <w:t xml:space="preserve">7.6 Immediate Next Artifacts Recommended</w:t>
      </w:r>
    </w:p>
    <w:p>
      <w:pPr>
        <w:numPr>
          <w:ilvl w:val="0"/>
          <w:numId w:val="1008"/>
        </w:numPr>
        <w:pStyle w:val="Compact"/>
      </w:pPr>
      <w:r>
        <w:t xml:space="preserve">Short Version 0.2 Constitutional Baseline (core rule + testing frame + design forks + provisional taxonomy + open questions).</w:t>
      </w:r>
      <w:r>
        <w:br/>
      </w:r>
    </w:p>
    <w:p>
      <w:pPr>
        <w:numPr>
          <w:ilvl w:val="0"/>
          <w:numId w:val="1008"/>
        </w:numPr>
        <w:pStyle w:val="Compact"/>
      </w:pPr>
      <w:r>
        <w:t xml:space="preserve">Formal Currency Boundary Laboratory protocol with escalating difficulty levels (ordinary goods → non-market assets → first-person states → ontological limits).</w:t>
      </w:r>
      <w:r>
        <w:br/>
      </w:r>
    </w:p>
    <w:p>
      <w:pPr>
        <w:numPr>
          <w:ilvl w:val="0"/>
          <w:numId w:val="1008"/>
        </w:numPr>
        <w:pStyle w:val="Compact"/>
      </w:pPr>
      <w:r>
        <w:t xml:space="preserve">Explicit handling rules for targets that approach or cross the Ontological Transaction Limit (rejection, symbolic representation only, or NCOIN residual generation).</w:t>
      </w:r>
    </w:p>
    <w:p>
      <w:r>
        <w:pict>
          <v:rect style="width:0;height:1.5pt" o:hralign="center" o:hrstd="t" o:hr="t"/>
        </w:pict>
      </w:r>
    </w:p>
    <w:bookmarkEnd w:id="40"/>
    <w:bookmarkEnd w:id="41"/>
    <w:bookmarkStart w:id="42" w:name="closing-note-to-the-collaboration-team"/>
    <w:p>
      <w:pPr>
        <w:pStyle w:val="Heading2"/>
      </w:pPr>
      <w:r>
        <w:t xml:space="preserve">8. Closing Note to the Collaboration Team</w:t>
      </w:r>
    </w:p>
    <w:p>
      <w:pPr>
        <w:pStyle w:val="FirstParagraph"/>
      </w:pPr>
      <w:r>
        <w:t xml:space="preserve">This archive is intended as a shared reference, not as a final specification.</w:t>
      </w:r>
    </w:p>
    <w:p>
      <w:pPr>
        <w:pStyle w:val="BodyText"/>
      </w:pPr>
      <w:r>
        <w:t xml:space="preserve">The conversation has moved from an initially under-specified viability exercise, through a conventional-economics red-team that correctly identified many real risks while partially missing the intended frame, to a deliberate reset around value-resolution, and finally to a rigorous exploration of the absolute outer boundary of any currency concept.</w:t>
      </w:r>
    </w:p>
    <w:p>
      <w:pPr>
        <w:pStyle w:val="BodyText"/>
      </w:pPr>
      <w:r>
        <w:t xml:space="preserve">The most valuable outcome so far is the clear identification of an</w:t>
      </w:r>
      <w:r>
        <w:t xml:space="preserve"> </w:t>
      </w:r>
      <w:r>
        <w:rPr>
          <w:bCs/>
          <w:b/>
        </w:rPr>
        <w:t xml:space="preserve">Ontological Transaction Limit</w:t>
      </w:r>
      <w:r>
        <w:t xml:space="preserve">. Any laboratory framework that does not protect and test that limit will eventually produce either overclaim or incoherence.</w:t>
      </w:r>
    </w:p>
    <w:p>
      <w:pPr>
        <w:pStyle w:val="BodyText"/>
      </w:pPr>
      <w:r>
        <w:t xml:space="preserve">The next phase of work should treat the boundary cases and the laboratory category distinctions as first-class design constraints rather than afterthoughts.</w:t>
      </w:r>
    </w:p>
    <w:p>
      <w:r>
        <w:pict>
          <v:rect style="width:0;height:1.5pt" o:hralign="center" o:hrstd="t" o:hr="t"/>
        </w:pict>
      </w:r>
    </w:p>
    <w:p>
      <w:pPr>
        <w:pStyle w:val="FirstParagraph"/>
      </w:pPr>
      <w:r>
        <w:rPr>
          <w:bCs/>
          <w:b/>
        </w:rPr>
        <w:t xml:space="preserve">End of Archive</w:t>
      </w:r>
      <w:r>
        <w:br/>
      </w:r>
      <w:r>
        <w:t xml:space="preserve">Prepared for distribution to the OAL AI Collaboration Team.</w:t>
      </w:r>
      <w:r>
        <w:br/>
      </w:r>
      <w:r>
        <w:t xml:space="preserve">All prior red-team findings remain relevant as stress-test material; they are no longer permitted to redefine the core design question.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2026-08-20T20:34:26Z</dcterms:created>
  <dcterms:modified xsi:type="dcterms:W3CDTF">2026-08-20T20:34:26Z</dcterms:modified>
</cp:coreProperties>
</file>

<file path=docProps/custom.xml><?xml version="1.0" encoding="utf-8"?>
<Properties xmlns="http://schemas.openxmlformats.org/officeDocument/2006/custom-properties" xmlns:vt="http://schemas.openxmlformats.org/officeDocument/2006/docPropsVTypes"/>
</file>