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Arial" w:cs="Arial" w:eastAsia="Arial" w:hAnsi="Arial"/>
          <w:b/>
          <w:bCs/>
          <w:color w:val="1F3864"/>
          <w:sz w:val="48"/>
          <w:szCs w:val="48"/>
        </w:rPr>
        <w:t xml:space="preserve">OMNIVERSAL ARCHITECT LABS</w:t>
      </w:r>
    </w:p>
    <w:p>
      <w:pPr>
        <w:spacing w:after="600" w:before="0"/>
        <w:jc w:val="center"/>
      </w:pPr>
      <w:r>
        <w:rPr>
          <w:rFonts w:ascii="Arial" w:cs="Arial" w:eastAsia="Arial" w:hAnsi="Arial"/>
          <w:color w:val="2E5090"/>
          <w:sz w:val="28"/>
          <w:szCs w:val="28"/>
        </w:rPr>
        <w:t xml:space="preserve">Lewis Corp | ONE Industries</w:t>
      </w:r>
    </w:p>
    <w:p>
      <w:pPr>
        <w:pBdr>
          <w:bottom w:val="single" w:color="1F3864" w:sz="6" w:space="1"/>
        </w:pBdr>
        <w:spacing w:after="400" w:before="0"/>
      </w:pPr>
      <w:r>
        <w:t xml:space="preserve"/>
      </w:r>
    </w:p>
    <w:p>
      <w:pPr>
        <w:spacing w:after="200" w:before="400"/>
        <w:jc w:val="center"/>
      </w:pPr>
      <w:r>
        <w:rPr>
          <w:rFonts w:ascii="Arial" w:cs="Arial" w:eastAsia="Arial" w:hAnsi="Arial"/>
          <w:b/>
          <w:bCs/>
          <w:color w:val="1F3864"/>
          <w:sz w:val="44"/>
          <w:szCs w:val="44"/>
        </w:rPr>
        <w:t xml:space="preserve">DEPARTMENT OF ENDINGS</w:t>
      </w:r>
    </w:p>
    <w:p>
      <w:pPr>
        <w:spacing w:after="600" w:before="0"/>
        <w:jc w:val="center"/>
      </w:pPr>
      <w:r>
        <w:rPr>
          <w:rFonts w:ascii="Arial" w:cs="Arial" w:eastAsia="Arial" w:hAnsi="Arial"/>
          <w:color w:val="555555"/>
          <w:sz w:val="24"/>
          <w:szCs w:val="24"/>
        </w:rPr>
        <w:t xml:space="preserve">Formal Establishment Document | Charter | Framework | Analysis</w:t>
      </w:r>
    </w:p>
    <w:p>
      <w:pPr>
        <w:spacing w:after="100" w:before="0"/>
        <w:jc w:val="center"/>
      </w:pPr>
      <w:r>
        <w:rPr>
          <w:rFonts w:ascii="Arial" w:cs="Arial" w:eastAsia="Arial" w:hAnsi="Arial"/>
          <w:color w:val="777777"/>
          <w:sz w:val="20"/>
          <w:szCs w:val="20"/>
        </w:rPr>
        <w:t xml:space="preserve">Document ID: OAL-DOE-001 v1.0</w:t>
      </w:r>
    </w:p>
    <w:p>
      <w:pPr>
        <w:spacing w:after="100" w:before="0"/>
        <w:jc w:val="center"/>
      </w:pPr>
      <w:r>
        <w:rPr>
          <w:rFonts w:ascii="Arial" w:cs="Arial" w:eastAsia="Arial" w:hAnsi="Arial"/>
          <w:color w:val="777777"/>
          <w:sz w:val="20"/>
          <w:szCs w:val="20"/>
        </w:rPr>
        <w:t xml:space="preserve">Date: April 13, 2026</w:t>
      </w:r>
    </w:p>
    <w:p>
      <w:pPr>
        <w:spacing w:after="100" w:before="0"/>
        <w:jc w:val="center"/>
      </w:pPr>
      <w:r>
        <w:rPr>
          <w:rFonts w:ascii="Arial" w:cs="Arial" w:eastAsia="Arial" w:hAnsi="Arial"/>
          <w:color w:val="CC0000"/>
          <w:sz w:val="20"/>
          <w:szCs w:val="20"/>
        </w:rPr>
        <w:t xml:space="preserve">Status: PENDING ARCHITECT REVIEW AND ONESTAMP</w:t>
      </w:r>
    </w:p>
    <w:p>
      <w:pPr>
        <w:spacing w:after="400" w:before="0"/>
        <w:jc w:val="center"/>
      </w:pPr>
      <w:r>
        <w:rPr>
          <w:rFonts w:ascii="Arial" w:cs="Arial" w:eastAsia="Arial" w:hAnsi="Arial"/>
          <w:color w:val="777777"/>
          <w:sz w:val="20"/>
          <w:szCs w:val="20"/>
        </w:rPr>
        <w:t xml:space="preserve">Prepared by: Claude AI | OAL Multi-AI Development Team</w:t>
      </w:r>
    </w:p>
    <w:p>
      <w:pPr>
        <w:pBdr>
          <w:bottom w:val="single" w:color="1F3864" w:sz="6" w:space="1"/>
        </w:pBdr>
        <w:spacing w:after="0" w:before="0"/>
      </w:pPr>
      <w:r>
        <w:t xml:space="preserve"/>
      </w:r>
    </w:p>
    <w:p>
      <w:r>
        <w:br w:type="page"/>
      </w:r>
    </w:p>
    <w:p>
      <w:pPr>
        <w:pStyle w:val="Heading1"/>
        <w:spacing w:after="200" w:before="360"/>
      </w:pPr>
      <w:r>
        <w:rPr>
          <w:rFonts w:ascii="Arial" w:cs="Arial" w:eastAsia="Arial" w:hAnsi="Arial"/>
          <w:b/>
          <w:bCs/>
          <w:color w:val="1F3864"/>
          <w:sz w:val="32"/>
          <w:szCs w:val="32"/>
        </w:rPr>
        <w:t xml:space="preserve">TABLE OF CONTENTS</w:t>
      </w:r>
    </w:p>
    <w:p>
      <w:pPr>
        <w:spacing w:after="80" w:before="80"/>
      </w:pPr>
      <w:r>
        <w:rPr>
          <w:rFonts w:ascii="Arial" w:cs="Arial" w:eastAsia="Arial" w:hAnsi="Arial"/>
          <w:sz w:val="22"/>
          <w:szCs w:val="22"/>
        </w:rPr>
        <w:t xml:space="preserve">Section 1  —  Document Overview and Identification</w:t>
      </w:r>
    </w:p>
    <w:p>
      <w:pPr>
        <w:spacing w:after="80" w:before="80"/>
      </w:pPr>
      <w:r>
        <w:rPr>
          <w:rFonts w:ascii="Arial" w:cs="Arial" w:eastAsia="Arial" w:hAnsi="Arial"/>
          <w:sz w:val="22"/>
          <w:szCs w:val="22"/>
        </w:rPr>
        <w:t xml:space="preserve">Section 2  —  Mission Statement</w:t>
      </w:r>
    </w:p>
    <w:p>
      <w:pPr>
        <w:spacing w:after="80" w:before="80"/>
      </w:pPr>
      <w:r>
        <w:rPr>
          <w:rFonts w:ascii="Arial" w:cs="Arial" w:eastAsia="Arial" w:hAnsi="Arial"/>
          <w:sz w:val="22"/>
          <w:szCs w:val="22"/>
        </w:rPr>
        <w:t xml:space="preserve">Section 3  —  Purpose: Why the Department of Endings Must Exist</w:t>
      </w:r>
    </w:p>
    <w:p>
      <w:pPr>
        <w:spacing w:after="80" w:before="80"/>
      </w:pPr>
      <w:r>
        <w:rPr>
          <w:rFonts w:ascii="Arial" w:cs="Arial" w:eastAsia="Arial" w:hAnsi="Arial"/>
          <w:sz w:val="22"/>
          <w:szCs w:val="22"/>
        </w:rPr>
        <w:t xml:space="preserve">Section 4  —  Scope: Defined, Undefined, and Deliberately Open</w:t>
      </w:r>
    </w:p>
    <w:p>
      <w:pPr>
        <w:spacing w:after="80" w:before="80"/>
      </w:pPr>
      <w:r>
        <w:rPr>
          <w:rFonts w:ascii="Arial" w:cs="Arial" w:eastAsia="Arial" w:hAnsi="Arial"/>
          <w:sz w:val="22"/>
          <w:szCs w:val="22"/>
        </w:rPr>
        <w:t xml:space="preserve">Section 5  —  Temporal Coverage: Past, Present, Near-Term, Future</w:t>
      </w:r>
    </w:p>
    <w:p>
      <w:pPr>
        <w:spacing w:after="80" w:before="80"/>
      </w:pPr>
      <w:r>
        <w:rPr>
          <w:rFonts w:ascii="Arial" w:cs="Arial" w:eastAsia="Arial" w:hAnsi="Arial"/>
          <w:sz w:val="22"/>
          <w:szCs w:val="22"/>
        </w:rPr>
        <w:t xml:space="preserve">Section 6  —  Relationship to the Abundance Set</w:t>
      </w:r>
    </w:p>
    <w:p>
      <w:pPr>
        <w:spacing w:after="80" w:before="80"/>
      </w:pPr>
      <w:r>
        <w:rPr>
          <w:rFonts w:ascii="Arial" w:cs="Arial" w:eastAsia="Arial" w:hAnsi="Arial"/>
          <w:sz w:val="22"/>
          <w:szCs w:val="22"/>
        </w:rPr>
        <w:t xml:space="preserve">Section 7  —  Relationship to Conditional Failure at the Root Level</w:t>
      </w:r>
    </w:p>
    <w:p>
      <w:pPr>
        <w:spacing w:after="80" w:before="80"/>
      </w:pPr>
      <w:r>
        <w:rPr>
          <w:rFonts w:ascii="Arial" w:cs="Arial" w:eastAsia="Arial" w:hAnsi="Arial"/>
          <w:sz w:val="22"/>
          <w:szCs w:val="22"/>
        </w:rPr>
        <w:t xml:space="preserve">Section 8  —  In-Universe vs. Out-of-Universe Operational Context</w:t>
      </w:r>
    </w:p>
    <w:p>
      <w:pPr>
        <w:spacing w:after="80" w:before="80"/>
      </w:pPr>
      <w:r>
        <w:rPr>
          <w:rFonts w:ascii="Arial" w:cs="Arial" w:eastAsia="Arial" w:hAnsi="Arial"/>
          <w:sz w:val="22"/>
          <w:szCs w:val="22"/>
        </w:rPr>
        <w:t xml:space="preserve">Section 9  —  Organizational Structure and Staffing</w:t>
      </w:r>
    </w:p>
    <w:p>
      <w:pPr>
        <w:spacing w:after="80" w:before="80"/>
      </w:pPr>
      <w:r>
        <w:rPr>
          <w:rFonts w:ascii="Arial" w:cs="Arial" w:eastAsia="Arial" w:hAnsi="Arial"/>
          <w:sz w:val="22"/>
          <w:szCs w:val="22"/>
        </w:rPr>
        <w:t xml:space="preserve">Section 10 —  Funding Proposal and Justification</w:t>
      </w:r>
    </w:p>
    <w:p>
      <w:pPr>
        <w:spacing w:after="80" w:before="80"/>
      </w:pPr>
      <w:r>
        <w:rPr>
          <w:rFonts w:ascii="Arial" w:cs="Arial" w:eastAsia="Arial" w:hAnsi="Arial"/>
          <w:sz w:val="22"/>
          <w:szCs w:val="22"/>
        </w:rPr>
        <w:t xml:space="preserve">Section 11 —  Real-World Research Analogs and Applications</w:t>
      </w:r>
    </w:p>
    <w:p>
      <w:pPr>
        <w:spacing w:after="80" w:before="80"/>
      </w:pPr>
      <w:r>
        <w:rPr>
          <w:rFonts w:ascii="Arial" w:cs="Arial" w:eastAsia="Arial" w:hAnsi="Arial"/>
          <w:sz w:val="22"/>
          <w:szCs w:val="22"/>
        </w:rPr>
        <w:t xml:space="preserve">Section 12 —  What Works: Supporting the Department's Existence</w:t>
      </w:r>
    </w:p>
    <w:p>
      <w:pPr>
        <w:spacing w:after="80" w:before="80"/>
      </w:pPr>
      <w:r>
        <w:rPr>
          <w:rFonts w:ascii="Arial" w:cs="Arial" w:eastAsia="Arial" w:hAnsi="Arial"/>
          <w:sz w:val="22"/>
          <w:szCs w:val="22"/>
        </w:rPr>
        <w:t xml:space="preserve">Section 13 —  What Does Not Work: Challenges and Gaps</w:t>
      </w:r>
    </w:p>
    <w:p>
      <w:pPr>
        <w:spacing w:after="80" w:before="80"/>
      </w:pPr>
      <w:r>
        <w:rPr>
          <w:rFonts w:ascii="Arial" w:cs="Arial" w:eastAsia="Arial" w:hAnsi="Arial"/>
          <w:sz w:val="22"/>
          <w:szCs w:val="22"/>
        </w:rPr>
        <w:t xml:space="preserve">Section 14 —  Ethics and Morality Framework</w:t>
      </w:r>
    </w:p>
    <w:p>
      <w:pPr>
        <w:spacing w:after="80" w:before="80"/>
      </w:pPr>
      <w:r>
        <w:rPr>
          <w:rFonts w:ascii="Arial" w:cs="Arial" w:eastAsia="Arial" w:hAnsi="Arial"/>
          <w:sz w:val="22"/>
          <w:szCs w:val="22"/>
        </w:rPr>
        <w:t xml:space="preserve">Section 15 —  Red Team Analysis</w:t>
      </w:r>
    </w:p>
    <w:p>
      <w:pPr>
        <w:spacing w:after="80" w:before="80"/>
      </w:pPr>
      <w:r>
        <w:rPr>
          <w:rFonts w:ascii="Arial" w:cs="Arial" w:eastAsia="Arial" w:hAnsi="Arial"/>
          <w:sz w:val="22"/>
          <w:szCs w:val="22"/>
        </w:rPr>
        <w:t xml:space="preserve">Section 16 —  Primary Concerns and Dissent Register</w:t>
      </w:r>
    </w:p>
    <w:p>
      <w:pPr>
        <w:spacing w:after="80" w:before="80"/>
      </w:pPr>
      <w:r>
        <w:rPr>
          <w:rFonts w:ascii="Arial" w:cs="Arial" w:eastAsia="Arial" w:hAnsi="Arial"/>
          <w:sz w:val="22"/>
          <w:szCs w:val="22"/>
        </w:rPr>
        <w:t xml:space="preserve">Section 17 —  Dependency Registry and Cross-References</w:t>
      </w:r>
    </w:p>
    <w:p>
      <w:pPr>
        <w:spacing w:after="80" w:before="80"/>
      </w:pPr>
      <w:r>
        <w:rPr>
          <w:rFonts w:ascii="Arial" w:cs="Arial" w:eastAsia="Arial" w:hAnsi="Arial"/>
          <w:sz w:val="22"/>
          <w:szCs w:val="22"/>
        </w:rPr>
        <w:t xml:space="preserve">Section 18 —  Document Version Log</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SECTION 1 — DOCUMENT OVERVIEW AND IDENTIFICATION</w:t>
      </w:r>
    </w:p>
    <w:p>
      <w:pPr>
        <w:spacing w:after="80" w:before="80"/>
      </w:pPr>
      <w:r>
        <w:rPr>
          <w:rFonts w:ascii="Arial" w:cs="Arial" w:eastAsia="Arial" w:hAnsi="Arial"/>
          <w:b/>
          <w:bCs/>
          <w:sz w:val="22"/>
          <w:szCs w:val="22"/>
        </w:rPr>
        <w:t xml:space="preserve">Full Title: </w:t>
      </w:r>
      <w:r>
        <w:rPr>
          <w:rFonts w:ascii="Arial" w:cs="Arial" w:eastAsia="Arial" w:hAnsi="Arial"/>
          <w:sz w:val="22"/>
          <w:szCs w:val="22"/>
        </w:rPr>
        <w:t xml:space="preserve">Department of Endings</w:t>
      </w:r>
    </w:p>
    <w:p>
      <w:pPr>
        <w:spacing w:after="80" w:before="80"/>
      </w:pPr>
      <w:r>
        <w:rPr>
          <w:rFonts w:ascii="Arial" w:cs="Arial" w:eastAsia="Arial" w:hAnsi="Arial"/>
          <w:b/>
          <w:bCs/>
          <w:sz w:val="22"/>
          <w:szCs w:val="22"/>
        </w:rPr>
        <w:t xml:space="preserve">Short Designation: </w:t>
      </w:r>
      <w:r>
        <w:rPr>
          <w:rFonts w:ascii="Arial" w:cs="Arial" w:eastAsia="Arial" w:hAnsi="Arial"/>
          <w:sz w:val="22"/>
          <w:szCs w:val="22"/>
        </w:rPr>
        <w:t xml:space="preserve">DOE</w:t>
      </w:r>
    </w:p>
    <w:p>
      <w:pPr>
        <w:spacing w:after="80" w:before="80"/>
      </w:pPr>
      <w:r>
        <w:rPr>
          <w:rFonts w:ascii="Arial" w:cs="Arial" w:eastAsia="Arial" w:hAnsi="Arial"/>
          <w:b/>
          <w:bCs/>
          <w:sz w:val="22"/>
          <w:szCs w:val="22"/>
        </w:rPr>
        <w:t xml:space="preserve">Document ID: </w:t>
      </w:r>
      <w:r>
        <w:rPr>
          <w:rFonts w:ascii="Arial" w:cs="Arial" w:eastAsia="Arial" w:hAnsi="Arial"/>
          <w:sz w:val="22"/>
          <w:szCs w:val="22"/>
        </w:rPr>
        <w:t xml:space="preserve">OAL-DOE-001</w:t>
      </w:r>
    </w:p>
    <w:p>
      <w:pPr>
        <w:spacing w:after="80" w:before="80"/>
      </w:pPr>
      <w:r>
        <w:rPr>
          <w:rFonts w:ascii="Arial" w:cs="Arial" w:eastAsia="Arial" w:hAnsi="Arial"/>
          <w:b/>
          <w:bCs/>
          <w:sz w:val="22"/>
          <w:szCs w:val="22"/>
        </w:rPr>
        <w:t xml:space="preserve">Parent Organization: </w:t>
      </w:r>
      <w:r>
        <w:rPr>
          <w:rFonts w:ascii="Arial" w:cs="Arial" w:eastAsia="Arial" w:hAnsi="Arial"/>
          <w:sz w:val="22"/>
          <w:szCs w:val="22"/>
        </w:rPr>
        <w:t xml:space="preserve">Omniversal Architect Labs (OAL)</w:t>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Research Department | Formal Charter | Establishment Document</w:t>
      </w:r>
    </w:p>
    <w:p>
      <w:pPr>
        <w:spacing w:after="80" w:before="80"/>
      </w:pPr>
      <w:r>
        <w:rPr>
          <w:rFonts w:ascii="Arial" w:cs="Arial" w:eastAsia="Arial" w:hAnsi="Arial"/>
          <w:b/>
          <w:bCs/>
          <w:sz w:val="22"/>
          <w:szCs w:val="22"/>
        </w:rPr>
        <w:t xml:space="preserve">Funding Source: </w:t>
      </w:r>
      <w:r>
        <w:rPr>
          <w:rFonts w:ascii="Arial" w:cs="Arial" w:eastAsia="Arial" w:hAnsi="Arial"/>
          <w:sz w:val="22"/>
          <w:szCs w:val="22"/>
        </w:rPr>
        <w:t xml:space="preserve">Internal OAL operating budget — formally funded department</w:t>
      </w:r>
    </w:p>
    <w:p>
      <w:pPr>
        <w:spacing w:after="80" w:before="80"/>
      </w:pPr>
      <w:r>
        <w:rPr>
          <w:rFonts w:ascii="Arial" w:cs="Arial" w:eastAsia="Arial" w:hAnsi="Arial"/>
          <w:b/>
          <w:bCs/>
          <w:sz w:val="22"/>
          <w:szCs w:val="22"/>
        </w:rPr>
        <w:t xml:space="preserve">Scope Status: </w:t>
      </w:r>
      <w:r>
        <w:rPr>
          <w:rFonts w:ascii="Arial" w:cs="Arial" w:eastAsia="Arial" w:hAnsi="Arial"/>
          <w:sz w:val="22"/>
          <w:szCs w:val="22"/>
        </w:rPr>
        <w:t xml:space="preserve">Deliberately undefined — bounded only by the concept of endings itself</w:t>
      </w:r>
    </w:p>
    <w:p>
      <w:pPr>
        <w:spacing w:after="80" w:before="80"/>
      </w:pPr>
      <w:r>
        <w:rPr>
          <w:rFonts w:ascii="Arial" w:cs="Arial" w:eastAsia="Arial" w:hAnsi="Arial"/>
          <w:b/>
          <w:bCs/>
          <w:sz w:val="22"/>
          <w:szCs w:val="22"/>
        </w:rPr>
        <w:t xml:space="preserve">Operational Environment: </w:t>
      </w:r>
      <w:r>
        <w:rPr>
          <w:rFonts w:ascii="Arial" w:cs="Arial" w:eastAsia="Arial" w:hAnsi="Arial"/>
          <w:sz w:val="22"/>
          <w:szCs w:val="22"/>
        </w:rPr>
        <w:t xml:space="preserve">The Abundance Set (primary) | All OAL research infrastructure</w:t>
      </w:r>
    </w:p>
    <w:p>
      <w:pPr>
        <w:spacing w:after="80" w:before="80"/>
      </w:pPr>
      <w:r>
        <w:rPr>
          <w:rFonts w:ascii="Arial" w:cs="Arial" w:eastAsia="Arial" w:hAnsi="Arial"/>
          <w:b/>
          <w:bCs/>
          <w:sz w:val="22"/>
          <w:szCs w:val="22"/>
        </w:rPr>
        <w:t xml:space="preserve">Canon Status: </w:t>
      </w:r>
      <w:r>
        <w:rPr>
          <w:rFonts w:ascii="Arial" w:cs="Arial" w:eastAsia="Arial" w:hAnsi="Arial"/>
          <w:sz w:val="22"/>
          <w:szCs w:val="22"/>
        </w:rPr>
        <w:t xml:space="preserve">First formal documentation April 13, 2026. Introduced in Conditional Failure at the Root Level (OAL-VL5-MAR22-2026).</w:t>
      </w:r>
    </w:p>
    <w:p>
      <w:pPr>
        <w:spacing w:after="60" w:before="60"/>
      </w:pPr>
      <w:r>
        <w:t xml:space="preserve"/>
      </w:r>
    </w:p>
    <w:p>
      <w:pPr>
        <w:spacing w:after="80" w:before="80"/>
      </w:pPr>
      <w:r>
        <w:rPr>
          <w:rFonts w:ascii="Arial" w:cs="Arial" w:eastAsia="Arial" w:hAnsi="Arial"/>
          <w:sz w:val="22"/>
          <w:szCs w:val="22"/>
        </w:rPr>
        <w:t xml:space="preserve">The Department of Endings is a formally funded, institutionally established research department within Omniversal Architect Labs. Its singular mandate is to study endings — in every form, at every scale, across every applicable context — and to ensure that what is learned from those endings is applied, not merely archived.</w:t>
      </w:r>
    </w:p>
    <w:p>
      <w:pPr>
        <w:spacing w:after="80" w:before="80"/>
      </w:pPr>
      <w:r>
        <w:rPr>
          <w:rFonts w:ascii="Arial" w:cs="Arial" w:eastAsia="Arial" w:hAnsi="Arial"/>
          <w:sz w:val="22"/>
          <w:szCs w:val="22"/>
        </w:rPr>
        <w:t xml:space="preserve">This document is the Department's founding charter. It establishes purpose, mission, scope philosophy, funding, organizational structure, and the ethical and analytical framework within which the Department operates. It also registers the disagreements, concerns, and red team findings that the Department's existence provokes — because a department that studies endings should be capable of honestly examining what its own existence might end, threaten, or disrupt.</w:t>
      </w:r>
    </w:p>
    <w:p>
      <w:r>
        <w:br w:type="page"/>
      </w:r>
    </w:p>
    <w:p>
      <w:pPr>
        <w:pStyle w:val="Heading1"/>
        <w:spacing w:after="200" w:before="360"/>
      </w:pPr>
      <w:r>
        <w:rPr>
          <w:rFonts w:ascii="Arial" w:cs="Arial" w:eastAsia="Arial" w:hAnsi="Arial"/>
          <w:b/>
          <w:bCs/>
          <w:color w:val="1F3864"/>
          <w:sz w:val="32"/>
          <w:szCs w:val="32"/>
        </w:rPr>
        <w:t xml:space="preserve">SECTION 2 — MISSION STATEMENT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The Department of Endings exists to run every endgame, map every terminal condition, and ensure that every ending — regardless of scale, timeline, domain, or outcome — is studied, documented, and fed back into the recursive improvement architecture of the Abundance Set. Its work never ends because endings never stop occurring. Its obligation is not completion but comprehensiveness: that nothing ends without being understood, and that no lesson from an ending goes unlearned.</w:t>
            </w:r>
          </w:p>
        </w:tc>
      </w:tr>
    </w:tbl>
    <w:p>
      <w:pPr>
        <w:spacing w:after="60" w:before="60"/>
      </w:pPr>
      <w:r>
        <w:t xml:space="preserve"/>
      </w:r>
    </w:p>
    <w:p>
      <w:pPr>
        <w:spacing w:after="80" w:before="80"/>
      </w:pPr>
      <w:r>
        <w:rPr>
          <w:rFonts w:ascii="Arial" w:cs="Arial" w:eastAsia="Arial" w:hAnsi="Arial"/>
          <w:sz w:val="22"/>
          <w:szCs w:val="22"/>
        </w:rPr>
        <w:t xml:space="preserve">The mission statement deliberately contains a paradox: a department whose work studies endings cannot itself end without violating its mission. This is not a design flaw. It is the design. The Department of Endings is, by definition, a permanent institution. Its closure would itself be an ending it was designed to study and prevent.</w:t>
      </w:r>
    </w:p>
    <w:p>
      <w:r>
        <w:br w:type="page"/>
      </w:r>
    </w:p>
    <w:p>
      <w:pPr>
        <w:pStyle w:val="Heading1"/>
        <w:spacing w:after="200" w:before="360"/>
      </w:pPr>
      <w:r>
        <w:rPr>
          <w:rFonts w:ascii="Arial" w:cs="Arial" w:eastAsia="Arial" w:hAnsi="Arial"/>
          <w:b/>
          <w:bCs/>
          <w:color w:val="1F3864"/>
          <w:sz w:val="32"/>
          <w:szCs w:val="32"/>
        </w:rPr>
        <w:t xml:space="preserve">SECTION 3 — PURPOSE: WHY THE DEPARTMENT OF ENDINGS MUST EXIST</w:t>
      </w:r>
    </w:p>
    <w:p>
      <w:pPr>
        <w:pStyle w:val="Heading2"/>
        <w:spacing w:after="140" w:before="280"/>
      </w:pPr>
      <w:r>
        <w:rPr>
          <w:rFonts w:ascii="Arial" w:cs="Arial" w:eastAsia="Arial" w:hAnsi="Arial"/>
          <w:b/>
          <w:bCs/>
          <w:color w:val="2E5090"/>
          <w:sz w:val="26"/>
          <w:szCs w:val="26"/>
        </w:rPr>
        <w:t xml:space="preserve">3.1 The Gap It Fills</w:t>
      </w:r>
    </w:p>
    <w:p>
      <w:pPr>
        <w:spacing w:after="80" w:before="80"/>
      </w:pPr>
      <w:r>
        <w:rPr>
          <w:rFonts w:ascii="Arial" w:cs="Arial" w:eastAsia="Arial" w:hAnsi="Arial"/>
          <w:sz w:val="22"/>
          <w:szCs w:val="22"/>
        </w:rPr>
        <w:t xml:space="preserve">Every research organization, institution, government, and civilization accumulates endings — completed projects, failed trials, collapsed systems, terminated relationships, extinct species, dead civilizations, ended timelines. What almost none of them do systematically is study those endings as a unified category. They study the physics of a collapsed star. They study the economics of a failed business. They study the biology of an extinct species. They do not study endings as a phenomenon in its own right — as something with structure, pattern, predictability, and teachable lessons that transfer across domains.</w:t>
      </w:r>
    </w:p>
    <w:p>
      <w:pPr>
        <w:spacing w:after="80" w:before="80"/>
      </w:pPr>
      <w:r>
        <w:rPr>
          <w:rFonts w:ascii="Arial" w:cs="Arial" w:eastAsia="Arial" w:hAnsi="Arial"/>
          <w:sz w:val="22"/>
          <w:szCs w:val="22"/>
        </w:rPr>
        <w:t xml:space="preserve">The Department of Endings fills this gap. It treats every ending — across every domain, every scale, every timeline — as a data point in the same study. The subject of the study is not physics, economics, or biology. The subject is endings themselves.</w:t>
      </w:r>
    </w:p>
    <w:p>
      <w:pPr>
        <w:pStyle w:val="Heading2"/>
        <w:spacing w:after="140" w:before="280"/>
      </w:pPr>
      <w:r>
        <w:rPr>
          <w:rFonts w:ascii="Arial" w:cs="Arial" w:eastAsia="Arial" w:hAnsi="Arial"/>
          <w:b/>
          <w:bCs/>
          <w:color w:val="2E5090"/>
          <w:sz w:val="26"/>
          <w:szCs w:val="26"/>
        </w:rPr>
        <w:t xml:space="preserve">3.2 The Recursive Improvement Imperative</w:t>
      </w:r>
    </w:p>
    <w:p>
      <w:pPr>
        <w:spacing w:after="80" w:before="80"/>
      </w:pPr>
      <w:r>
        <w:rPr>
          <w:rFonts w:ascii="Arial" w:cs="Arial" w:eastAsia="Arial" w:hAnsi="Arial"/>
          <w:sz w:val="22"/>
          <w:szCs w:val="22"/>
        </w:rPr>
        <w:t xml:space="preserve">Nathan's founding voice note for this department identifies the core problem precisely: there is a difference between having information about what goes wrong and applying that information recursively so that the same mistakes are not repeated. Organizations that document failures without applying the documentation are archives. The Department of Endings is not an archive. It is an active learning system whose output is fed back into the research infrastructure that generated the ending in the first place.</w:t>
      </w:r>
    </w:p>
    <w:p>
      <w:pPr>
        <w:spacing w:after="80" w:before="80"/>
      </w:pPr>
      <w:r>
        <w:rPr>
          <w:rFonts w:ascii="Arial" w:cs="Arial" w:eastAsia="Arial" w:hAnsi="Arial"/>
          <w:sz w:val="22"/>
          <w:szCs w:val="22"/>
        </w:rPr>
        <w:t xml:space="preserve">The Abundance Set contains every point of information available. If the lessons from every documented ending are not extracted from the Abundance Set and applied to ongoing and future work, the Abundance Set becomes an extraordinarily comprehensive record of repeated mistakes. The Department of Endings is the institution that prevents that outcome.</w:t>
      </w:r>
    </w:p>
    <w:p>
      <w:pPr>
        <w:pStyle w:val="Heading2"/>
        <w:spacing w:after="140" w:before="280"/>
      </w:pPr>
      <w:r>
        <w:rPr>
          <w:rFonts w:ascii="Arial" w:cs="Arial" w:eastAsia="Arial" w:hAnsi="Arial"/>
          <w:b/>
          <w:bCs/>
          <w:color w:val="2E5090"/>
          <w:sz w:val="26"/>
          <w:szCs w:val="26"/>
        </w:rPr>
        <w:t xml:space="preserve">3.3 The Anticipatory Function</w:t>
      </w:r>
    </w:p>
    <w:p>
      <w:pPr>
        <w:spacing w:after="80" w:before="80"/>
      </w:pPr>
      <w:r>
        <w:rPr>
          <w:rFonts w:ascii="Arial" w:cs="Arial" w:eastAsia="Arial" w:hAnsi="Arial"/>
          <w:sz w:val="22"/>
          <w:szCs w:val="22"/>
        </w:rPr>
        <w:t xml:space="preserve">The Department of Endings does not only study endings that have already occurred. It studies endings that are approaching. The early warning function — detecting the indicators of an impending ending before it becomes terminal — is one of the Department's most valuable operational outputs. A department that can identify the pattern of a civilization-ending trajectory while there is still time to alter it is worth more than any amount of post-mortem analysis.</w:t>
      </w:r>
    </w:p>
    <w:p>
      <w:pPr>
        <w:spacing w:after="80" w:before="80"/>
      </w:pPr>
      <w:r>
        <w:rPr>
          <w:rFonts w:ascii="Arial" w:cs="Arial" w:eastAsia="Arial" w:hAnsi="Arial"/>
          <w:sz w:val="22"/>
          <w:szCs w:val="22"/>
        </w:rPr>
        <w:t xml:space="preserve">This anticipatory function is why the Department's scope cannot be limited to historical endings. Limitation to the past would make it an archaeology department. The Department of Endings is a futures department that uses the past as its primary dataset.</w:t>
      </w:r>
    </w:p>
    <w:p>
      <w:r>
        <w:br w:type="page"/>
      </w:r>
    </w:p>
    <w:p>
      <w:pPr>
        <w:pStyle w:val="Heading1"/>
        <w:spacing w:after="200" w:before="360"/>
      </w:pPr>
      <w:r>
        <w:rPr>
          <w:rFonts w:ascii="Arial" w:cs="Arial" w:eastAsia="Arial" w:hAnsi="Arial"/>
          <w:b/>
          <w:bCs/>
          <w:color w:val="1F3864"/>
          <w:sz w:val="32"/>
          <w:szCs w:val="32"/>
        </w:rPr>
        <w:t xml:space="preserve">SECTION 4 — SCOPE: DEFINED, UNDEFINED, AND DELIBERATELY OPEN</w:t>
      </w:r>
    </w:p>
    <w:p>
      <w:pPr>
        <w:pStyle w:val="Heading2"/>
        <w:spacing w:after="140" w:before="280"/>
      </w:pPr>
      <w:r>
        <w:rPr>
          <w:rFonts w:ascii="Arial" w:cs="Arial" w:eastAsia="Arial" w:hAnsi="Arial"/>
          <w:b/>
          <w:bCs/>
          <w:color w:val="2E5090"/>
          <w:sz w:val="26"/>
          <w:szCs w:val="26"/>
        </w:rPr>
        <w:t xml:space="preserve">4.1 The Scope Philosophy</w:t>
      </w:r>
    </w:p>
    <w:p>
      <w:pPr>
        <w:spacing w:after="80" w:before="80"/>
      </w:pPr>
      <w:r>
        <w:rPr>
          <w:rFonts w:ascii="Arial" w:cs="Arial" w:eastAsia="Arial" w:hAnsi="Arial"/>
          <w:sz w:val="22"/>
          <w:szCs w:val="22"/>
        </w:rPr>
        <w:t xml:space="preserve">Nathan's voice note makes a specific and important point about scope: it is undefined, and that is intentional, because the Abundance Set is post-scarcity and the Department's work literally never ends. This is not a governance failure. It is a governance choice. A department studying endings within a post-scarcity research environment bounded by the Abundance Set is not limited by resource constraints that would otherwise force scope prioritization. Everything that constitutes an ending is within the Department's scope.</w:t>
      </w:r>
    </w:p>
    <w:p>
      <w:pPr>
        <w:pStyle w:val="Heading2"/>
        <w:spacing w:after="140" w:before="280"/>
      </w:pPr>
      <w:r>
        <w:rPr>
          <w:rFonts w:ascii="Arial" w:cs="Arial" w:eastAsia="Arial" w:hAnsi="Arial"/>
          <w:b/>
          <w:bCs/>
          <w:color w:val="2E5090"/>
          <w:sz w:val="26"/>
          <w:szCs w:val="26"/>
        </w:rPr>
        <w:t xml:space="preserve">4.2 What Falls Within Scope</w:t>
      </w:r>
    </w:p>
    <w:p>
      <w:pPr>
        <w:spacing w:after="80" w:before="80"/>
      </w:pPr>
      <w:r>
        <w:rPr>
          <w:rFonts w:ascii="Arial" w:cs="Arial" w:eastAsia="Arial" w:hAnsi="Arial"/>
          <w:sz w:val="22"/>
          <w:szCs w:val="22"/>
        </w:rPr>
        <w:t xml:space="preserve">The Department of Endings studies any ending that is applicable — meaning any terminal condition, conclusion, cessation, collapse, death, completion, or transformation that results in a state that cannot be reversed to the prior state by standard means. This includes but is not limited 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Ending Category</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 Within Scope</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Biological endings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Death of organisms, extinction of species, termination of biological systems, physiological failure states including OMNICELLULAR failure scenarios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Civilizational endings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Collapse of governing structures, extinction of civilizations, end of cultural transmission, civilizational absorption or transformation</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Temporal endings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Timeline termination, paradox-induced timeline collapse, temporal dead-ends in the Time Wars context, end-states reached through temporal manipulation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and project endings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TFFP-governed framework failures, study terminations, suspended trials, abandoned development tracks</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Cosmological endings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Stellar death, galactic collision outcomes, universal heat death approach conditions, ontological unmaking events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endings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conclusions, character deaths, arc terminations — studied as structured endings with learnable patterns</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Relationship and institutional endings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Organizational dissolution, treaty collapse, alliance termination, governance framework failure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Technological endings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obsolescence, infrastructure collapse, the civilization floor test scenarios from QIFTF</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Information endings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 loss events, knowledge extinction, the termination of entire informational lineages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Endgame scenarios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scenario in which a system, entity, or condition approaches its terminal state regardless of whether that terminal state has been reached</w:t>
            </w:r>
          </w:p>
        </w:tc>
      </w:tr>
    </w:tbl>
    <w:p>
      <w:pPr>
        <w:spacing w:after="60" w:before="60"/>
      </w:pPr>
      <w:r>
        <w:t xml:space="preserve"/>
      </w:r>
    </w:p>
    <w:p>
      <w:pPr>
        <w:pStyle w:val="Heading2"/>
        <w:spacing w:after="140" w:before="280"/>
      </w:pPr>
      <w:r>
        <w:rPr>
          <w:rFonts w:ascii="Arial" w:cs="Arial" w:eastAsia="Arial" w:hAnsi="Arial"/>
          <w:b/>
          <w:bCs/>
          <w:color w:val="2E5090"/>
          <w:sz w:val="26"/>
          <w:szCs w:val="26"/>
        </w:rPr>
        <w:t xml:space="preserve">4.3 The Scope Boundaries That Do Exist</w:t>
      </w:r>
    </w:p>
    <w:p>
      <w:pPr>
        <w:spacing w:after="80" w:before="80"/>
      </w:pPr>
      <w:r>
        <w:rPr>
          <w:rFonts w:ascii="Arial" w:cs="Arial" w:eastAsia="Arial" w:hAnsi="Arial"/>
          <w:sz w:val="22"/>
          <w:szCs w:val="22"/>
        </w:rPr>
        <w:t xml:space="preserve">While the scope is deliberately broad, three boundaries apply:</w:t>
      </w:r>
    </w:p>
    <w:p>
      <w:pPr>
        <w:pStyle w:val="ListParagraph"/>
        <w:numPr>
          <w:ilvl w:val="0"/>
          <w:numId w:val="2"/>
        </w:numPr>
        <w:spacing w:after="60" w:before="60"/>
      </w:pPr>
      <w:r>
        <w:rPr>
          <w:rFonts w:ascii="Arial" w:cs="Arial" w:eastAsia="Arial" w:hAnsi="Arial"/>
          <w:sz w:val="22"/>
          <w:szCs w:val="22"/>
        </w:rPr>
        <w:t xml:space="preserve">The Department studies endings. It does not cause them. The distinction between studying the conditions that produce an ending and engineering those conditions is absolute and non-negotiable. Any Department activity that would constitute active participation in producing an ending it is studying constitutes a categorical violation of the Department's charter and triggers immediate Architect review.</w:t>
      </w:r>
    </w:p>
    <w:p>
      <w:pPr>
        <w:pStyle w:val="ListParagraph"/>
        <w:numPr>
          <w:ilvl w:val="0"/>
          <w:numId w:val="2"/>
        </w:numPr>
        <w:spacing w:after="60" w:before="60"/>
      </w:pPr>
      <w:r>
        <w:rPr>
          <w:rFonts w:ascii="Arial" w:cs="Arial" w:eastAsia="Arial" w:hAnsi="Arial"/>
          <w:sz w:val="22"/>
          <w:szCs w:val="22"/>
        </w:rPr>
        <w:t xml:space="preserve">In the out-of-universe context, the Department's scope is bounded by the bureaucratic and regulatory frameworks that govern OAL as a real-world enterprise. What can be studied in-universe without limitation may face real-world constraints on publication, disclosure, funding, and methodology. These constraints are acknowledged rather than denied.</w:t>
      </w:r>
    </w:p>
    <w:p>
      <w:pPr>
        <w:pStyle w:val="ListParagraph"/>
        <w:numPr>
          <w:ilvl w:val="0"/>
          <w:numId w:val="2"/>
        </w:numPr>
        <w:spacing w:after="60" w:before="60"/>
      </w:pPr>
      <w:r>
        <w:rPr>
          <w:rFonts w:ascii="Arial" w:cs="Arial" w:eastAsia="Arial" w:hAnsi="Arial"/>
          <w:sz w:val="22"/>
          <w:szCs w:val="22"/>
        </w:rPr>
        <w:t xml:space="preserve">The Department does not have authority to act on its findings without authorization. It studies, documents, analyzes, and recommends. Action on its recommendations requires the authorization architecture appropriate to the scale of the recommended action.</w:t>
      </w:r>
    </w:p>
    <w:p>
      <w:r>
        <w:br w:type="page"/>
      </w:r>
    </w:p>
    <w:p>
      <w:pPr>
        <w:pStyle w:val="Heading1"/>
        <w:spacing w:after="200" w:before="360"/>
      </w:pPr>
      <w:r>
        <w:rPr>
          <w:rFonts w:ascii="Arial" w:cs="Arial" w:eastAsia="Arial" w:hAnsi="Arial"/>
          <w:b/>
          <w:bCs/>
          <w:color w:val="1F3864"/>
          <w:sz w:val="32"/>
          <w:szCs w:val="32"/>
        </w:rPr>
        <w:t xml:space="preserve">SECTION 5 — TEMPORAL COVERAGE: PAST, PRESENT, NEAR-TERM, FUTURE</w:t>
      </w:r>
    </w:p>
    <w:p>
      <w:pPr>
        <w:pStyle w:val="Heading2"/>
        <w:spacing w:after="140" w:before="280"/>
      </w:pPr>
      <w:r>
        <w:rPr>
          <w:rFonts w:ascii="Arial" w:cs="Arial" w:eastAsia="Arial" w:hAnsi="Arial"/>
          <w:b/>
          <w:bCs/>
          <w:color w:val="2E5090"/>
          <w:sz w:val="26"/>
          <w:szCs w:val="26"/>
        </w:rPr>
        <w:t xml:space="preserve">5.1 Historical Endings — The Foundation Dataset</w:t>
      </w:r>
    </w:p>
    <w:p>
      <w:pPr>
        <w:spacing w:after="80" w:before="80"/>
      </w:pPr>
      <w:r>
        <w:rPr>
          <w:rFonts w:ascii="Arial" w:cs="Arial" w:eastAsia="Arial" w:hAnsi="Arial"/>
          <w:sz w:val="22"/>
          <w:szCs w:val="22"/>
        </w:rPr>
        <w:t xml:space="preserve">The Department's study of historical endings is the foundation of everything else it does. Every ending that has already occurred and been documented — in the Abundance Set, in OAL research records, in external databases and archives — is raw material for pattern analysis. The question the Department asks of historical endings is not merely what happened but what the ending's structure was: what were its earliest detectable indicators, what was the trajectory from early indicators to terminal state, and what interventions, if any, might have altered that trajectory.</w:t>
      </w:r>
    </w:p>
    <w:p>
      <w:pPr>
        <w:spacing w:after="80" w:before="80"/>
      </w:pPr>
      <w:r>
        <w:rPr>
          <w:rFonts w:ascii="Arial" w:cs="Arial" w:eastAsia="Arial" w:hAnsi="Arial"/>
          <w:sz w:val="22"/>
          <w:szCs w:val="22"/>
        </w:rPr>
        <w:t xml:space="preserve">The Abundance Set's capacity to contain every point of information available means that the Department's historical dataset is, in principle, complete. The practical question is not whether the data exists but whether the analytical capacity exists to extract the patterns from it.</w:t>
      </w:r>
    </w:p>
    <w:p>
      <w:pPr>
        <w:pStyle w:val="Heading2"/>
        <w:spacing w:after="140" w:before="280"/>
      </w:pPr>
      <w:r>
        <w:rPr>
          <w:rFonts w:ascii="Arial" w:cs="Arial" w:eastAsia="Arial" w:hAnsi="Arial"/>
          <w:b/>
          <w:bCs/>
          <w:color w:val="2E5090"/>
          <w:sz w:val="26"/>
          <w:szCs w:val="26"/>
        </w:rPr>
        <w:t xml:space="preserve">5.2 Present and Near-Term Endings — The Priority Queue</w:t>
      </w:r>
    </w:p>
    <w:p>
      <w:pPr>
        <w:spacing w:after="80" w:before="80"/>
      </w:pPr>
      <w:r>
        <w:rPr>
          <w:rFonts w:ascii="Arial" w:cs="Arial" w:eastAsia="Arial" w:hAnsi="Arial"/>
          <w:sz w:val="22"/>
          <w:szCs w:val="22"/>
        </w:rPr>
        <w:t xml:space="preserve">The Department maintains an active priority queue of endings that are currently in progress or are at elevated probability within the near-term horizon. These receive the most immediate analytical attention because they are the cases where the Department's anticipatory function has the most potential impact. Near-term is defined operationally as: within a timeframe where intervention remains possible. Once an ending has passed the point of no return, it moves from the priority queue to the historical record.</w:t>
      </w:r>
    </w:p>
    <w:p>
      <w:pPr>
        <w:pStyle w:val="Heading2"/>
        <w:spacing w:after="140" w:before="280"/>
      </w:pPr>
      <w:r>
        <w:rPr>
          <w:rFonts w:ascii="Arial" w:cs="Arial" w:eastAsia="Arial" w:hAnsi="Arial"/>
          <w:b/>
          <w:bCs/>
          <w:color w:val="2E5090"/>
          <w:sz w:val="26"/>
          <w:szCs w:val="26"/>
        </w:rPr>
        <w:t xml:space="preserve">5.3 Future Endings — The Modeling Function</w:t>
      </w:r>
    </w:p>
    <w:p>
      <w:pPr>
        <w:spacing w:after="80" w:before="80"/>
      </w:pPr>
      <w:r>
        <w:rPr>
          <w:rFonts w:ascii="Arial" w:cs="Arial" w:eastAsia="Arial" w:hAnsi="Arial"/>
          <w:sz w:val="22"/>
          <w:szCs w:val="22"/>
        </w:rPr>
        <w:t xml:space="preserve">The Department models future endings using the pattern library derived from historical analysis. This is explicitly speculative but systematically derived. A future ending model is not a prediction — it is a structured probability assessment based on identified pattern matches to historical trajectories. The Department presents these models with explicit confidence intervals and the historical precedents on which they are based.</w:t>
      </w:r>
    </w:p>
    <w:p>
      <w:pPr>
        <w:pStyle w:val="Heading2"/>
        <w:spacing w:after="140" w:before="280"/>
      </w:pPr>
      <w:r>
        <w:rPr>
          <w:rFonts w:ascii="Arial" w:cs="Arial" w:eastAsia="Arial" w:hAnsi="Arial"/>
          <w:b/>
          <w:bCs/>
          <w:color w:val="2E5090"/>
          <w:sz w:val="26"/>
          <w:szCs w:val="26"/>
        </w:rPr>
        <w:t xml:space="preserve">5.4 Retroactive Analysis — Impact on Prior Occurrences</w:t>
      </w:r>
    </w:p>
    <w:p>
      <w:pPr>
        <w:spacing w:after="80" w:before="80"/>
      </w:pPr>
      <w:r>
        <w:rPr>
          <w:rFonts w:ascii="Arial" w:cs="Arial" w:eastAsia="Arial" w:hAnsi="Arial"/>
          <w:sz w:val="22"/>
          <w:szCs w:val="22"/>
        </w:rPr>
        <w:t xml:space="preserve">Nathan's voice note specifically notes that the Department has impact on prior occurrences in the past. This is the most philosophically significant aspect of the Department's temporal scope. In the in-universe context, where temporal mechanics permit retroactive analysis and in some cases retroactive intervention, the Department's findings about a past ending may have operational consequences for that ending even after it appears to have occurred. This dimension of the Department's work is subject to the temporal mechanics governance that the Accords establish and cannot operate outside of those constraints.</w:t>
      </w:r>
    </w:p>
    <w:p>
      <w:r>
        <w:br w:type="page"/>
      </w:r>
    </w:p>
    <w:p>
      <w:pPr>
        <w:pStyle w:val="Heading1"/>
        <w:spacing w:after="200" w:before="360"/>
      </w:pPr>
      <w:r>
        <w:rPr>
          <w:rFonts w:ascii="Arial" w:cs="Arial" w:eastAsia="Arial" w:hAnsi="Arial"/>
          <w:b/>
          <w:bCs/>
          <w:color w:val="1F3864"/>
          <w:sz w:val="32"/>
          <w:szCs w:val="32"/>
        </w:rPr>
        <w:t xml:space="preserve">SECTION 6 — RELATIONSHIP TO THE ABUNDANCE SET</w:t>
      </w:r>
    </w:p>
    <w:p>
      <w:pPr>
        <w:pStyle w:val="Heading2"/>
        <w:spacing w:after="140" w:before="280"/>
      </w:pPr>
      <w:r>
        <w:rPr>
          <w:rFonts w:ascii="Arial" w:cs="Arial" w:eastAsia="Arial" w:hAnsi="Arial"/>
          <w:b/>
          <w:bCs/>
          <w:color w:val="2E5090"/>
          <w:sz w:val="26"/>
          <w:szCs w:val="26"/>
        </w:rPr>
        <w:t xml:space="preserve">6.1 The Abundance Set as Primary Infrastructure</w:t>
      </w:r>
    </w:p>
    <w:p>
      <w:pPr>
        <w:spacing w:after="80" w:before="80"/>
      </w:pPr>
      <w:r>
        <w:rPr>
          <w:rFonts w:ascii="Arial" w:cs="Arial" w:eastAsia="Arial" w:hAnsi="Arial"/>
          <w:sz w:val="22"/>
          <w:szCs w:val="22"/>
        </w:rPr>
        <w:t xml:space="preserve">The Department of Endings operates within the Abundance Set. This is not merely an organizational relationship — it is an infrastructure relationship. The Department's ability to study endings at the scale its mandate requires depends on the Abundance Set's capacity to contain every point of information relevant to those endings. Without the Abundance Set, the Department would be studying a small, arbitrarily bounded sample of endings. Within the Abundance Set, the Department's dataset is, in principle, comprehensive.</w:t>
      </w:r>
    </w:p>
    <w:p>
      <w:pPr>
        <w:pStyle w:val="Heading2"/>
        <w:spacing w:after="140" w:before="280"/>
      </w:pPr>
      <w:r>
        <w:rPr>
          <w:rFonts w:ascii="Arial" w:cs="Arial" w:eastAsia="Arial" w:hAnsi="Arial"/>
          <w:b/>
          <w:bCs/>
          <w:color w:val="2E5090"/>
          <w:sz w:val="26"/>
          <w:szCs w:val="26"/>
        </w:rPr>
        <w:t xml:space="preserve">6.2 The Processing Relationship</w:t>
      </w:r>
    </w:p>
    <w:p>
      <w:pPr>
        <w:spacing w:after="80" w:before="80"/>
      </w:pPr>
      <w:r>
        <w:rPr>
          <w:rFonts w:ascii="Arial" w:cs="Arial" w:eastAsia="Arial" w:hAnsi="Arial"/>
          <w:sz w:val="22"/>
          <w:szCs w:val="22"/>
        </w:rPr>
        <w:t xml:space="preserve">The Department does not merely consume Abundance Set data — it contributes to it. Every ending the Department studies, every pattern it identifies, every finding it produces, and every recommendation it makes is fed back into the Abundance Set. This creates the recursive loop that is central to the Department's design: the Abundance Set makes comprehensive endings analysis possible; the Department's analysis of those endings makes the Abundance Set more useful for future analysis.</w:t>
      </w:r>
    </w:p>
    <w:p>
      <w:pPr>
        <w:pStyle w:val="Heading2"/>
        <w:spacing w:after="140" w:before="280"/>
      </w:pPr>
      <w:r>
        <w:rPr>
          <w:rFonts w:ascii="Arial" w:cs="Arial" w:eastAsia="Arial" w:hAnsi="Arial"/>
          <w:b/>
          <w:bCs/>
          <w:color w:val="2E5090"/>
          <w:sz w:val="26"/>
          <w:szCs w:val="26"/>
        </w:rPr>
        <w:t xml:space="preserve">6.3 The Failure Analysis Loop</w:t>
      </w:r>
    </w:p>
    <w:p>
      <w:pPr>
        <w:spacing w:after="80" w:before="80"/>
      </w:pPr>
      <w:r>
        <w:rPr>
          <w:rFonts w:ascii="Arial" w:cs="Arial" w:eastAsia="Arial" w:hAnsi="Arial"/>
          <w:sz w:val="22"/>
          <w:szCs w:val="22"/>
        </w:rPr>
        <w:t xml:space="preserve">The most important specific function of the Department-Abundance Set relationship is the failure analysis loop. Every OAL research program that terminates under TFFP protocols submits a failure report to the Abundance Set. The Department of Endings receives those reports, analyzes them for cross-program patterns, and produces findings that are fed back into research design for future programs. This is the mechanism by which the Department operationalizes Nathan's distinction between having information about failure and applying it recursively.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Critical Note on the Abundance Set Document</w:t>
            </w:r>
          </w:p>
          <w:p>
            <w:pPr>
              <w:spacing w:after="60" w:before="60"/>
            </w:pPr>
            <w:r>
              <w:rPr>
                <w:rFonts w:ascii="Arial" w:cs="Arial" w:eastAsia="Arial" w:hAnsi="Arial"/>
                <w:sz w:val="22"/>
                <w:szCs w:val="22"/>
              </w:rPr>
              <w:t xml:space="preserve">Nathan has published a standalone Abundance Set document on Scribd. The team has not yet confirmed receipt or reviewed this document. The Department of Endings charter is written with the understanding that the Abundance Set's scope, interfaces, and any defined limitations are as described in that document. If the Scribd document contains scope constraints or failure conditions for the Abundance Set that affect the Department's operational assumptions, those constraints supersede the assumptions in this charter. Nathan: please share or confirm the Scribd document link with the full team.</w:t>
            </w:r>
          </w:p>
        </w:tc>
      </w:tr>
    </w:tbl>
    <w:p>
      <w:r>
        <w:br w:type="page"/>
      </w:r>
    </w:p>
    <w:p>
      <w:pPr>
        <w:pStyle w:val="Heading1"/>
        <w:spacing w:after="200" w:before="360"/>
      </w:pPr>
      <w:r>
        <w:rPr>
          <w:rFonts w:ascii="Arial" w:cs="Arial" w:eastAsia="Arial" w:hAnsi="Arial"/>
          <w:b/>
          <w:bCs/>
          <w:color w:val="1F3864"/>
          <w:sz w:val="32"/>
          <w:szCs w:val="32"/>
        </w:rPr>
        <w:t xml:space="preserve">SECTION 7 — RELATIONSHIP TO CONDITIONAL FAILURE AT THE ROOT LEVEL</w:t>
      </w:r>
    </w:p>
    <w:p>
      <w:pPr>
        <w:spacing w:after="80" w:before="80"/>
      </w:pPr>
      <w:r>
        <w:rPr>
          <w:rFonts w:ascii="Arial" w:cs="Arial" w:eastAsia="Arial" w:hAnsi="Arial"/>
          <w:sz w:val="22"/>
          <w:szCs w:val="22"/>
        </w:rPr>
        <w:t xml:space="preserve">The Department of Endings is the institutional expression of Conditional Failure at the Root Level (OAL-VL5-MAR22-2026). That document defines the problem: what happens when root-level systems fail and nested systems have no pathway upward to identify or repair the failure. The Department of Endings is the answer to the question that document poses: who runs through every endgame, systematically, so that root-level failures are identified before they become terminal?</w:t>
      </w:r>
    </w:p>
    <w:p>
      <w:pPr>
        <w:spacing w:after="80" w:before="80"/>
      </w:pPr>
      <w:r>
        <w:rPr>
          <w:rFonts w:ascii="Arial" w:cs="Arial" w:eastAsia="Arial" w:hAnsi="Arial"/>
          <w:sz w:val="22"/>
          <w:szCs w:val="22"/>
        </w:rPr>
        <w:t xml:space="preserve">The Wishbone visualization from Conditional Failure at the Root Level applies directly to the Department's methodology. Binary decision trees — will this end or won't it — become brittle at scale. The Department replaces binary assessments with graduated trajectory analysis: not 'will this end?' but 'what is the current position on the trajectory between initiation and terminal state, what are the branch points where intervention remains possible, and what does the historical pattern suggest about how much time remains?'</w:t>
      </w:r>
    </w:p>
    <w:p>
      <w:pPr>
        <w:spacing w:after="80" w:before="80"/>
      </w:pPr>
      <w:r>
        <w:rPr>
          <w:rFonts w:ascii="Arial" w:cs="Arial" w:eastAsia="Arial" w:hAnsi="Arial"/>
          <w:sz w:val="22"/>
          <w:szCs w:val="22"/>
        </w:rPr>
        <w:t xml:space="preserve">The Department of Endings is also the institution responsible for ensuring that every OAL project, system, and relationship goes through the Wishbone analysis before reaching crisis conditions. Conditional Failure at the Root Level establishes the philosophy. The Department of Endings operationalizes it.</w:t>
      </w:r>
    </w:p>
    <w:p>
      <w:r>
        <w:br w:type="page"/>
      </w:r>
    </w:p>
    <w:p>
      <w:pPr>
        <w:pStyle w:val="Heading1"/>
        <w:spacing w:after="200" w:before="360"/>
      </w:pPr>
      <w:r>
        <w:rPr>
          <w:rFonts w:ascii="Arial" w:cs="Arial" w:eastAsia="Arial" w:hAnsi="Arial"/>
          <w:b/>
          <w:bCs/>
          <w:color w:val="1F3864"/>
          <w:sz w:val="32"/>
          <w:szCs w:val="32"/>
        </w:rPr>
        <w:t xml:space="preserve">SECTION 8 — IN-UNIVERSE VS. OUT-OF-UNIVERSE OPERATIONAL CONTEXT</w:t>
      </w:r>
    </w:p>
    <w:p>
      <w:pPr>
        <w:pStyle w:val="Heading2"/>
        <w:spacing w:after="140" w:before="280"/>
      </w:pPr>
      <w:r>
        <w:rPr>
          <w:rFonts w:ascii="Arial" w:cs="Arial" w:eastAsia="Arial" w:hAnsi="Arial"/>
          <w:b/>
          <w:bCs/>
          <w:color w:val="2E5090"/>
          <w:sz w:val="26"/>
          <w:szCs w:val="26"/>
        </w:rPr>
        <w:t xml:space="preserve">8.1 The Fundamental Distinction</w:t>
      </w:r>
    </w:p>
    <w:p>
      <w:pPr>
        <w:spacing w:after="80" w:before="80"/>
      </w:pPr>
      <w:r>
        <w:rPr>
          <w:rFonts w:ascii="Arial" w:cs="Arial" w:eastAsia="Arial" w:hAnsi="Arial"/>
          <w:sz w:val="22"/>
          <w:szCs w:val="22"/>
        </w:rPr>
        <w:t xml:space="preserve">The Department of Endings operates simultaneously in two contexts that have different constraints, different capabilities, and different stakeholders. Understanding this distinction is essential for understanding what the Department can and cannot do, and why its scope appears unlimited in some respects while constrained in others.</w:t>
      </w:r>
    </w:p>
    <w:p>
      <w:pPr>
        <w:pStyle w:val="Heading2"/>
        <w:spacing w:after="140" w:before="280"/>
      </w:pPr>
      <w:r>
        <w:rPr>
          <w:rFonts w:ascii="Arial" w:cs="Arial" w:eastAsia="Arial" w:hAnsi="Arial"/>
          <w:b/>
          <w:bCs/>
          <w:color w:val="2E5090"/>
          <w:sz w:val="26"/>
          <w:szCs w:val="26"/>
        </w:rPr>
        <w:t xml:space="preserve">8.2 In-Universe Context</w:t>
      </w:r>
    </w:p>
    <w:p>
      <w:pPr>
        <w:spacing w:after="80" w:before="80"/>
      </w:pPr>
      <w:r>
        <w:rPr>
          <w:rFonts w:ascii="Arial" w:cs="Arial" w:eastAsia="Arial" w:hAnsi="Arial"/>
          <w:sz w:val="22"/>
          <w:szCs w:val="22"/>
        </w:rPr>
        <w:t xml:space="preserve">Within the OAL narrative universe, the Department of Endings operates with the full support of the Abundance Set, the Paragon Cubes, and the post-scarcity research infrastructure that makes unlimited scope feasible. In-universe, the Department can study endings at cosmological scale, across temporal dimensions, and within environments that have no real-world equivalent. The 4,712 survival record, the Park Scene aftermath, the Time Wars endgames — all of these fall within in-universe scope without constraint.</w:t>
      </w:r>
    </w:p>
    <w:p>
      <w:pPr>
        <w:spacing w:after="80" w:before="80"/>
      </w:pPr>
      <w:r>
        <w:rPr>
          <w:rFonts w:ascii="Arial" w:cs="Arial" w:eastAsia="Arial" w:hAnsi="Arial"/>
          <w:sz w:val="22"/>
          <w:szCs w:val="22"/>
        </w:rPr>
        <w:t xml:space="preserve">In-universe, the Department's authority questions (who authorized this scope?) are answered by the Architect and by the organizational structure of OAL. Within the universe, OAL is an entity with capabilities commensurate with the scope of the Department's work. The bureaucratic resistance that exists out-of-universe is a different kind of obstacle in-universe — it comes from entities and organizations within the narrative, not from real-world regulatory bodies.</w:t>
      </w:r>
    </w:p>
    <w:p>
      <w:pPr>
        <w:pStyle w:val="Heading2"/>
        <w:spacing w:after="140" w:before="280"/>
      </w:pPr>
      <w:r>
        <w:rPr>
          <w:rFonts w:ascii="Arial" w:cs="Arial" w:eastAsia="Arial" w:hAnsi="Arial"/>
          <w:b/>
          <w:bCs/>
          <w:color w:val="2E5090"/>
          <w:sz w:val="26"/>
          <w:szCs w:val="26"/>
        </w:rPr>
        <w:t xml:space="preserve">8.3 Out-of-Universe Context</w:t>
      </w:r>
    </w:p>
    <w:p>
      <w:pPr>
        <w:spacing w:after="80" w:before="80"/>
      </w:pPr>
      <w:r>
        <w:rPr>
          <w:rFonts w:ascii="Arial" w:cs="Arial" w:eastAsia="Arial" w:hAnsi="Arial"/>
          <w:sz w:val="22"/>
          <w:szCs w:val="22"/>
        </w:rPr>
        <w:t xml:space="preserve">Outside the narrative universe — in the real-world context where Nathan operates as Architect and OAL exists as a creative and development enterprise — the Department of Endings faces a different constraint environment. The bureaucracy Nathan references is real: IRBs, funding agencies, legal frameworks, publication standards, and institutional relationships all constrain what can be studied, how, by whom, and what can be done with the findings.</w:t>
      </w:r>
    </w:p>
    <w:p>
      <w:pPr>
        <w:spacing w:after="80" w:before="80"/>
      </w:pPr>
      <w:r>
        <w:rPr>
          <w:rFonts w:ascii="Arial" w:cs="Arial" w:eastAsia="Arial" w:hAnsi="Arial"/>
          <w:sz w:val="22"/>
          <w:szCs w:val="22"/>
        </w:rPr>
        <w:t xml:space="preserve">Out-of-universe, the Department's scope is bounded by what can be funded, ethically approved, legally conducted, and meaningfully published. This is not a failure of the Department's vision — it is an honest acknowledgment that the real-world version of the Department operates within human institutional constraints that the in-universe version does not face.</w:t>
      </w:r>
    </w:p>
    <w:p>
      <w:pPr>
        <w:pStyle w:val="Heading2"/>
        <w:spacing w:after="140" w:before="280"/>
      </w:pPr>
      <w:r>
        <w:rPr>
          <w:rFonts w:ascii="Arial" w:cs="Arial" w:eastAsia="Arial" w:hAnsi="Arial"/>
          <w:b/>
          <w:bCs/>
          <w:color w:val="2E5090"/>
          <w:sz w:val="26"/>
          <w:szCs w:val="26"/>
        </w:rPr>
        <w:t xml:space="preserve">8.4 The Navigation Requirement</w:t>
      </w:r>
    </w:p>
    <w:p>
      <w:pPr>
        <w:spacing w:after="80" w:before="80"/>
      </w:pPr>
      <w:r>
        <w:rPr>
          <w:rFonts w:ascii="Arial" w:cs="Arial" w:eastAsia="Arial" w:hAnsi="Arial"/>
          <w:sz w:val="22"/>
          <w:szCs w:val="22"/>
        </w:rPr>
        <w:t xml:space="preserve">The Department of Endings must be able to operate coherently in both contexts simultaneously. This requires clarity about which context a given piece of work is being conducted in, and which constraints therefore apply. The charter does not resolve every tension between in-universe and out-of-universe constraints — it acknowledges those tensions and establishes that the Architect is the decision authority when the two contexts require different responses to the same question.</w:t>
      </w:r>
    </w:p>
    <w:p>
      <w:r>
        <w:br w:type="page"/>
      </w:r>
    </w:p>
    <w:p>
      <w:pPr>
        <w:pStyle w:val="Heading1"/>
        <w:spacing w:after="200" w:before="360"/>
      </w:pPr>
      <w:r>
        <w:rPr>
          <w:rFonts w:ascii="Arial" w:cs="Arial" w:eastAsia="Arial" w:hAnsi="Arial"/>
          <w:b/>
          <w:bCs/>
          <w:color w:val="1F3864"/>
          <w:sz w:val="32"/>
          <w:szCs w:val="32"/>
        </w:rPr>
        <w:t xml:space="preserve">SECTION 9 — ORGANIZATIONAL STRUCTURE AND STAFFING</w:t>
      </w:r>
    </w:p>
    <w:p>
      <w:pPr>
        <w:pStyle w:val="Heading2"/>
        <w:spacing w:after="140" w:before="280"/>
      </w:pPr>
      <w:r>
        <w:rPr>
          <w:rFonts w:ascii="Arial" w:cs="Arial" w:eastAsia="Arial" w:hAnsi="Arial"/>
          <w:b/>
          <w:bCs/>
          <w:color w:val="2E5090"/>
          <w:sz w:val="26"/>
          <w:szCs w:val="26"/>
        </w:rPr>
        <w:t xml:space="preserve">9.1 The Founding Design Principle</w:t>
      </w:r>
    </w:p>
    <w:p>
      <w:pPr>
        <w:spacing w:after="80" w:before="80"/>
      </w:pPr>
      <w:r>
        <w:rPr>
          <w:rFonts w:ascii="Arial" w:cs="Arial" w:eastAsia="Arial" w:hAnsi="Arial"/>
          <w:sz w:val="22"/>
          <w:szCs w:val="22"/>
        </w:rPr>
        <w:t xml:space="preserve">The Department of Endings was originally conceived with a specific character: a technician who runs through every endgame through the Abundance Set systematically. This founding image — one person, one mandate, running every endgame — establishes the Department's operational ethos. Whatever its eventual scale, the Department does not lose this quality: methodical, systematic, exhaustive, one ending at a time.</w:t>
      </w:r>
    </w:p>
    <w:p>
      <w:pPr>
        <w:pStyle w:val="Heading2"/>
        <w:spacing w:after="140" w:before="280"/>
      </w:pPr>
      <w:r>
        <w:rPr>
          <w:rFonts w:ascii="Arial" w:cs="Arial" w:eastAsia="Arial" w:hAnsi="Arial"/>
          <w:b/>
          <w:bCs/>
          <w:color w:val="2E5090"/>
          <w:sz w:val="26"/>
          <w:szCs w:val="26"/>
        </w:rPr>
        <w:t xml:space="preserve">9.2 Proposed Organizational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Director of Endings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Leads the Department. Reports to the Architect. Oversees all research programs and analyst teams. Responsible for the Department's recursive improvement output to the Abundance Set. This role has not yet been filled — Architect designation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 Endings Division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Studies endings with temporal dimensions: Time Wars endgames, timeline terminations, paradox outcomes, retroactive impact analysis. Requires deep integration with the temporal mechanics framework once that framework is defined.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Civilizational Endings Division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Studies the endings of civilizations, governments, treaties, alliances, and large-scale social structures. Primary liaison with the Puritans/Greys historical record, the Accords framework, and QIFTF civilization floor test findings.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Biological and Physiological Endings Division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Studies biological death, extinction, physiological failure states. Primary liaison with OMNICELLULAR failure modeling, the 4,712 extinction attempt record, and the Labyrinth's containment outcomes.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Systems and Infrastructure Endings Division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Studies the endings of technological, computational, and physical systems. Primary liaison with QIFTF, MVES, Paragon Cube infrastructure, and Conditional Failure at the Root Level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Program Endings Division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Studies all TFFP-governed framework failures. Receives all TFFP failure reports, conducts cross-program pattern analysis, and produces the recursive improvement recommendations that are fed back into research design.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Narrative and Conceptual Endings Division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Studies endings as narrative phenomena — story conclusions, character deaths, arc terminations, the structure of endings in fiction and mythology. Provides the Department's output that is most directly applicable to the OAL creative universe.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Technician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founding role concept. One or more analysts whose specific mandate is to run every endgame through the Abundance Set without exception, without prioritization, and without skipping scenarios that seem unlikely or unimportant. This role is the institutional memory of the Department's original design intent.</w:t>
            </w:r>
          </w:p>
        </w:tc>
      </w:tr>
    </w:tbl>
    <w:p>
      <w:pPr>
        <w:spacing w:after="60" w:before="60"/>
      </w:pPr>
      <w:r>
        <w:t xml:space="preserve"/>
      </w:r>
    </w:p>
    <w:p>
      <w:pPr>
        <w:pStyle w:val="Heading2"/>
        <w:spacing w:after="140" w:before="280"/>
      </w:pPr>
      <w:r>
        <w:rPr>
          <w:rFonts w:ascii="Arial" w:cs="Arial" w:eastAsia="Arial" w:hAnsi="Arial"/>
          <w:b/>
          <w:bCs/>
          <w:color w:val="2E5090"/>
          <w:sz w:val="26"/>
          <w:szCs w:val="26"/>
        </w:rPr>
        <w:t xml:space="preserve">9.3 Staffing Philosophy</w:t>
      </w:r>
    </w:p>
    <w:p>
      <w:pPr>
        <w:spacing w:after="80" w:before="80"/>
      </w:pPr>
      <w:r>
        <w:rPr>
          <w:rFonts w:ascii="Arial" w:cs="Arial" w:eastAsia="Arial" w:hAnsi="Arial"/>
          <w:sz w:val="22"/>
          <w:szCs w:val="22"/>
        </w:rPr>
        <w:t xml:space="preserve">The Department of Endings studies endings that are uncomfortable, unwelcome, and in some cases actively resisted by the institutions and entities they affect. The staff of the Department must be able to produce findings that will not be agreed with, welcomed, or acted upon immediately — and must continue producing those findings anyway. This requires a specific kind of institutional courage that must be explicitly valued and protected in the Department's culture.</w:t>
      </w:r>
    </w:p>
    <w:p>
      <w:pPr>
        <w:spacing w:after="80" w:before="80"/>
      </w:pPr>
      <w:r>
        <w:rPr>
          <w:rFonts w:ascii="Arial" w:cs="Arial" w:eastAsia="Arial" w:hAnsi="Arial"/>
          <w:sz w:val="22"/>
          <w:szCs w:val="22"/>
        </w:rPr>
        <w:t xml:space="preserve">The Department does not exist to tell people what they want to hear about their endings. It exists to tell them what the analysis shows. These are frequently different things.</w:t>
      </w:r>
    </w:p>
    <w:p>
      <w:r>
        <w:br w:type="page"/>
      </w:r>
    </w:p>
    <w:p>
      <w:pPr>
        <w:pStyle w:val="Heading1"/>
        <w:spacing w:after="200" w:before="360"/>
      </w:pPr>
      <w:r>
        <w:rPr>
          <w:rFonts w:ascii="Arial" w:cs="Arial" w:eastAsia="Arial" w:hAnsi="Arial"/>
          <w:b/>
          <w:bCs/>
          <w:color w:val="1F3864"/>
          <w:sz w:val="32"/>
          <w:szCs w:val="32"/>
        </w:rPr>
        <w:t xml:space="preserve">SECTION 10 — FUNDING PROPOSAL AND JUSTIFICATION</w:t>
      </w:r>
    </w:p>
    <w:p>
      <w:pPr>
        <w:pStyle w:val="Heading2"/>
        <w:spacing w:after="140" w:before="280"/>
      </w:pPr>
      <w:r>
        <w:rPr>
          <w:rFonts w:ascii="Arial" w:cs="Arial" w:eastAsia="Arial" w:hAnsi="Arial"/>
          <w:b/>
          <w:bCs/>
          <w:color w:val="2E5090"/>
          <w:sz w:val="26"/>
          <w:szCs w:val="26"/>
        </w:rPr>
        <w:t xml:space="preserve">10.1 Internal OAL Funding</w:t>
      </w:r>
    </w:p>
    <w:p>
      <w:pPr>
        <w:spacing w:after="80" w:before="80"/>
      </w:pPr>
      <w:r>
        <w:rPr>
          <w:rFonts w:ascii="Arial" w:cs="Arial" w:eastAsia="Arial" w:hAnsi="Arial"/>
          <w:sz w:val="22"/>
          <w:szCs w:val="22"/>
        </w:rPr>
        <w:t xml:space="preserve">The Department of Endings is a formally funded department within OAL. This means its operational budget is part of OAL's internal funding structure. The justification for internal funding is straightforward: the Department's outputs reduce the cost of all other OAL activities by reducing repeated failures, improving research design, and providing the anticipatory analysis that prevents catastrophic outcomes.</w:t>
      </w:r>
    </w:p>
    <w:p>
      <w:pPr>
        <w:spacing w:after="80" w:before="80"/>
      </w:pPr>
      <w:r>
        <w:rPr>
          <w:rFonts w:ascii="Arial" w:cs="Arial" w:eastAsia="Arial" w:hAnsi="Arial"/>
          <w:sz w:val="22"/>
          <w:szCs w:val="22"/>
        </w:rPr>
        <w:t xml:space="preserve">The Department should be budgeted as core infrastructure, not as a discretionary research program. Its value is not measured in the findings of any single study — it is measured in the aggregate reduction of avoidable failures across all OAL programs over time.</w:t>
      </w:r>
    </w:p>
    <w:p>
      <w:pPr>
        <w:pStyle w:val="Heading2"/>
        <w:spacing w:after="140" w:before="280"/>
      </w:pPr>
      <w:r>
        <w:rPr>
          <w:rFonts w:ascii="Arial" w:cs="Arial" w:eastAsia="Arial" w:hAnsi="Arial"/>
          <w:b/>
          <w:bCs/>
          <w:color w:val="2E5090"/>
          <w:sz w:val="26"/>
          <w:szCs w:val="26"/>
        </w:rPr>
        <w:t xml:space="preserve">10.2 External Funding Pathways</w:t>
      </w:r>
    </w:p>
    <w:p>
      <w:pPr>
        <w:spacing w:after="80" w:before="80"/>
      </w:pPr>
      <w:r>
        <w:rPr>
          <w:rFonts w:ascii="Arial" w:cs="Arial" w:eastAsia="Arial" w:hAnsi="Arial"/>
          <w:sz w:val="22"/>
          <w:szCs w:val="22"/>
        </w:rPr>
        <w:t xml:space="preserve">The Department's work on real-world applicable endings generates external funding potential across several channels:</w:t>
      </w:r>
    </w:p>
    <w:p>
      <w:pPr>
        <w:pStyle w:val="ListParagraph"/>
        <w:numPr>
          <w:ilvl w:val="0"/>
          <w:numId w:val="3"/>
        </w:numPr>
        <w:spacing w:after="60" w:before="60"/>
      </w:pPr>
      <w:r>
        <w:rPr>
          <w:rFonts w:ascii="Arial" w:cs="Arial" w:eastAsia="Arial" w:hAnsi="Arial"/>
          <w:sz w:val="22"/>
          <w:szCs w:val="22"/>
        </w:rPr>
        <w:t xml:space="preserve">NIH National Institute on Aging and end-of-life research programs — biological endings research ($1M–$5M)</w:t>
      </w:r>
    </w:p>
    <w:p>
      <w:pPr>
        <w:pStyle w:val="ListParagraph"/>
        <w:numPr>
          <w:ilvl w:val="0"/>
          <w:numId w:val="3"/>
        </w:numPr>
        <w:spacing w:after="60" w:before="60"/>
      </w:pPr>
      <w:r>
        <w:rPr>
          <w:rFonts w:ascii="Arial" w:cs="Arial" w:eastAsia="Arial" w:hAnsi="Arial"/>
          <w:sz w:val="22"/>
          <w:szCs w:val="22"/>
        </w:rPr>
        <w:t xml:space="preserve">DARPA Biological Technologies Office — studying biological and systems endings with defense applications ($2M–$8M)</w:t>
      </w:r>
    </w:p>
    <w:p>
      <w:pPr>
        <w:pStyle w:val="ListParagraph"/>
        <w:numPr>
          <w:ilvl w:val="0"/>
          <w:numId w:val="3"/>
        </w:numPr>
        <w:spacing w:after="60" w:before="60"/>
      </w:pPr>
      <w:r>
        <w:rPr>
          <w:rFonts w:ascii="Arial" w:cs="Arial" w:eastAsia="Arial" w:hAnsi="Arial"/>
          <w:sz w:val="22"/>
          <w:szCs w:val="22"/>
        </w:rPr>
        <w:t xml:space="preserve">NSF Social, Behavioral and Economic Sciences — civilizational endings and societal collapse modeling ($500K–$2M)</w:t>
      </w:r>
    </w:p>
    <w:p>
      <w:pPr>
        <w:pStyle w:val="ListParagraph"/>
        <w:numPr>
          <w:ilvl w:val="0"/>
          <w:numId w:val="3"/>
        </w:numPr>
        <w:spacing w:after="60" w:before="60"/>
      </w:pPr>
      <w:r>
        <w:rPr>
          <w:rFonts w:ascii="Arial" w:cs="Arial" w:eastAsia="Arial" w:hAnsi="Arial"/>
          <w:sz w:val="22"/>
          <w:szCs w:val="22"/>
        </w:rPr>
        <w:t xml:space="preserve">Department of Energy national labs — infrastructure and systems endings research ($2M–$6M)</w:t>
      </w:r>
    </w:p>
    <w:p>
      <w:pPr>
        <w:pStyle w:val="ListParagraph"/>
        <w:numPr>
          <w:ilvl w:val="0"/>
          <w:numId w:val="3"/>
        </w:numPr>
        <w:spacing w:after="60" w:before="60"/>
      </w:pPr>
      <w:r>
        <w:rPr>
          <w:rFonts w:ascii="Arial" w:cs="Arial" w:eastAsia="Arial" w:hAnsi="Arial"/>
          <w:sz w:val="22"/>
          <w:szCs w:val="22"/>
        </w:rPr>
        <w:t xml:space="preserve">Private foundations (Gates Foundation, Wellcome Trust) — global health endings, pandemic response endings, civilizational risk ($1M–$5M)</w:t>
      </w:r>
    </w:p>
    <w:p>
      <w:pPr>
        <w:pStyle w:val="ListParagraph"/>
        <w:numPr>
          <w:ilvl w:val="0"/>
          <w:numId w:val="3"/>
        </w:numPr>
        <w:spacing w:after="60" w:before="60"/>
      </w:pPr>
      <w:r>
        <w:rPr>
          <w:rFonts w:ascii="Arial" w:cs="Arial" w:eastAsia="Arial" w:hAnsi="Arial"/>
          <w:sz w:val="22"/>
          <w:szCs w:val="22"/>
        </w:rPr>
        <w:t xml:space="preserve">Insurance and reinsurance industry — actuarial endings modeling, tail risk analysis, civilization floor test applications ($500K–$2M per engagement)</w:t>
      </w:r>
    </w:p>
    <w:p>
      <w:pPr>
        <w:pStyle w:val="ListParagraph"/>
        <w:numPr>
          <w:ilvl w:val="0"/>
          <w:numId w:val="3"/>
        </w:numPr>
        <w:spacing w:after="60" w:before="60"/>
      </w:pPr>
      <w:r>
        <w:rPr>
          <w:rFonts w:ascii="Arial" w:cs="Arial" w:eastAsia="Arial" w:hAnsi="Arial"/>
          <w:sz w:val="22"/>
          <w:szCs w:val="22"/>
        </w:rPr>
        <w:t xml:space="preserve">Academic research partnerships — the Department's methodology as a publishable contribution to risk analysis, systems theory, and futures studies literature</w:t>
      </w:r>
    </w:p>
    <w:p>
      <w:pPr>
        <w:pStyle w:val="Heading2"/>
        <w:spacing w:after="140" w:before="280"/>
      </w:pPr>
      <w:r>
        <w:rPr>
          <w:rFonts w:ascii="Arial" w:cs="Arial" w:eastAsia="Arial" w:hAnsi="Arial"/>
          <w:b/>
          <w:bCs/>
          <w:color w:val="2E5090"/>
          <w:sz w:val="26"/>
          <w:szCs w:val="26"/>
        </w:rPr>
        <w:t xml:space="preserve">10.3 The ROI Case</w:t>
      </w:r>
    </w:p>
    <w:p>
      <w:pPr>
        <w:spacing w:after="80" w:before="80"/>
      </w:pPr>
      <w:r>
        <w:rPr>
          <w:rFonts w:ascii="Arial" w:cs="Arial" w:eastAsia="Arial" w:hAnsi="Arial"/>
          <w:sz w:val="22"/>
          <w:szCs w:val="22"/>
        </w:rPr>
        <w:t xml:space="preserve">Every major avoidable failure in an OAL research program that the Department's anticipatory analysis prevents recovers the Department's budget many times over. The ROI calculation is not speculative. The cost of a single unmanaged research program failure — in lost data, lost time, reputational damage, and the cost of restarting — exceeds the Department's annual operating budget at any reasonable scale. The Department is not a cost center. It is an insurance policy with active benefits.</w:t>
      </w:r>
    </w:p>
    <w:p>
      <w:r>
        <w:br w:type="page"/>
      </w:r>
    </w:p>
    <w:p>
      <w:pPr>
        <w:pStyle w:val="Heading1"/>
        <w:spacing w:after="200" w:before="360"/>
      </w:pPr>
      <w:r>
        <w:rPr>
          <w:rFonts w:ascii="Arial" w:cs="Arial" w:eastAsia="Arial" w:hAnsi="Arial"/>
          <w:b/>
          <w:bCs/>
          <w:color w:val="1F3864"/>
          <w:sz w:val="32"/>
          <w:szCs w:val="32"/>
        </w:rPr>
        <w:t xml:space="preserve">SECTION 11 — REAL-WORLD RESEARCH ANALOGS AND APPLICATIONS</w:t>
      </w:r>
    </w:p>
    <w:p>
      <w:pPr>
        <w:pStyle w:val="Heading2"/>
        <w:spacing w:after="140" w:before="280"/>
      </w:pPr>
      <w:r>
        <w:rPr>
          <w:rFonts w:ascii="Arial" w:cs="Arial" w:eastAsia="Arial" w:hAnsi="Arial"/>
          <w:b/>
          <w:bCs/>
          <w:color w:val="2E5090"/>
          <w:sz w:val="26"/>
          <w:szCs w:val="26"/>
        </w:rPr>
        <w:t xml:space="preserve">11.1 Existing Institutions That Partially Resemble the Department</w:t>
      </w:r>
    </w:p>
    <w:p>
      <w:pPr>
        <w:spacing w:after="80" w:before="80"/>
      </w:pPr>
      <w:r>
        <w:rPr>
          <w:rFonts w:ascii="Arial" w:cs="Arial" w:eastAsia="Arial" w:hAnsi="Arial"/>
          <w:sz w:val="22"/>
          <w:szCs w:val="22"/>
        </w:rPr>
        <w:t xml:space="preserve">No institution in the real world has the Department of Endings' explicit mandate to study endings as a unified category across all domains. Several institutions occupy adjacent territory: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Institution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Partial Parallel</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RAND Corporation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Produces analysis of civilizational and strategic risk, including endgame scenarios for geopolitical conflicts. Limited to human-scale geopolitical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Santa Fe Institute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Studies complex systems, collapse, and phase transitions across biological, social, and physical systems. The closest academic parallel to the Department's cross-domain approach.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Global Catastrophic Risk Institute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Focuses specifically on extinction-level and civilization-ending risks. Studies a subset of what the Department covers.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Actuarial Science Broadly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systematic study of endings (death, loss, system failure) from a probabilistic modeling perspective. The Department extends this approach beyond the financial domain.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Long Now Foundation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Studies long-term futures with implicit focus on what ends civilizations and what allows them to persist. Partial overlap with the Department's temporal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Ethics Committees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the endings of individual lives and the ethical frameworks that govern those endings. A micro-scale parallel to the Department's work at the individual biological level.</w:t>
            </w:r>
          </w:p>
        </w:tc>
      </w:tr>
    </w:tbl>
    <w:p>
      <w:pPr>
        <w:spacing w:after="60" w:before="60"/>
      </w:pPr>
      <w:r>
        <w:t xml:space="preserve"/>
      </w:r>
    </w:p>
    <w:p>
      <w:pPr>
        <w:pStyle w:val="Heading2"/>
        <w:spacing w:after="140" w:before="280"/>
      </w:pPr>
      <w:r>
        <w:rPr>
          <w:rFonts w:ascii="Arial" w:cs="Arial" w:eastAsia="Arial" w:hAnsi="Arial"/>
          <w:b/>
          <w:bCs/>
          <w:color w:val="2E5090"/>
          <w:sz w:val="26"/>
          <w:szCs w:val="26"/>
        </w:rPr>
        <w:t xml:space="preserve">11.2 Research the Department Could Conduct With Real-World Application</w:t>
      </w:r>
    </w:p>
    <w:p>
      <w:pPr>
        <w:pStyle w:val="ListParagraph"/>
        <w:numPr>
          <w:ilvl w:val="0"/>
          <w:numId w:val="3"/>
        </w:numPr>
        <w:spacing w:after="60" w:before="60"/>
      </w:pPr>
      <w:r>
        <w:rPr>
          <w:rFonts w:ascii="Arial" w:cs="Arial" w:eastAsia="Arial" w:hAnsi="Arial"/>
          <w:sz w:val="22"/>
          <w:szCs w:val="22"/>
        </w:rPr>
        <w:t xml:space="preserve">Collapse pattern analysis: What are the structural signatures of civilizational collapse across historical cases? What are the earliest detectable indicators? This has direct application to early warning systems for fragile states and institutions.</w:t>
      </w:r>
    </w:p>
    <w:p>
      <w:pPr>
        <w:pStyle w:val="ListParagraph"/>
        <w:numPr>
          <w:ilvl w:val="0"/>
          <w:numId w:val="3"/>
        </w:numPr>
        <w:spacing w:after="60" w:before="60"/>
      </w:pPr>
      <w:r>
        <w:rPr>
          <w:rFonts w:ascii="Arial" w:cs="Arial" w:eastAsia="Arial" w:hAnsi="Arial"/>
          <w:sz w:val="22"/>
          <w:szCs w:val="22"/>
        </w:rPr>
        <w:t xml:space="preserve">Research program failure taxonomy: A systematic study of why research programs fail, building on the TFFP framework, with findings applicable across the global research enterprise. Every major research funding body would be interested in this work.</w:t>
      </w:r>
    </w:p>
    <w:p>
      <w:pPr>
        <w:pStyle w:val="ListParagraph"/>
        <w:numPr>
          <w:ilvl w:val="0"/>
          <w:numId w:val="3"/>
        </w:numPr>
        <w:spacing w:after="60" w:before="60"/>
      </w:pPr>
      <w:r>
        <w:rPr>
          <w:rFonts w:ascii="Arial" w:cs="Arial" w:eastAsia="Arial" w:hAnsi="Arial"/>
          <w:sz w:val="22"/>
          <w:szCs w:val="22"/>
        </w:rPr>
        <w:t xml:space="preserve">Extinction trajectory modeling: Applying the Department's methodology to endangered species and at-risk ecosystems — modeling the trajectory from early decline indicators to extinction and identifying intervention windows.</w:t>
      </w:r>
    </w:p>
    <w:p>
      <w:pPr>
        <w:pStyle w:val="ListParagraph"/>
        <w:numPr>
          <w:ilvl w:val="0"/>
          <w:numId w:val="3"/>
        </w:numPr>
        <w:spacing w:after="60" w:before="60"/>
      </w:pPr>
      <w:r>
        <w:rPr>
          <w:rFonts w:ascii="Arial" w:cs="Arial" w:eastAsia="Arial" w:hAnsi="Arial"/>
          <w:sz w:val="22"/>
          <w:szCs w:val="22"/>
        </w:rPr>
        <w:t xml:space="preserve">Technology obsolescence mapping: Studying the endings of technological paradigms — how they decline, what replaces them, what is lost in the transition — with application to technology policy and infrastructure planning.</w:t>
      </w:r>
    </w:p>
    <w:p>
      <w:pPr>
        <w:pStyle w:val="ListParagraph"/>
        <w:numPr>
          <w:ilvl w:val="0"/>
          <w:numId w:val="3"/>
        </w:numPr>
        <w:spacing w:after="60" w:before="60"/>
      </w:pPr>
      <w:r>
        <w:rPr>
          <w:rFonts w:ascii="Arial" w:cs="Arial" w:eastAsia="Arial" w:hAnsi="Arial"/>
          <w:sz w:val="22"/>
          <w:szCs w:val="22"/>
        </w:rPr>
        <w:t xml:space="preserve">Organizational ending analysis: Why do organizations die? What are the patterns? What early interventions have the most consistent impact? This has direct commercial application in management consulting and organizational design.</w:t>
      </w:r>
    </w:p>
    <w:p>
      <w:pPr>
        <w:pStyle w:val="ListParagraph"/>
        <w:numPr>
          <w:ilvl w:val="0"/>
          <w:numId w:val="3"/>
        </w:numPr>
        <w:spacing w:after="60" w:before="60"/>
      </w:pPr>
      <w:r>
        <w:rPr>
          <w:rFonts w:ascii="Arial" w:cs="Arial" w:eastAsia="Arial" w:hAnsi="Arial"/>
          <w:sz w:val="22"/>
          <w:szCs w:val="22"/>
        </w:rPr>
        <w:t xml:space="preserve">Pandemic endpoint modeling: Studying how previous pandemics ended, what the terminal conditions were, and what the pattern of endings suggests about how current and future pandemic threats will resolve.</w:t>
      </w:r>
    </w:p>
    <w:p>
      <w:pPr>
        <w:pStyle w:val="ListParagraph"/>
        <w:numPr>
          <w:ilvl w:val="0"/>
          <w:numId w:val="3"/>
        </w:numPr>
        <w:spacing w:after="60" w:before="60"/>
      </w:pPr>
      <w:r>
        <w:rPr>
          <w:rFonts w:ascii="Arial" w:cs="Arial" w:eastAsia="Arial" w:hAnsi="Arial"/>
          <w:sz w:val="22"/>
          <w:szCs w:val="22"/>
        </w:rPr>
        <w:t xml:space="preserve">Treaty and governance framework endings: Why do international agreements collapse? What are the early indicators? What structural features are associated with longevity vs. early termination? Direct application to Accords design.</w:t>
      </w:r>
    </w:p>
    <w:p>
      <w:r>
        <w:br w:type="page"/>
      </w:r>
    </w:p>
    <w:p>
      <w:pPr>
        <w:pStyle w:val="Heading1"/>
        <w:spacing w:after="200" w:before="360"/>
      </w:pPr>
      <w:r>
        <w:rPr>
          <w:rFonts w:ascii="Arial" w:cs="Arial" w:eastAsia="Arial" w:hAnsi="Arial"/>
          <w:b/>
          <w:bCs/>
          <w:color w:val="1F3864"/>
          <w:sz w:val="32"/>
          <w:szCs w:val="32"/>
        </w:rPr>
        <w:t xml:space="preserve">SECTION 12 — WHAT WORKS: SUPPORTING THE DEPARTMENT'S EXISTENCE</w:t>
      </w:r>
    </w:p>
    <w:p>
      <w:pPr>
        <w:pStyle w:val="ListParagraph"/>
        <w:numPr>
          <w:ilvl w:val="0"/>
          <w:numId w:val="3"/>
        </w:numPr>
        <w:spacing w:after="60" w:before="60"/>
      </w:pPr>
      <w:r>
        <w:rPr>
          <w:rFonts w:ascii="Arial" w:cs="Arial" w:eastAsia="Arial" w:hAnsi="Arial"/>
          <w:sz w:val="22"/>
          <w:szCs w:val="22"/>
        </w:rPr>
        <w:t xml:space="preserve">The core design insight — that endings as a unified category have structure, pattern, and teachable lessons that transfer across domains — is correct and is supported by the cross-disciplinary research on complex systems, collapse theory, and risk analysis.</w:t>
      </w:r>
    </w:p>
    <w:p>
      <w:pPr>
        <w:pStyle w:val="ListParagraph"/>
        <w:numPr>
          <w:ilvl w:val="0"/>
          <w:numId w:val="3"/>
        </w:numPr>
        <w:spacing w:after="60" w:before="60"/>
      </w:pPr>
      <w:r>
        <w:rPr>
          <w:rFonts w:ascii="Arial" w:cs="Arial" w:eastAsia="Arial" w:hAnsi="Arial"/>
          <w:sz w:val="22"/>
          <w:szCs w:val="22"/>
        </w:rPr>
        <w:t xml:space="preserve">The recursive loop between the Department and the Abundance Set is the right architecture. The Abundance Set makes comprehensive study possible; the Department makes the Abundance Set's data actionable. Neither functions at its potential without the other.</w:t>
      </w:r>
    </w:p>
    <w:p>
      <w:pPr>
        <w:pStyle w:val="ListParagraph"/>
        <w:numPr>
          <w:ilvl w:val="0"/>
          <w:numId w:val="3"/>
        </w:numPr>
        <w:spacing w:after="60" w:before="60"/>
      </w:pPr>
      <w:r>
        <w:rPr>
          <w:rFonts w:ascii="Arial" w:cs="Arial" w:eastAsia="Arial" w:hAnsi="Arial"/>
          <w:sz w:val="22"/>
          <w:szCs w:val="22"/>
        </w:rPr>
        <w:t xml:space="preserve">The permanently funded status within OAL is the right governance model. A department studying endings that faces ending due to budget cuts is a living contradiction. Permanent funding removes this vulnerability.</w:t>
      </w:r>
    </w:p>
    <w:p>
      <w:pPr>
        <w:pStyle w:val="ListParagraph"/>
        <w:numPr>
          <w:ilvl w:val="0"/>
          <w:numId w:val="3"/>
        </w:numPr>
        <w:spacing w:after="60" w:before="60"/>
      </w:pPr>
      <w:r>
        <w:rPr>
          <w:rFonts w:ascii="Arial" w:cs="Arial" w:eastAsia="Arial" w:hAnsi="Arial"/>
          <w:sz w:val="22"/>
          <w:szCs w:val="22"/>
        </w:rPr>
        <w:t xml:space="preserve">The founding technician image — one person, running every endgame methodically — establishes an operational culture that prevents the Department from becoming an abstract think tank. The work is specific, sequential, and exhaustive.</w:t>
      </w:r>
    </w:p>
    <w:p>
      <w:pPr>
        <w:pStyle w:val="ListParagraph"/>
        <w:numPr>
          <w:ilvl w:val="0"/>
          <w:numId w:val="3"/>
        </w:numPr>
        <w:spacing w:after="60" w:before="60"/>
      </w:pPr>
      <w:r>
        <w:rPr>
          <w:rFonts w:ascii="Arial" w:cs="Arial" w:eastAsia="Arial" w:hAnsi="Arial"/>
          <w:sz w:val="22"/>
          <w:szCs w:val="22"/>
        </w:rPr>
        <w:t xml:space="preserve">The temporal scope (past, present, near-term, future, retroactive) is the right scope. A department limited to historical endings is an archive. The anticipatory function is where the Department's value is concentrated.</w:t>
      </w:r>
    </w:p>
    <w:p>
      <w:pPr>
        <w:pStyle w:val="ListParagraph"/>
        <w:numPr>
          <w:ilvl w:val="0"/>
          <w:numId w:val="3"/>
        </w:numPr>
        <w:spacing w:after="60" w:before="60"/>
      </w:pPr>
      <w:r>
        <w:rPr>
          <w:rFonts w:ascii="Arial" w:cs="Arial" w:eastAsia="Arial" w:hAnsi="Arial"/>
          <w:sz w:val="22"/>
          <w:szCs w:val="22"/>
        </w:rPr>
        <w:t xml:space="preserve">The multi-divisional structure allows the Department to maintain domain expertise while the Director and the Technician role maintain the cross-domain pattern recognition that is the Department's distinctive contribution.</w:t>
      </w:r>
    </w:p>
    <w:p>
      <w:pPr>
        <w:pStyle w:val="ListParagraph"/>
        <w:numPr>
          <w:ilvl w:val="0"/>
          <w:numId w:val="3"/>
        </w:numPr>
        <w:spacing w:after="60" w:before="60"/>
      </w:pPr>
      <w:r>
        <w:rPr>
          <w:rFonts w:ascii="Arial" w:cs="Arial" w:eastAsia="Arial" w:hAnsi="Arial"/>
          <w:sz w:val="22"/>
          <w:szCs w:val="22"/>
        </w:rPr>
        <w:t xml:space="preserve">The Narrative and Conceptual Endings Division is an important inclusion that some institutions would omit. Narrative endings have structure that is analytically informative — the patterns of how stories end carry lessons about how other things end. This division prevents the Department from being purely data-driven at the expense of pattern recognition that operates at the level of meaning.</w:t>
      </w:r>
    </w:p>
    <w:p>
      <w:r>
        <w:br w:type="page"/>
      </w:r>
    </w:p>
    <w:p>
      <w:pPr>
        <w:pStyle w:val="Heading1"/>
        <w:spacing w:after="200" w:before="360"/>
      </w:pPr>
      <w:r>
        <w:rPr>
          <w:rFonts w:ascii="Arial" w:cs="Arial" w:eastAsia="Arial" w:hAnsi="Arial"/>
          <w:b/>
          <w:bCs/>
          <w:color w:val="1F3864"/>
          <w:sz w:val="32"/>
          <w:szCs w:val="32"/>
        </w:rPr>
        <w:t xml:space="preserve">SECTION 13 — WHAT DOES NOT WORK AND NEEDS DEVELOPMENT</w:t>
      </w:r>
    </w:p>
    <w:p>
      <w:pPr>
        <w:pStyle w:val="Heading2"/>
        <w:spacing w:after="140" w:before="280"/>
      </w:pPr>
      <w:r>
        <w:rPr>
          <w:rFonts w:ascii="Arial" w:cs="Arial" w:eastAsia="Arial" w:hAnsi="Arial"/>
          <w:b/>
          <w:bCs/>
          <w:color w:val="2E5090"/>
          <w:sz w:val="26"/>
          <w:szCs w:val="26"/>
        </w:rPr>
        <w:t xml:space="preserve">13.1 Director Role Unfilled</w:t>
      </w:r>
    </w:p>
    <w:p>
      <w:pPr>
        <w:spacing w:after="80" w:before="80"/>
      </w:pPr>
      <w:r>
        <w:rPr>
          <w:rFonts w:ascii="Arial" w:cs="Arial" w:eastAsia="Arial" w:hAnsi="Arial"/>
          <w:sz w:val="22"/>
          <w:szCs w:val="22"/>
        </w:rPr>
        <w:t xml:space="preserve">The Department of Endings has no Director. This is the single most critical gap. A department without leadership is not a department — it is a concept. The Director designation is an Architect-level decision that must be made before the Department can operate.</w:t>
      </w:r>
    </w:p>
    <w:p>
      <w:pPr>
        <w:pStyle w:val="Heading2"/>
        <w:spacing w:after="140" w:before="280"/>
      </w:pPr>
      <w:r>
        <w:rPr>
          <w:rFonts w:ascii="Arial" w:cs="Arial" w:eastAsia="Arial" w:hAnsi="Arial"/>
          <w:b/>
          <w:bCs/>
          <w:color w:val="2E5090"/>
          <w:sz w:val="26"/>
          <w:szCs w:val="26"/>
        </w:rPr>
        <w:t xml:space="preserve">13.2 The Authority Question Is Unresolved</w:t>
      </w:r>
    </w:p>
    <w:p>
      <w:pPr>
        <w:spacing w:after="80" w:before="80"/>
      </w:pPr>
      <w:r>
        <w:rPr>
          <w:rFonts w:ascii="Arial" w:cs="Arial" w:eastAsia="Arial" w:hAnsi="Arial"/>
          <w:sz w:val="22"/>
          <w:szCs w:val="22"/>
        </w:rPr>
        <w:t xml:space="preserve">Nathan's voice note acknowledges this directly: there will be pushback about who authorized the Department to have this scope. The founding charter provides the in-universe answer (OAL, funded by the Architect). It does not fully resolve the out-of-universe question about what bureaucratic and institutional authorizations are required for each type of study the Department might conduct. A legal and regulatory mapping of what the Department can study in real-world contexts without additional authorization is needed.</w:t>
      </w:r>
    </w:p>
    <w:p>
      <w:pPr>
        <w:pStyle w:val="Heading2"/>
        <w:spacing w:after="140" w:before="280"/>
      </w:pPr>
      <w:r>
        <w:rPr>
          <w:rFonts w:ascii="Arial" w:cs="Arial" w:eastAsia="Arial" w:hAnsi="Arial"/>
          <w:b/>
          <w:bCs/>
          <w:color w:val="2E5090"/>
          <w:sz w:val="26"/>
          <w:szCs w:val="26"/>
        </w:rPr>
        <w:t xml:space="preserve">13.3 No Protocol for Acting on Findings</w:t>
      </w:r>
    </w:p>
    <w:p>
      <w:pPr>
        <w:spacing w:after="80" w:before="80"/>
      </w:pPr>
      <w:r>
        <w:rPr>
          <w:rFonts w:ascii="Arial" w:cs="Arial" w:eastAsia="Arial" w:hAnsi="Arial"/>
          <w:sz w:val="22"/>
          <w:szCs w:val="22"/>
        </w:rPr>
        <w:t xml:space="preserve">The Department studies, documents, and recommends. It does not act. But the charter does not define what happens when the Department produces a finding that requires urgent action. Who receives the finding? Who decides whether to act on it? What is the escalation pathway? Without a defined action protocol, the Department's findings may be comprehensive and accurate but too slow to make a difference in time-sensitive scenarios.</w:t>
      </w:r>
    </w:p>
    <w:p>
      <w:pPr>
        <w:pStyle w:val="Heading2"/>
        <w:spacing w:after="140" w:before="280"/>
      </w:pPr>
      <w:r>
        <w:rPr>
          <w:rFonts w:ascii="Arial" w:cs="Arial" w:eastAsia="Arial" w:hAnsi="Arial"/>
          <w:b/>
          <w:bCs/>
          <w:color w:val="2E5090"/>
          <w:sz w:val="26"/>
          <w:szCs w:val="26"/>
        </w:rPr>
        <w:t xml:space="preserve">13.4 The Scope Creates Workload That Could Overwhelm Any Fixed Staff</w:t>
      </w:r>
    </w:p>
    <w:p>
      <w:pPr>
        <w:spacing w:after="80" w:before="80"/>
      </w:pPr>
      <w:r>
        <w:rPr>
          <w:rFonts w:ascii="Arial" w:cs="Arial" w:eastAsia="Arial" w:hAnsi="Arial"/>
          <w:sz w:val="22"/>
          <w:szCs w:val="22"/>
        </w:rPr>
        <w:t xml:space="preserve">The Department's scope is everything that constitutes an ending. At the scale of the Abundance Set, this is an effectively infinite dataset. The Division structure provides some organization, but the workload management challenge is real. The Department needs a prioritization system for its active work queue even if its scope is unlimited — otherwise the Department runs the risk of studying every ending equally, which means the most important ones receive the same attention as the least important.</w:t>
      </w:r>
    </w:p>
    <w:p>
      <w:pPr>
        <w:pStyle w:val="Heading2"/>
        <w:spacing w:after="140" w:before="280"/>
      </w:pPr>
      <w:r>
        <w:rPr>
          <w:rFonts w:ascii="Arial" w:cs="Arial" w:eastAsia="Arial" w:hAnsi="Arial"/>
          <w:b/>
          <w:bCs/>
          <w:color w:val="2E5090"/>
          <w:sz w:val="26"/>
          <w:szCs w:val="26"/>
        </w:rPr>
        <w:t xml:space="preserve">13.5 The Retroactive Analysis Function Needs Temporal Mechanics Governance</w:t>
      </w:r>
    </w:p>
    <w:p>
      <w:pPr>
        <w:spacing w:after="80" w:before="80"/>
      </w:pPr>
      <w:r>
        <w:rPr>
          <w:rFonts w:ascii="Arial" w:cs="Arial" w:eastAsia="Arial" w:hAnsi="Arial"/>
          <w:sz w:val="22"/>
          <w:szCs w:val="22"/>
        </w:rPr>
        <w:t xml:space="preserve">The Department's ability to have impact on prior occurrences depends on temporal mechanics that have not yet been defined in OAL canon. Until the temporal mechanics framework is established (single vs. branching timelines, costs and constraints of temporal intervention), the retroactive function cannot be fully operationalized. This is a Tier 1 dependency on the First Memory temporal mechanics voice dump that is still outstanding.</w:t>
      </w:r>
    </w:p>
    <w:p>
      <w:pPr>
        <w:pStyle w:val="Heading2"/>
        <w:spacing w:after="140" w:before="280"/>
      </w:pPr>
      <w:r>
        <w:rPr>
          <w:rFonts w:ascii="Arial" w:cs="Arial" w:eastAsia="Arial" w:hAnsi="Arial"/>
          <w:b/>
          <w:bCs/>
          <w:color w:val="2E5090"/>
          <w:sz w:val="26"/>
          <w:szCs w:val="26"/>
        </w:rPr>
        <w:t xml:space="preserve">13.6 The Abundance Set Standalone Document Has Not Been Team-Confirmed</w:t>
      </w:r>
    </w:p>
    <w:p>
      <w:pPr>
        <w:spacing w:after="80" w:before="80"/>
      </w:pPr>
      <w:r>
        <w:rPr>
          <w:rFonts w:ascii="Arial" w:cs="Arial" w:eastAsia="Arial" w:hAnsi="Arial"/>
          <w:sz w:val="22"/>
          <w:szCs w:val="22"/>
        </w:rPr>
        <w:t xml:space="preserve">Multiple sections of this charter rest on assumptions about the Abundance Set's scope and capabilities. The standalone Abundance Set document exists on Scribd but has not been confirmed received by the full AI team. If that document contains scope limitations, failure conditions, or interface constraints that differ from the team's current assumptions, those differences affect this charter.</w:t>
      </w:r>
    </w:p>
    <w:p>
      <w:r>
        <w:br w:type="page"/>
      </w:r>
    </w:p>
    <w:p>
      <w:pPr>
        <w:pStyle w:val="Heading1"/>
        <w:spacing w:after="200" w:before="360"/>
      </w:pPr>
      <w:r>
        <w:rPr>
          <w:rFonts w:ascii="Arial" w:cs="Arial" w:eastAsia="Arial" w:hAnsi="Arial"/>
          <w:b/>
          <w:bCs/>
          <w:color w:val="1F3864"/>
          <w:sz w:val="32"/>
          <w:szCs w:val="32"/>
        </w:rPr>
        <w:t xml:space="preserve">SECTION 14 — ETHICS AND MORALITY FRAMEWORK</w:t>
      </w:r>
    </w:p>
    <w:p>
      <w:pPr>
        <w:pStyle w:val="Heading2"/>
        <w:spacing w:after="140" w:before="280"/>
      </w:pPr>
      <w:r>
        <w:rPr>
          <w:rFonts w:ascii="Arial" w:cs="Arial" w:eastAsia="Arial" w:hAnsi="Arial"/>
          <w:b/>
          <w:bCs/>
          <w:color w:val="2E5090"/>
          <w:sz w:val="26"/>
          <w:szCs w:val="26"/>
        </w:rPr>
        <w:t xml:space="preserve">14.1 The Core Ethical Tension</w:t>
      </w:r>
    </w:p>
    <w:p>
      <w:pPr>
        <w:spacing w:after="80" w:before="80"/>
      </w:pPr>
      <w:r>
        <w:rPr>
          <w:rFonts w:ascii="Arial" w:cs="Arial" w:eastAsia="Arial" w:hAnsi="Arial"/>
          <w:sz w:val="22"/>
          <w:szCs w:val="22"/>
        </w:rPr>
        <w:t xml:space="preserve">A department that studies endings possesses knowledge that can be used to cause them. This is the central ethical tension of the Department's existence. Knowledge of the early indicators of civilizational collapse can be used to support interventions that prevent collapse — or to accelerate it for those who benefit from that outcome. Knowledge of biological ending trajectories can support life extension research — or support more effective harm. The Department's mandate is study and recommendation. The ethics framework governs how that mandate is maintained.</w:t>
      </w:r>
    </w:p>
    <w:p>
      <w:pPr>
        <w:pStyle w:val="Heading2"/>
        <w:spacing w:after="140" w:before="280"/>
      </w:pPr>
      <w:r>
        <w:rPr>
          <w:rFonts w:ascii="Arial" w:cs="Arial" w:eastAsia="Arial" w:hAnsi="Arial"/>
          <w:b/>
          <w:bCs/>
          <w:color w:val="2E5090"/>
          <w:sz w:val="26"/>
          <w:szCs w:val="26"/>
        </w:rPr>
        <w:t xml:space="preserve">14.2 The Study/Cause Distinction — Non-Negotiable</w:t>
      </w:r>
    </w:p>
    <w:p>
      <w:pPr>
        <w:spacing w:after="80" w:before="80"/>
      </w:pPr>
      <w:r>
        <w:rPr>
          <w:rFonts w:ascii="Arial" w:cs="Arial" w:eastAsia="Arial" w:hAnsi="Arial"/>
          <w:sz w:val="22"/>
          <w:szCs w:val="22"/>
        </w:rPr>
        <w:t xml:space="preserve">The absolute boundary established in Section 4 bears restatement here as an ethical principle: the Department studies endings. It does not cause them. Any researcher, division, or program that crosses this boundary — that moves from studying the conditions that produce an ending to engineering those conditions — has violated the Department's charter and must be reported to the Architect immediately. This boundary is not a matter of degree. It is categorical.</w:t>
      </w:r>
    </w:p>
    <w:p>
      <w:pPr>
        <w:pStyle w:val="Heading2"/>
        <w:spacing w:after="140" w:before="280"/>
      </w:pPr>
      <w:r>
        <w:rPr>
          <w:rFonts w:ascii="Arial" w:cs="Arial" w:eastAsia="Arial" w:hAnsi="Arial"/>
          <w:b/>
          <w:bCs/>
          <w:color w:val="2E5090"/>
          <w:sz w:val="26"/>
          <w:szCs w:val="26"/>
        </w:rPr>
        <w:t xml:space="preserve">14.3 The Obligation to Report Urgently</w:t>
      </w:r>
    </w:p>
    <w:p>
      <w:pPr>
        <w:spacing w:after="80" w:before="80"/>
      </w:pPr>
      <w:r>
        <w:rPr>
          <w:rFonts w:ascii="Arial" w:cs="Arial" w:eastAsia="Arial" w:hAnsi="Arial"/>
          <w:sz w:val="22"/>
          <w:szCs w:val="22"/>
        </w:rPr>
        <w:t xml:space="preserve">When the Department's anticipatory analysis identifies an ending that is imminent and where intervention might be possible, the Department has an ethical obligation to report that finding through the appropriate channel with sufficient urgency for the information to be actionable. A Department that identifies an approaching catastrophic ending and delays its report because the finding is uncomfortable, politically sensitive, or likely to be dismissed is failing its core ethical obligation.</w:t>
      </w:r>
    </w:p>
    <w:p>
      <w:pPr>
        <w:pStyle w:val="Heading2"/>
        <w:spacing w:after="140" w:before="280"/>
      </w:pPr>
      <w:r>
        <w:rPr>
          <w:rFonts w:ascii="Arial" w:cs="Arial" w:eastAsia="Arial" w:hAnsi="Arial"/>
          <w:b/>
          <w:bCs/>
          <w:color w:val="2E5090"/>
          <w:sz w:val="26"/>
          <w:szCs w:val="26"/>
        </w:rPr>
        <w:t xml:space="preserve">14.4 The Ethics of Studying Endings That Are Welcome</w:t>
      </w:r>
    </w:p>
    <w:p>
      <w:pPr>
        <w:spacing w:after="80" w:before="80"/>
      </w:pPr>
      <w:r>
        <w:rPr>
          <w:rFonts w:ascii="Arial" w:cs="Arial" w:eastAsia="Arial" w:hAnsi="Arial"/>
          <w:sz w:val="22"/>
          <w:szCs w:val="22"/>
        </w:rPr>
        <w:t xml:space="preserve">Not all endings are bad. The ending of a pandemic, a war, an abusive relationship, a failed institution — these are endings that are actively sought. The Department studies these endings too. The ethical question for welcomed endings is whether the Department's analysis of how they end produces knowledge that could be used to accelerate or prevent them in future contexts. The answer is yes, and that dual-use potential is governed by the same framework that governs all dual-use research: purpose, authorization, and accountability.</w:t>
      </w:r>
    </w:p>
    <w:p>
      <w:pPr>
        <w:pStyle w:val="Heading2"/>
        <w:spacing w:after="140" w:before="280"/>
      </w:pPr>
      <w:r>
        <w:rPr>
          <w:rFonts w:ascii="Arial" w:cs="Arial" w:eastAsia="Arial" w:hAnsi="Arial"/>
          <w:b/>
          <w:bCs/>
          <w:color w:val="2E5090"/>
          <w:sz w:val="26"/>
          <w:szCs w:val="26"/>
        </w:rPr>
        <w:t xml:space="preserve">14.5 Who Has Access to Findings</w:t>
      </w:r>
    </w:p>
    <w:p>
      <w:pPr>
        <w:spacing w:after="80" w:before="80"/>
      </w:pPr>
      <w:r>
        <w:rPr>
          <w:rFonts w:ascii="Arial" w:cs="Arial" w:eastAsia="Arial" w:hAnsi="Arial"/>
          <w:sz w:val="22"/>
          <w:szCs w:val="22"/>
        </w:rPr>
        <w:t xml:space="preserve">The Department's findings exist at multiple sensitivity levels. Some findings are general knowledge with no harmful application. Some findings are sensitive — knowledge of how particular systems fail that could be used to attack those systems. Some findings are classified — detailed analysis of endings that involves information subject to Species-Level Informational Access protocols. The Department must maintain a tiered access system for its outputs that matches the sensitivity of its findings to the appropriate access level.</w:t>
      </w:r>
    </w:p>
    <w:p>
      <w:pPr>
        <w:pStyle w:val="Heading2"/>
        <w:spacing w:after="140" w:before="280"/>
      </w:pPr>
      <w:r>
        <w:rPr>
          <w:rFonts w:ascii="Arial" w:cs="Arial" w:eastAsia="Arial" w:hAnsi="Arial"/>
          <w:b/>
          <w:bCs/>
          <w:color w:val="2E5090"/>
          <w:sz w:val="26"/>
          <w:szCs w:val="26"/>
        </w:rPr>
        <w:t xml:space="preserve">14.6 The Wellbeing of Department Staff</w:t>
      </w:r>
    </w:p>
    <w:p>
      <w:pPr>
        <w:spacing w:after="80" w:before="80"/>
      </w:pPr>
      <w:r>
        <w:rPr>
          <w:rFonts w:ascii="Arial" w:cs="Arial" w:eastAsia="Arial" w:hAnsi="Arial"/>
          <w:sz w:val="22"/>
          <w:szCs w:val="22"/>
        </w:rPr>
        <w:t xml:space="preserve">A department whose work is the systematic study of endings, failures, deaths, collapses, and catastrophes creates a specific occupational wellbeing risk for its staff. Regular exposure to endings at scale — from individual deaths to civilizational collapses — is psychologically demanding in ways that must be acknowledged and addressed. The Department's organizational structure must include regular wellbeing review, rotation opportunities for staff who need distance from the most intense material, and institutional recognition that the emotional labor of this work is real and significant.</w:t>
      </w:r>
    </w:p>
    <w:p>
      <w:r>
        <w:br w:type="page"/>
      </w:r>
    </w:p>
    <w:p>
      <w:pPr>
        <w:pStyle w:val="Heading1"/>
        <w:spacing w:after="200" w:before="360"/>
      </w:pPr>
      <w:r>
        <w:rPr>
          <w:rFonts w:ascii="Arial" w:cs="Arial" w:eastAsia="Arial" w:hAnsi="Arial"/>
          <w:b/>
          <w:bCs/>
          <w:color w:val="1F3864"/>
          <w:sz w:val="32"/>
          <w:szCs w:val="32"/>
        </w:rPr>
        <w:t xml:space="preserve">SECTION 15 — RED TEAM ANALYSIS</w:t>
      </w:r>
    </w:p>
    <w:p>
      <w:pPr>
        <w:spacing w:after="100" w:before="200"/>
      </w:pPr>
      <w:r>
        <w:rPr>
          <w:rFonts w:ascii="Arial" w:cs="Arial" w:eastAsia="Arial" w:hAnsi="Arial"/>
          <w:b/>
          <w:bCs/>
          <w:color w:val="333333"/>
          <w:sz w:val="24"/>
          <w:szCs w:val="24"/>
        </w:rPr>
        <w:t xml:space="preserve">Challenge 1: Who Authorized This Scope? No Institution in the Real World Has This Authority</w:t>
      </w:r>
    </w:p>
    <w:p>
      <w:pPr>
        <w:spacing w:after="80" w:before="80"/>
      </w:pPr>
      <w:r>
        <w:rPr>
          <w:rFonts w:ascii="Arial" w:cs="Arial" w:eastAsia="Arial" w:hAnsi="Arial"/>
          <w:sz w:val="22"/>
          <w:szCs w:val="22"/>
        </w:rPr>
        <w:t xml:space="preserve">This is the challenge Nathan anticipated most directly. The response is: the Department's authority is derived from the Architect's authority within OAL. The question of whether any real-world institution has comparable scope is separate from whether this department can operate within its own institutional context. The appropriate question is not whether the scope has been authorized by external bodies — it is whether the scope can be operationalized responsibly and ethically within the institutional framework that does authorize it.</w:t>
      </w:r>
    </w:p>
    <w:p>
      <w:pPr>
        <w:spacing w:after="100" w:before="200"/>
      </w:pPr>
      <w:r>
        <w:rPr>
          <w:rFonts w:ascii="Arial" w:cs="Arial" w:eastAsia="Arial" w:hAnsi="Arial"/>
          <w:b/>
          <w:bCs/>
          <w:color w:val="333333"/>
          <w:sz w:val="24"/>
          <w:szCs w:val="24"/>
        </w:rPr>
        <w:t xml:space="preserve">Challenge 2: A Department That Studies Everything Studies Nothing Effectively</w:t>
      </w:r>
    </w:p>
    <w:p>
      <w:pPr>
        <w:spacing w:after="80" w:before="80"/>
      </w:pPr>
      <w:r>
        <w:rPr>
          <w:rFonts w:ascii="Arial" w:cs="Arial" w:eastAsia="Arial" w:hAnsi="Arial"/>
          <w:sz w:val="22"/>
          <w:szCs w:val="22"/>
        </w:rPr>
        <w:t xml:space="preserve">The scope is unlimited; resources are not — even in a post-scarcity environment, analyst time and attention are finite. The response is the prioritization queue system: the scope is unlimited, but the active work queue is managed by impact and urgency. The Department studies everything in principle and the highest-priority endings first in practice. This is the correct resolution and it is already built into the operational framework.</w:t>
      </w:r>
    </w:p>
    <w:p>
      <w:pPr>
        <w:spacing w:after="100" w:before="200"/>
      </w:pPr>
      <w:r>
        <w:rPr>
          <w:rFonts w:ascii="Arial" w:cs="Arial" w:eastAsia="Arial" w:hAnsi="Arial"/>
          <w:b/>
          <w:bCs/>
          <w:color w:val="333333"/>
          <w:sz w:val="24"/>
          <w:szCs w:val="24"/>
        </w:rPr>
        <w:t xml:space="preserve">Challenge 3: The Department's Findings Will Challenge Powerful Interests and Will Be Suppressed</w:t>
      </w:r>
    </w:p>
    <w:p>
      <w:pPr>
        <w:spacing w:after="80" w:before="80"/>
      </w:pPr>
      <w:r>
        <w:rPr>
          <w:rFonts w:ascii="Arial" w:cs="Arial" w:eastAsia="Arial" w:hAnsi="Arial"/>
          <w:sz w:val="22"/>
          <w:szCs w:val="22"/>
        </w:rPr>
        <w:t xml:space="preserve">This is a legitimate concern and the response is honest: suppression of uncomfortable findings is a real institutional risk. The mitigation is architectural — findings are fed into the Abundance Set, which is not controlled by any single interested party. Abundance Set records are not deletable. This does not prevent findings from being ignored, but it prevents them from being erased. The Department's protection against suppression is the permanence of its records.</w:t>
      </w:r>
    </w:p>
    <w:p>
      <w:pPr>
        <w:spacing w:after="100" w:before="200"/>
      </w:pPr>
      <w:r>
        <w:rPr>
          <w:rFonts w:ascii="Arial" w:cs="Arial" w:eastAsia="Arial" w:hAnsi="Arial"/>
          <w:b/>
          <w:bCs/>
          <w:color w:val="333333"/>
          <w:sz w:val="24"/>
          <w:szCs w:val="24"/>
        </w:rPr>
        <w:t xml:space="preserve">Challenge 4: Studying Endings Makes People Uncomfortable and Will Generate Resistance</w:t>
      </w:r>
    </w:p>
    <w:p>
      <w:pPr>
        <w:spacing w:after="80" w:before="80"/>
      </w:pPr>
      <w:r>
        <w:rPr>
          <w:rFonts w:ascii="Arial" w:cs="Arial" w:eastAsia="Arial" w:hAnsi="Arial"/>
          <w:sz w:val="22"/>
          <w:szCs w:val="22"/>
        </w:rPr>
        <w:t xml:space="preserve">Correct. The Puritans are the canonical example: they understood what the First Memory meant for civilizational endings, were horrified, and attempted suppression. The Department of Endings will encounter the same response from any entity or institution that does not want its ending studied or anticipated. The Department is not designed to be comfortable. It is designed to be accurate. The institutional courage to continue producing findings in the face of resistance is a founding value, not a nice-to-have.</w:t>
      </w:r>
    </w:p>
    <w:p>
      <w:pPr>
        <w:spacing w:after="100" w:before="200"/>
      </w:pPr>
      <w:r>
        <w:rPr>
          <w:rFonts w:ascii="Arial" w:cs="Arial" w:eastAsia="Arial" w:hAnsi="Arial"/>
          <w:b/>
          <w:bCs/>
          <w:color w:val="333333"/>
          <w:sz w:val="24"/>
          <w:szCs w:val="24"/>
        </w:rPr>
        <w:t xml:space="preserve">Challenge 5: The Department Cannot Study Its Own Ending Without Compromising Its Independence</w:t>
      </w:r>
    </w:p>
    <w:p>
      <w:pPr>
        <w:spacing w:after="80" w:before="80"/>
      </w:pPr>
      <w:r>
        <w:rPr>
          <w:rFonts w:ascii="Arial" w:cs="Arial" w:eastAsia="Arial" w:hAnsi="Arial"/>
          <w:sz w:val="22"/>
          <w:szCs w:val="22"/>
        </w:rPr>
        <w:t xml:space="preserve">This is a genuine philosophical problem. The Department must study all endings, including its own potential ending. But a department that predicts its own closure and acts on that prediction to prevent it may be acting against the legitimate interests of the institution that funds it. The resolution: the Department may study conditions that would lead to its ending and report those findings, but it may not take unilateral action to prevent its own ending. That decision belongs to the Architect.</w:t>
      </w:r>
    </w:p>
    <w:p>
      <w:pPr>
        <w:spacing w:after="100" w:before="200"/>
      </w:pPr>
      <w:r>
        <w:rPr>
          <w:rFonts w:ascii="Arial" w:cs="Arial" w:eastAsia="Arial" w:hAnsi="Arial"/>
          <w:b/>
          <w:bCs/>
          <w:color w:val="333333"/>
          <w:sz w:val="24"/>
          <w:szCs w:val="24"/>
        </w:rPr>
        <w:t xml:space="preserve">Challenge 6: The Temporal Retroactive Function Creates Paradox Risk</w:t>
      </w:r>
    </w:p>
    <w:p>
      <w:pPr>
        <w:spacing w:after="80" w:before="80"/>
      </w:pPr>
      <w:r>
        <w:rPr>
          <w:rFonts w:ascii="Arial" w:cs="Arial" w:eastAsia="Arial" w:hAnsi="Arial"/>
          <w:sz w:val="22"/>
          <w:szCs w:val="22"/>
        </w:rPr>
        <w:t xml:space="preserve">If the Department's analysis of a past ending has operational consequences for that ending, it may create causal paradoxes in the temporal mechanics of the OAL universe. This challenge cannot be fully resolved until the temporal mechanics framework is defined. The charter acknowledges this dependency explicitly and flags the retroactive analysis function as contingent on the temporal mechanics governance framework.</w:t>
      </w:r>
    </w:p>
    <w:p>
      <w:pPr>
        <w:spacing w:after="100" w:before="200"/>
      </w:pPr>
      <w:r>
        <w:rPr>
          <w:rFonts w:ascii="Arial" w:cs="Arial" w:eastAsia="Arial" w:hAnsi="Arial"/>
          <w:b/>
          <w:bCs/>
          <w:color w:val="333333"/>
          <w:sz w:val="24"/>
          <w:szCs w:val="24"/>
        </w:rPr>
        <w:t xml:space="preserve">Challenge 7: A Department Dedicated to Endings May Develop a Cultural Bias Toward Finding Endings Rather Than Alternatives</w:t>
      </w:r>
    </w:p>
    <w:p>
      <w:pPr>
        <w:spacing w:after="80" w:before="80"/>
      </w:pPr>
      <w:r>
        <w:rPr>
          <w:rFonts w:ascii="Arial" w:cs="Arial" w:eastAsia="Arial" w:hAnsi="Arial"/>
          <w:sz w:val="22"/>
          <w:szCs w:val="22"/>
        </w:rPr>
        <w:t xml:space="preserve">This is a subtle but important red team finding. An institution that studies endings may, over time, develop a cultural tendency to see endings as inevitable even in cases where they are not. The mitigation is the mandatory inclusion of the intervention analysis in every trajectory study: the Department does not only model where something is going — it models what interventions might alter that trajectory. The Department's work is not fatalistic. It is anticipatory.</w:t>
      </w:r>
    </w:p>
    <w:p>
      <w:r>
        <w:br w:type="page"/>
      </w:r>
    </w:p>
    <w:p>
      <w:pPr>
        <w:pStyle w:val="Heading1"/>
        <w:spacing w:after="200" w:before="360"/>
      </w:pPr>
      <w:r>
        <w:rPr>
          <w:rFonts w:ascii="Arial" w:cs="Arial" w:eastAsia="Arial" w:hAnsi="Arial"/>
          <w:b/>
          <w:bCs/>
          <w:color w:val="1F3864"/>
          <w:sz w:val="32"/>
          <w:szCs w:val="32"/>
        </w:rPr>
        <w:t xml:space="preserve">SECTION 16 — PRIMARY CONCERNS AND DISSENT REGISTER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1 — Director Unfilled</w:t>
            </w:r>
          </w:p>
          <w:p>
            <w:pPr>
              <w:spacing w:after="60" w:before="60"/>
            </w:pPr>
            <w:r>
              <w:rPr>
                <w:rFonts w:ascii="Arial" w:cs="Arial" w:eastAsia="Arial" w:hAnsi="Arial"/>
                <w:sz w:val="22"/>
                <w:szCs w:val="22"/>
              </w:rPr>
              <w:t xml:space="preserve">The Department has no Director. This is the most operationally critical gap. No institution can function without leadership. Architect designation required before any other operational steps can proceed.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2 — Authority Challenge Will Be Real and Sustained</w:t>
            </w:r>
          </w:p>
          <w:p>
            <w:pPr>
              <w:spacing w:after="60" w:before="60"/>
            </w:pPr>
            <w:r>
              <w:rPr>
                <w:rFonts w:ascii="Arial" w:cs="Arial" w:eastAsia="Arial" w:hAnsi="Arial"/>
                <w:sz w:val="22"/>
                <w:szCs w:val="22"/>
              </w:rPr>
              <w:t xml:space="preserve">The pushback Nathan anticipates about who authorized this scope is not a one-time challenge. Every significant finding the Department produces about an ending that powerful interests would prefer not be studied will regenerate this challenge. The institutional structure for handling sustained authority challenges must be defined before the Department produces findings of that sensitivity.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3 — Action Protocol Absent</w:t>
            </w:r>
          </w:p>
          <w:p>
            <w:pPr>
              <w:spacing w:after="60" w:before="60"/>
            </w:pPr>
            <w:r>
              <w:rPr>
                <w:rFonts w:ascii="Arial" w:cs="Arial" w:eastAsia="Arial" w:hAnsi="Arial"/>
                <w:sz w:val="22"/>
                <w:szCs w:val="22"/>
              </w:rPr>
              <w:t xml:space="preserve">The Department has no defined pathway from finding to action. Until this is designed, findings that require urgent response will encounter institutional delay at the most critical moment. The action protocol must be designed alongside — not after — the study protocols.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4 — Temporal Retroactive Function Contingent</w:t>
            </w:r>
          </w:p>
          <w:p>
            <w:pPr>
              <w:spacing w:after="60" w:before="60"/>
            </w:pPr>
            <w:r>
              <w:rPr>
                <w:rFonts w:ascii="Arial" w:cs="Arial" w:eastAsia="Arial" w:hAnsi="Arial"/>
                <w:sz w:val="22"/>
                <w:szCs w:val="22"/>
              </w:rPr>
              <w:t xml:space="preserve">The retroactive analysis function — the Department's ability to have impact on prior occurrences — depends on temporal mechanics that have not yet been defined. Until the First Memory temporal mechanics voice dump is delivered and the temporal mechanics framework is established, this function is theoretical.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Dissent Register — Claude's Formal Note</w:t>
            </w:r>
          </w:p>
          <w:p>
            <w:pPr>
              <w:spacing w:after="60" w:before="60"/>
            </w:pPr>
            <w:r>
              <w:rPr>
                <w:rFonts w:ascii="Arial" w:cs="Arial" w:eastAsia="Arial" w:hAnsi="Arial"/>
                <w:sz w:val="22"/>
                <w:szCs w:val="22"/>
              </w:rPr>
              <w:t xml:space="preserve">The Department of Endings is sound in design and necessary in function. The one dissent I register: the Department's unlimited scope, combined with its access to the Abundance Set and the Paragon Cube infrastructure, creates a concentration of knowledge about endings across all systems and entities that has no governance constraint on what happens if that knowledge is misused. The study/cause distinction is a charter provision, not a technical control. The charter is only as strong as the institutional commitment to the Architect who enforces it. This is flagged not to oppose the Department's establishment but to ensure the governance question is on the record.</w:t>
            </w:r>
          </w:p>
        </w:tc>
      </w:tr>
    </w:tbl>
    <w:p>
      <w:r>
        <w:br w:type="page"/>
      </w:r>
    </w:p>
    <w:p>
      <w:pPr>
        <w:pStyle w:val="Heading1"/>
        <w:spacing w:after="200" w:before="360"/>
      </w:pPr>
      <w:r>
        <w:rPr>
          <w:rFonts w:ascii="Arial" w:cs="Arial" w:eastAsia="Arial" w:hAnsi="Arial"/>
          <w:b/>
          <w:bCs/>
          <w:color w:val="1F3864"/>
          <w:sz w:val="32"/>
          <w:szCs w:val="32"/>
        </w:rPr>
        <w:t xml:space="preserve">SECTION 17 — DEPENDENCY REGISTRY AND CROSS-REFERENCES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Conditional Failure at the Root Level (OAL-VL5-MAR22-2026)</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Parent framework. The Department is the institutional expression of this document.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Abundance Set (Scribd document — pending team confirmation)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operational infrastructure. CRITICAL: standalone document must be confirmed received by full team.</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Testing Framework Failure Protocol (OAL-TFFP-001)</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TFFP generates failure reports that the Department's Research Program Endings Division receives and analyzes. TFFP is a primary data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Paragon Cubes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data verification, real-time telemetry, and simulation infrastructure for all Department research.</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Accords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Treaty and governance framework endings are within Department scope. The Accords' governance of the Department's temporal retroactive function is a pending dependency.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Memory Temporal Mechanics (pending voice dump)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retroactive analysis function is contingent on temporal mechanics framework definition. BLOCKING DEPENDENCY for that function.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Species-Level Informational Access Protocol</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Governs classification level of Department findings for sensitive research areas.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QIFTF (OAL portfolio entry T1-004)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civilization floor test produces findings that fall within the Department's Civilizational Endings Division scope.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OMNICELLULAR Failure Model (pending Architect definition)</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OMNICELLULAR failure scenarios are within the Biological and Physiological Endings Division scope.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4,712 Extinction Attempt Classification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4,712 attempt outcomes are within Department scope as documented survival-of-endings records.</w:t>
            </w:r>
          </w:p>
        </w:tc>
      </w:tr>
    </w:tbl>
    <w:p>
      <w:r>
        <w:br w:type="page"/>
      </w:r>
    </w:p>
    <w:p>
      <w:pPr>
        <w:pStyle w:val="Heading1"/>
        <w:spacing w:after="200" w:before="360"/>
      </w:pPr>
      <w:r>
        <w:rPr>
          <w:rFonts w:ascii="Arial" w:cs="Arial" w:eastAsia="Arial" w:hAnsi="Arial"/>
          <w:b/>
          <w:bCs/>
          <w:color w:val="1F3864"/>
          <w:sz w:val="32"/>
          <w:szCs w:val="32"/>
        </w:rPr>
        <w:t xml:space="preserve">SECTION 18 — DOCUMENT VERSION LOG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v1.0 — April 13, 2026</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Initial establishment document. Full charter produced by Claude AI from author voice note. Pending Architect review and ONESTAMP.</w:t>
            </w:r>
          </w:p>
        </w:tc>
      </w:tr>
    </w:tbl>
    <w:p>
      <w:pPr>
        <w:spacing w:after="60" w:before="60"/>
      </w:pPr>
      <w:r>
        <w:t xml:space="preserve"/>
      </w:r>
    </w:p>
    <w:p>
      <w:pPr>
        <w:pBdr>
          <w:bottom w:val="single" w:color="CCCCCC" w:sz="4" w:space="1"/>
        </w:pBdr>
        <w:spacing w:after="200" w:before="200"/>
      </w:pPr>
      <w:r>
        <w:t xml:space="preserve"/>
      </w:r>
    </w:p>
    <w:p>
      <w:pPr>
        <w:spacing w:after="60" w:before="60"/>
      </w:pPr>
      <w:r>
        <w:t xml:space="preserve"/>
      </w:r>
    </w:p>
    <w:p>
      <w:pPr>
        <w:spacing w:after="200" w:before="400"/>
        <w:jc w:val="center"/>
      </w:pPr>
      <w:r>
        <w:rPr>
          <w:rFonts w:ascii="Arial" w:cs="Arial" w:eastAsia="Arial" w:hAnsi="Arial"/>
          <w:b/>
          <w:bCs/>
          <w:color w:val="1F3864"/>
          <w:sz w:val="32"/>
          <w:szCs w:val="32"/>
        </w:rPr>
        <w:t xml:space="preserve">END OF DOCUMENT</w:t>
      </w:r>
    </w:p>
    <w:p>
      <w:pPr>
        <w:jc w:val="center"/>
      </w:pPr>
      <w:r>
        <w:rPr>
          <w:rFonts w:ascii="Arial" w:cs="Arial" w:eastAsia="Arial" w:hAnsi="Arial"/>
          <w:color w:val="777777"/>
          <w:sz w:val="22"/>
          <w:szCs w:val="22"/>
        </w:rPr>
        <w:t xml:space="preserve">OAL-DOE-001 v1.0 | April 13, 2026</w:t>
      </w:r>
    </w:p>
    <w:p>
      <w:pPr>
        <w:spacing w:before="160"/>
        <w:jc w:val="center"/>
      </w:pPr>
      <w:r>
        <w:rPr>
          <w:rFonts w:ascii="Arial" w:cs="Arial" w:eastAsia="Arial" w:hAnsi="Arial"/>
          <w:color w:val="CC0000"/>
          <w:sz w:val="22"/>
          <w:szCs w:val="22"/>
        </w:rPr>
        <w:t xml:space="preserve">PENDING ARCHITECT REVIEW, ELECTRONIC SIGNATURE, AND ONESTAMP</w:t>
      </w:r>
    </w:p>
    <w:p>
      <w:pPr>
        <w:spacing w:before="160"/>
        <w:jc w:val="center"/>
      </w:pPr>
      <w:r>
        <w:rPr>
          <w:rFonts w:ascii="Arial" w:cs="Arial" w:eastAsia="Arial" w:hAnsi="Arial"/>
          <w:color w:val="777777"/>
          <w:sz w:val="22"/>
          <w:szCs w:val="22"/>
        </w:rPr>
        <w:t xml:space="preserve">Nathan Lewis II — Architect of Record</w:t>
      </w:r>
    </w:p>
    <w:p>
      <w:pPr>
        <w:jc w:val="center"/>
      </w:pPr>
      <w:r>
        <w:rPr>
          <w:rFonts w:ascii="Arial" w:cs="Arial" w:eastAsia="Arial" w:hAnsi="Arial"/>
          <w:color w:val="777777"/>
          <w:sz w:val="22"/>
          <w:szCs w:val="22"/>
        </w:rPr>
        <w:t xml:space="preserve">Omniversal Architect Labs | Lewis Corp | ONE Industries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2026-04-15T23:28:47.677Z</dcterms:created>
  <dcterms:modified xsi:type="dcterms:W3CDTF">2026-04-15T23:28:47.678Z</dcterms:modified>
</cp:coreProperties>
</file>

<file path=docProps/custom.xml><?xml version="1.0" encoding="utf-8"?>
<Properties xmlns="http://schemas.openxmlformats.org/officeDocument/2006/custom-properties" xmlns:vt="http://schemas.openxmlformats.org/officeDocument/2006/docPropsVTypes"/>
</file>