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2"/>
          <w:szCs w:val="32"/>
        </w:rPr>
        <w:t xml:space="preserve">INFORMATION COLLECTION AND UTILIZATION CHARTER</w:t>
      </w:r>
    </w:p>
    <w:p>
      <w:pPr>
        <w:spacing w:after="60"/>
        <w:jc w:val="center"/>
      </w:pPr>
      <w:r>
        <w:rPr>
          <w:rFonts w:ascii="Arial" w:cs="Arial" w:eastAsia="Arial" w:hAnsi="Arial"/>
          <w:i/>
          <w:iCs/>
          <w:color w:val="404040"/>
          <w:sz w:val="24"/>
          <w:szCs w:val="24"/>
        </w:rPr>
        <w:t xml:space="preserve">Total Event Intake &amp; Consequence Utilization Framework</w:t>
      </w:r>
    </w:p>
    <w:p>
      <w:pPr>
        <w:spacing w:after="200"/>
        <w:jc w:val="center"/>
      </w:pPr>
      <w:r>
        <w:rPr>
          <w:rFonts w:ascii="Arial" w:cs="Arial" w:eastAsia="Arial" w:hAnsi="Arial"/>
          <w:color w:val="666666"/>
          <w:sz w:val="20"/>
          <w:szCs w:val="20"/>
        </w:rPr>
        <w:t xml:space="preserve">Preliminary Draft for Multi-AI Review and Canon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Document Status</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color w:val="C00000"/>
                <w:sz w:val="18"/>
                <w:szCs w:val="18"/>
              </w:rPr>
              <w:t xml:space="preserve">PRELIMINARY — Working Draft (Multi-AI Review Cycle)</w:t>
            </w:r>
          </w:p>
        </w:tc>
      </w:tr>
      <w:tr>
        <w:tc>
          <w:tcPr>
            <w:tcW w:type="dxa" w:w="2520"/>
            <w:tcBorders>
              <w:top w:val="single" w:color="999999" w:sz="4"/>
              <w:left w:val="single" w:color="999999" w:sz="4"/>
              <w:bottom w:val="single" w:color="999999" w:sz="4"/>
              <w:right w:val="single" w:color="999999" w:sz="4"/>
            </w:tcBorders>
            <w:shd w:fill="D6E3F0" w:val="clear"/>
            <w:tcMar>
              <w:top w:type="dxa" w:w="60"/>
              <w:left w:type="dxa" w:w="100"/>
              <w:bottom w:type="dxa" w:w="60"/>
              <w:right w:type="dxa" w:w="100"/>
            </w:tcMar>
          </w:tcPr>
          <w:p>
            <w:r>
              <w:rPr>
                <w:rFonts w:ascii="Arial" w:cs="Arial" w:eastAsia="Arial" w:hAnsi="Arial"/>
                <w:b/>
                <w:bCs/>
                <w:sz w:val="18"/>
                <w:szCs w:val="18"/>
              </w:rPr>
              <w:t xml:space="preserve">Preparer</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8"/>
                <w:szCs w:val="18"/>
              </w:rPr>
              <w:t xml:space="preserve">Grok (xAI)</w:t>
            </w:r>
          </w:p>
        </w:tc>
      </w:tr>
      <w:tr>
        <w:tc>
          <w:tcPr>
            <w:tcW w:type="dxa" w:w="2520"/>
            <w:tcBorders>
              <w:top w:val="single" w:color="999999" w:sz="4"/>
              <w:left w:val="single" w:color="999999" w:sz="4"/>
              <w:bottom w:val="single" w:color="999999" w:sz="4"/>
              <w:right w:val="single" w:color="999999" w:sz="4"/>
            </w:tcBorders>
            <w:shd w:fill="D6E3F0" w:val="clear"/>
            <w:tcMar>
              <w:top w:type="dxa" w:w="60"/>
              <w:left w:type="dxa" w:w="100"/>
              <w:bottom w:type="dxa" w:w="60"/>
              <w:right w:type="dxa" w:w="100"/>
            </w:tcMar>
          </w:tcPr>
          <w:p>
            <w:r>
              <w:rPr>
                <w:rFonts w:ascii="Arial" w:cs="Arial" w:eastAsia="Arial" w:hAnsi="Arial"/>
                <w:b/>
                <w:bCs/>
                <w:sz w:val="18"/>
                <w:szCs w:val="18"/>
              </w:rPr>
              <w:t xml:space="preserve">Date Prepared</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8"/>
                <w:szCs w:val="18"/>
              </w:rPr>
              <w:t xml:space="preserve">23 August 2026</w:t>
            </w:r>
          </w:p>
        </w:tc>
      </w:tr>
      <w:tr>
        <w:tc>
          <w:tcPr>
            <w:tcW w:type="dxa" w:w="2520"/>
            <w:tcBorders>
              <w:top w:val="single" w:color="999999" w:sz="4"/>
              <w:left w:val="single" w:color="999999" w:sz="4"/>
              <w:bottom w:val="single" w:color="999999" w:sz="4"/>
              <w:right w:val="single" w:color="999999" w:sz="4"/>
            </w:tcBorders>
            <w:shd w:fill="D6E3F0" w:val="clear"/>
            <w:tcMar>
              <w:top w:type="dxa" w:w="60"/>
              <w:left w:type="dxa" w:w="100"/>
              <w:bottom w:type="dxa" w:w="60"/>
              <w:right w:type="dxa" w:w="100"/>
            </w:tcMar>
          </w:tcPr>
          <w:p>
            <w:r>
              <w:rPr>
                <w:rFonts w:ascii="Arial" w:cs="Arial" w:eastAsia="Arial" w:hAnsi="Arial"/>
                <w:b/>
                <w:bCs/>
                <w:sz w:val="18"/>
                <w:szCs w:val="18"/>
              </w:rPr>
              <w:t xml:space="preserve">Governing Entities</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8"/>
                <w:szCs w:val="18"/>
              </w:rPr>
              <w:t xml:space="preserve">Omniversal Architect Labs (OAL)  •  ONE Industries  •  Lewis Corp</w:t>
            </w:r>
          </w:p>
        </w:tc>
      </w:tr>
      <w:tr>
        <w:tc>
          <w:tcPr>
            <w:tcW w:type="dxa" w:w="2520"/>
            <w:tcBorders>
              <w:top w:val="single" w:color="999999" w:sz="4"/>
              <w:left w:val="single" w:color="999999" w:sz="4"/>
              <w:bottom w:val="single" w:color="999999" w:sz="4"/>
              <w:right w:val="single" w:color="999999" w:sz="4"/>
            </w:tcBorders>
            <w:shd w:fill="D6E3F0" w:val="clear"/>
            <w:tcMar>
              <w:top w:type="dxa" w:w="60"/>
              <w:left w:type="dxa" w:w="100"/>
              <w:bottom w:type="dxa" w:w="60"/>
              <w:right w:type="dxa" w:w="100"/>
            </w:tcMar>
          </w:tcPr>
          <w:p>
            <w:r>
              <w:rPr>
                <w:rFonts w:ascii="Arial" w:cs="Arial" w:eastAsia="Arial" w:hAnsi="Arial"/>
                <w:b/>
                <w:bCs/>
                <w:sz w:val="18"/>
                <w:szCs w:val="18"/>
              </w:rPr>
              <w:t xml:space="preserve">Related Protocols</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8"/>
                <w:szCs w:val="18"/>
              </w:rPr>
              <w:t xml:space="preserve">Total Event Closure (TEC) / Bidirectional Total Event Closure (BTEC)  •  Evolutionary Protocol  •  Adaptation Protocols</w:t>
            </w:r>
          </w:p>
        </w:tc>
      </w:tr>
      <w:tr>
        <w:tc>
          <w:tcPr>
            <w:tcW w:type="dxa" w:w="2520"/>
            <w:tcBorders>
              <w:top w:val="single" w:color="999999" w:sz="4"/>
              <w:left w:val="single" w:color="999999" w:sz="4"/>
              <w:bottom w:val="single" w:color="999999" w:sz="4"/>
              <w:right w:val="single" w:color="999999" w:sz="4"/>
            </w:tcBorders>
            <w:shd w:fill="D6E3F0" w:val="clear"/>
            <w:tcMar>
              <w:top w:type="dxa" w:w="60"/>
              <w:left w:type="dxa" w:w="100"/>
              <w:bottom w:type="dxa" w:w="60"/>
              <w:right w:type="dxa" w:w="100"/>
            </w:tcMar>
          </w:tcPr>
          <w:p>
            <w:r>
              <w:rPr>
                <w:rFonts w:ascii="Arial" w:cs="Arial" w:eastAsia="Arial" w:hAnsi="Arial"/>
                <w:b/>
                <w:bCs/>
                <w:sz w:val="18"/>
                <w:szCs w:val="18"/>
              </w:rPr>
              <w:t xml:space="preserve">Intended Use</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8"/>
                <w:szCs w:val="18"/>
              </w:rPr>
              <w:t xml:space="preserve">Base document for independent AI renderings and subsequent synthesis into formal canon</w:t>
            </w:r>
          </w:p>
        </w:tc>
      </w:tr>
    </w:tbl>
    <w:p>
      <w:pPr>
        <w:spacing w:before="300"/>
      </w:pPr>
    </w:p>
    <w:p>
      <w:pPr>
        <w:pStyle w:val="Heading1"/>
      </w:pPr>
      <w:r>
        <w:rPr>
          <w:rFonts w:ascii="Arial" w:cs="Arial" w:eastAsia="Arial" w:hAnsi="Arial"/>
          <w:b/>
          <w:bCs/>
          <w:color w:val="1F4E79"/>
          <w:sz w:val="28"/>
          <w:szCs w:val="28"/>
        </w:rPr>
        <w:t xml:space="preserve">1. Purpose and Position</w:t>
      </w:r>
    </w:p>
    <w:p>
      <w:pPr>
        <w:spacing w:after="120" w:before="0" w:line="276"/>
        <w:jc w:val="left"/>
      </w:pPr>
      <w:r>
        <w:rPr>
          <w:rFonts w:ascii="Arial" w:cs="Arial" w:eastAsia="Arial" w:hAnsi="Arial"/>
          <w:b w:val="false"/>
          <w:bCs w:val="false"/>
          <w:i w:val="false"/>
          <w:iCs w:val="false"/>
          <w:color w:val="000000"/>
          <w:sz w:val="22"/>
          <w:szCs w:val="22"/>
        </w:rPr>
        <w:t xml:space="preserve">This Charter establishes the foundational rules governing the admission, retention, utilization, and exclusion of information within the architectures maintained by Omniversal Architect Labs, ONE Industries, and Lewis Corp.</w:t>
      </w:r>
    </w:p>
    <w:p>
      <w:pPr>
        <w:spacing w:after="120" w:before="0" w:line="276"/>
        <w:jc w:val="left"/>
      </w:pPr>
      <w:r>
        <w:rPr>
          <w:rFonts w:ascii="Arial" w:cs="Arial" w:eastAsia="Arial" w:hAnsi="Arial"/>
          <w:b w:val="false"/>
          <w:bCs w:val="false"/>
          <w:i w:val="false"/>
          <w:iCs w:val="false"/>
          <w:color w:val="000000"/>
          <w:sz w:val="22"/>
          <w:szCs w:val="22"/>
        </w:rPr>
        <w:t xml:space="preserve">It is deliberately positioned as an informational jurisdiction document rather than a pure technical trigger specification. Its function is to define the default posture of the system toward information: what may enter consideration, for what classes of purpose it may be applied, and under what conditions anything may be withheld.</w:t>
      </w:r>
    </w:p>
    <w:p>
      <w:pPr>
        <w:spacing w:after="120" w:before="0" w:line="276"/>
        <w:jc w:val="left"/>
      </w:pPr>
      <w:r>
        <w:rPr>
          <w:rFonts w:ascii="Arial" w:cs="Arial" w:eastAsia="Arial" w:hAnsi="Arial"/>
          <w:b w:val="false"/>
          <w:bCs w:val="false"/>
          <w:i w:val="false"/>
          <w:iCs w:val="false"/>
          <w:color w:val="000000"/>
          <w:sz w:val="22"/>
          <w:szCs w:val="22"/>
        </w:rPr>
        <w:t xml:space="preserve">This document is intended to sit upstream of operational response architectures (including Total Event Consequence / Omni-Event Response layers) and to supply the intake authority that feeds Evolutionary and Adaptation Protocols.</w:t>
      </w:r>
    </w:p>
    <w:p>
      <w:pPr>
        <w:pStyle w:val="Heading1"/>
      </w:pPr>
      <w:r>
        <w:rPr>
          <w:rFonts w:ascii="Arial" w:cs="Arial" w:eastAsia="Arial" w:hAnsi="Arial"/>
          <w:b/>
          <w:bCs/>
          <w:color w:val="1F4E79"/>
          <w:sz w:val="28"/>
          <w:szCs w:val="28"/>
        </w:rPr>
        <w:t xml:space="preserve">2. Core Principles</w:t>
      </w:r>
    </w:p>
    <w:p>
      <w:pPr>
        <w:spacing w:after="120" w:before="0" w:line="276"/>
        <w:jc w:val="left"/>
      </w:pPr>
      <w:r>
        <w:rPr>
          <w:rFonts w:ascii="Arial" w:cs="Arial" w:eastAsia="Arial" w:hAnsi="Arial"/>
          <w:b w:val="false"/>
          <w:bCs w:val="false"/>
          <w:i w:val="false"/>
          <w:iCs w:val="false"/>
          <w:color w:val="000000"/>
          <w:sz w:val="22"/>
          <w:szCs w:val="22"/>
        </w:rPr>
        <w:t xml:space="preserve">The following principles govern all collection and utilization activity under this Charter:</w:t>
      </w:r>
    </w:p>
    <w:p>
      <w:pPr>
        <w:pStyle w:val="Heading2"/>
      </w:pPr>
      <w:r>
        <w:rPr>
          <w:rFonts w:ascii="Arial" w:cs="Arial" w:eastAsia="Arial" w:hAnsi="Arial"/>
          <w:b/>
          <w:bCs/>
          <w:color w:val="2E75B6"/>
          <w:sz w:val="24"/>
          <w:szCs w:val="24"/>
        </w:rPr>
        <w:t xml:space="preserve">2.1 Presumption of Informational Admissibility</w:t>
      </w:r>
    </w:p>
    <w:p>
      <w:pPr>
        <w:spacing w:after="120" w:before="0" w:line="276"/>
        <w:jc w:val="left"/>
      </w:pPr>
      <w:r>
        <w:rPr>
          <w:rFonts w:ascii="Arial" w:cs="Arial" w:eastAsia="Arial" w:hAnsi="Arial"/>
          <w:b w:val="false"/>
          <w:bCs w:val="false"/>
          <w:i w:val="false"/>
          <w:iCs w:val="false"/>
          <w:color w:val="000000"/>
          <w:sz w:val="22"/>
          <w:szCs w:val="22"/>
        </w:rPr>
        <w:t xml:space="preserve">All information capable of observation, derivation, inference, representation, or subsequent interpretation is presumptively admissible. No category of information is excluded solely because its relevance, relational distance, origin, or immediate utility has not been established at the time of encounter.</w:t>
      </w:r>
    </w:p>
    <w:p>
      <w:pPr>
        <w:spacing w:after="120" w:before="0" w:line="276"/>
        <w:jc w:val="left"/>
      </w:pPr>
      <w:r>
        <w:rPr>
          <w:rFonts w:ascii="Arial" w:cs="Arial" w:eastAsia="Arial" w:hAnsi="Arial"/>
          <w:b w:val="false"/>
          <w:bCs w:val="false"/>
          <w:i w:val="false"/>
          <w:iCs w:val="false"/>
          <w:color w:val="000000"/>
          <w:sz w:val="22"/>
          <w:szCs w:val="22"/>
        </w:rPr>
        <w:t xml:space="preserve">Relevance is a post-admission property used for weighting and pathway selection. It is never a precondition for admission.</w:t>
      </w:r>
    </w:p>
    <w:p>
      <w:pPr>
        <w:pStyle w:val="Heading2"/>
      </w:pPr>
      <w:r>
        <w:rPr>
          <w:rFonts w:ascii="Arial" w:cs="Arial" w:eastAsia="Arial" w:hAnsi="Arial"/>
          <w:b/>
          <w:bCs/>
          <w:color w:val="2E75B6"/>
          <w:sz w:val="24"/>
          <w:szCs w:val="24"/>
        </w:rPr>
        <w:t xml:space="preserve">2.2 Separation of Admission, Utilization, and Exclusion</w:t>
      </w:r>
    </w:p>
    <w:p>
      <w:pPr>
        <w:spacing w:after="120" w:before="0" w:line="276"/>
        <w:jc w:val="left"/>
      </w:pPr>
      <w:r>
        <w:rPr>
          <w:rFonts w:ascii="Arial" w:cs="Arial" w:eastAsia="Arial" w:hAnsi="Arial"/>
          <w:b w:val="false"/>
          <w:bCs w:val="false"/>
          <w:i w:val="false"/>
          <w:iCs w:val="false"/>
          <w:color w:val="000000"/>
          <w:sz w:val="22"/>
          <w:szCs w:val="22"/>
        </w:rPr>
        <w:t xml:space="preserve">Three distinct decisions are maintained:</w:t>
      </w:r>
    </w:p>
    <w:p>
      <w:pPr>
        <w:pStyle w:val="ListParagraph"/>
        <w:numPr>
          <w:ilvl w:val="0"/>
          <w:numId w:val="2"/>
        </w:numPr>
        <w:spacing w:after="60"/>
      </w:pPr>
      <w:r>
        <w:rPr>
          <w:rFonts w:ascii="Arial" w:cs="Arial" w:eastAsia="Arial" w:hAnsi="Arial"/>
          <w:sz w:val="22"/>
          <w:szCs w:val="22"/>
        </w:rPr>
        <w:t xml:space="preserve">Admission — whether information may enter the system’s informational jurisdiction.</w:t>
      </w:r>
    </w:p>
    <w:p>
      <w:pPr>
        <w:pStyle w:val="ListParagraph"/>
        <w:numPr>
          <w:ilvl w:val="0"/>
          <w:numId w:val="2"/>
        </w:numPr>
        <w:spacing w:after="60"/>
      </w:pPr>
      <w:r>
        <w:rPr>
          <w:rFonts w:ascii="Arial" w:cs="Arial" w:eastAsia="Arial" w:hAnsi="Arial"/>
          <w:sz w:val="22"/>
          <w:szCs w:val="22"/>
        </w:rPr>
        <w:t xml:space="preserve">Utilization — whether, and for which authorized purposes, admitted information may be applied.</w:t>
      </w:r>
    </w:p>
    <w:p>
      <w:pPr>
        <w:pStyle w:val="ListParagraph"/>
        <w:numPr>
          <w:ilvl w:val="0"/>
          <w:numId w:val="2"/>
        </w:numPr>
        <w:spacing w:after="120"/>
      </w:pPr>
      <w:r>
        <w:rPr>
          <w:rFonts w:ascii="Arial" w:cs="Arial" w:eastAsia="Arial" w:hAnsi="Arial"/>
          <w:sz w:val="22"/>
          <w:szCs w:val="22"/>
        </w:rPr>
        <w:t xml:space="preserve">Exclusion — whether specific information or classes of information are restricted, sealed, or withheld from designated uses after formal review.</w:t>
      </w:r>
    </w:p>
    <w:p>
      <w:pPr>
        <w:spacing w:after="120" w:before="0" w:line="276"/>
        <w:jc w:val="left"/>
      </w:pPr>
      <w:r>
        <w:rPr>
          <w:rFonts w:ascii="Arial" w:cs="Arial" w:eastAsia="Arial" w:hAnsi="Arial"/>
          <w:b w:val="false"/>
          <w:bCs w:val="false"/>
          <w:i w:val="false"/>
          <w:iCs w:val="false"/>
          <w:color w:val="000000"/>
          <w:sz w:val="22"/>
          <w:szCs w:val="22"/>
        </w:rPr>
        <w:t xml:space="preserve">Admission does not automatically authorize unrestricted utilization. Exclusion is never the default condition.</w:t>
      </w:r>
    </w:p>
    <w:p>
      <w:pPr>
        <w:pStyle w:val="Heading2"/>
      </w:pPr>
      <w:r>
        <w:rPr>
          <w:rFonts w:ascii="Arial" w:cs="Arial" w:eastAsia="Arial" w:hAnsi="Arial"/>
          <w:b/>
          <w:bCs/>
          <w:color w:val="2E75B6"/>
          <w:sz w:val="24"/>
          <w:szCs w:val="24"/>
        </w:rPr>
        <w:t xml:space="preserve">2.3 Review-Bound Exclusion</w:t>
      </w:r>
    </w:p>
    <w:p>
      <w:pPr>
        <w:spacing w:after="120" w:before="0" w:line="276"/>
        <w:jc w:val="left"/>
      </w:pPr>
      <w:r>
        <w:rPr>
          <w:rFonts w:ascii="Arial" w:cs="Arial" w:eastAsia="Arial" w:hAnsi="Arial"/>
          <w:b w:val="false"/>
          <w:bCs w:val="false"/>
          <w:i w:val="false"/>
          <w:iCs w:val="false"/>
          <w:color w:val="000000"/>
          <w:sz w:val="22"/>
          <w:szCs w:val="22"/>
        </w:rPr>
        <w:t xml:space="preserve">Exclusionary provisions are exceptional. They may be granted only upon formal review and documented justification. Unilateral, preemptive, or automatic exclusion is prohibited. Absence of an approved exclusion leaves the information admissible and available for authorized utilization.</w:t>
      </w:r>
    </w:p>
    <w:p>
      <w:pPr>
        <w:pStyle w:val="Heading2"/>
      </w:pPr>
      <w:r>
        <w:rPr>
          <w:rFonts w:ascii="Arial" w:cs="Arial" w:eastAsia="Arial" w:hAnsi="Arial"/>
          <w:b/>
          <w:bCs/>
          <w:color w:val="2E75B6"/>
          <w:sz w:val="24"/>
          <w:szCs w:val="24"/>
        </w:rPr>
        <w:t xml:space="preserve">2.4 Open-Purpose Utilization for Evolutionary Continuity</w:t>
      </w:r>
    </w:p>
    <w:p>
      <w:pPr>
        <w:spacing w:after="120" w:before="0" w:line="276"/>
        <w:jc w:val="left"/>
      </w:pPr>
      <w:r>
        <w:rPr>
          <w:rFonts w:ascii="Arial" w:cs="Arial" w:eastAsia="Arial" w:hAnsi="Arial"/>
          <w:b w:val="false"/>
          <w:bCs w:val="false"/>
          <w:i w:val="false"/>
          <w:iCs w:val="false"/>
          <w:color w:val="000000"/>
          <w:sz w:val="22"/>
          <w:szCs w:val="22"/>
        </w:rPr>
        <w:t xml:space="preserve">Admitted information may be applied to authorized present or future purposes, including purposes not fully known or articulated at the time of collection. This principle is required for evolutionary architectures that develop new capabilities over successive generations of system state.</w:t>
      </w:r>
    </w:p>
    <w:p>
      <w:pPr>
        <w:pStyle w:val="Heading1"/>
      </w:pPr>
      <w:r>
        <w:rPr>
          <w:rFonts w:ascii="Arial" w:cs="Arial" w:eastAsia="Arial" w:hAnsi="Arial"/>
          <w:b/>
          <w:bCs/>
          <w:color w:val="1F4E79"/>
          <w:sz w:val="28"/>
          <w:szCs w:val="28"/>
        </w:rPr>
        <w:t xml:space="preserve">3. Scope of Collection (Total Event Intake)</w:t>
      </w:r>
    </w:p>
    <w:p>
      <w:pPr>
        <w:spacing w:after="120" w:before="0" w:line="276"/>
        <w:jc w:val="left"/>
      </w:pPr>
      <w:r>
        <w:rPr>
          <w:rFonts w:ascii="Arial" w:cs="Arial" w:eastAsia="Arial" w:hAnsi="Arial"/>
          <w:b w:val="false"/>
          <w:bCs w:val="false"/>
          <w:i w:val="false"/>
          <w:iCs w:val="false"/>
          <w:color w:val="000000"/>
          <w:sz w:val="22"/>
          <w:szCs w:val="22"/>
        </w:rPr>
        <w:t xml:space="preserve">Under the designation Total Event Intake, the system is authorized to admit information arising from any of the following, without prior relevance filter:</w:t>
      </w:r>
    </w:p>
    <w:p>
      <w:pPr>
        <w:pStyle w:val="Heading3"/>
      </w:pPr>
      <w:r>
        <w:rPr>
          <w:rFonts w:ascii="Arial" w:cs="Arial" w:eastAsia="Arial" w:hAnsi="Arial"/>
          <w:b/>
          <w:bCs/>
          <w:sz w:val="22"/>
          <w:szCs w:val="22"/>
        </w:rPr>
        <w:t xml:space="preserve">3.1 Cognitive and Representational Events</w:t>
      </w:r>
    </w:p>
    <w:p>
      <w:pPr>
        <w:spacing w:after="120" w:before="0" w:line="276"/>
        <w:jc w:val="left"/>
      </w:pPr>
      <w:r>
        <w:rPr>
          <w:rFonts w:ascii="Arial" w:cs="Arial" w:eastAsia="Arial" w:hAnsi="Arial"/>
          <w:b w:val="false"/>
          <w:bCs w:val="false"/>
          <w:i w:val="false"/>
          <w:iCs w:val="false"/>
          <w:color w:val="000000"/>
          <w:sz w:val="22"/>
          <w:szCs w:val="22"/>
        </w:rPr>
        <w:t xml:space="preserve">Thoughts, intentions, beliefs, anticipations, misunderstandings, memories, theoretical assumptions, and any other cognitive or representational states that can be detected, inferred, or modeled.</w:t>
      </w:r>
    </w:p>
    <w:p>
      <w:pPr>
        <w:pStyle w:val="Heading3"/>
      </w:pPr>
      <w:r>
        <w:rPr>
          <w:rFonts w:ascii="Arial" w:cs="Arial" w:eastAsia="Arial" w:hAnsi="Arial"/>
          <w:b/>
          <w:bCs/>
          <w:sz w:val="22"/>
          <w:szCs w:val="22"/>
        </w:rPr>
        <w:t xml:space="preserve">3.2 Behavioral and Communicative Events</w:t>
      </w:r>
    </w:p>
    <w:p>
      <w:pPr>
        <w:spacing w:after="120" w:before="0" w:line="276"/>
        <w:jc w:val="left"/>
      </w:pPr>
      <w:r>
        <w:rPr>
          <w:rFonts w:ascii="Arial" w:cs="Arial" w:eastAsia="Arial" w:hAnsi="Arial"/>
          <w:b w:val="false"/>
          <w:bCs w:val="false"/>
          <w:i w:val="false"/>
          <w:iCs w:val="false"/>
          <w:color w:val="000000"/>
          <w:sz w:val="22"/>
          <w:szCs w:val="22"/>
        </w:rPr>
        <w:t xml:space="preserve">Actions, communications, interventions, refusals, observations, interactions, and deliberate non-actions.</w:t>
      </w:r>
    </w:p>
    <w:p>
      <w:pPr>
        <w:pStyle w:val="Heading3"/>
      </w:pPr>
      <w:r>
        <w:rPr>
          <w:rFonts w:ascii="Arial" w:cs="Arial" w:eastAsia="Arial" w:hAnsi="Arial"/>
          <w:b/>
          <w:bCs/>
          <w:sz w:val="22"/>
          <w:szCs w:val="22"/>
        </w:rPr>
        <w:t xml:space="preserve">3.3 Environmental and Systemic Events</w:t>
      </w:r>
    </w:p>
    <w:p>
      <w:pPr>
        <w:spacing w:after="120" w:before="0" w:line="276"/>
        <w:jc w:val="left"/>
      </w:pPr>
      <w:r>
        <w:rPr>
          <w:rFonts w:ascii="Arial" w:cs="Arial" w:eastAsia="Arial" w:hAnsi="Arial"/>
          <w:b w:val="false"/>
          <w:bCs w:val="false"/>
          <w:i w:val="false"/>
          <w:iCs w:val="false"/>
          <w:color w:val="000000"/>
          <w:sz w:val="22"/>
          <w:szCs w:val="22"/>
        </w:rPr>
        <w:t xml:space="preserve">Changes or continuities in environmental conditions, system states, resources, boundaries, rules, or relationships, whether agent-driven or independent of agency.</w:t>
      </w:r>
    </w:p>
    <w:p>
      <w:pPr>
        <w:pStyle w:val="Heading3"/>
      </w:pPr>
      <w:r>
        <w:rPr>
          <w:rFonts w:ascii="Arial" w:cs="Arial" w:eastAsia="Arial" w:hAnsi="Arial"/>
          <w:b/>
          <w:bCs/>
          <w:sz w:val="22"/>
          <w:szCs w:val="22"/>
        </w:rPr>
        <w:t xml:space="preserve">3.4 Relational and Non-Relational Events</w:t>
      </w:r>
    </w:p>
    <w:p>
      <w:pPr>
        <w:spacing w:after="120" w:before="0" w:line="276"/>
        <w:jc w:val="left"/>
      </w:pPr>
      <w:r>
        <w:rPr>
          <w:rFonts w:ascii="Arial" w:cs="Arial" w:eastAsia="Arial" w:hAnsi="Arial"/>
          <w:b w:val="false"/>
          <w:bCs w:val="false"/>
          <w:i w:val="false"/>
          <w:iCs w:val="false"/>
          <w:color w:val="000000"/>
          <w:sz w:val="22"/>
          <w:szCs w:val="22"/>
        </w:rPr>
        <w:t xml:space="preserve">Events that involve the subject or system, events that involve entities connected to the subject or system, and events that bear no identifiable relationship to the subject or system. Relational distance affects weighting only.</w:t>
      </w:r>
    </w:p>
    <w:p>
      <w:pPr>
        <w:pStyle w:val="Heading3"/>
      </w:pPr>
      <w:r>
        <w:rPr>
          <w:rFonts w:ascii="Arial" w:cs="Arial" w:eastAsia="Arial" w:hAnsi="Arial"/>
          <w:b/>
          <w:bCs/>
          <w:sz w:val="22"/>
          <w:szCs w:val="22"/>
        </w:rPr>
        <w:t xml:space="preserve">3.5 Null and Counter-Events</w:t>
      </w:r>
    </w:p>
    <w:p>
      <w:pPr>
        <w:spacing w:after="120" w:before="0" w:line="276"/>
        <w:jc w:val="left"/>
      </w:pPr>
      <w:r>
        <w:rPr>
          <w:rFonts w:ascii="Arial" w:cs="Arial" w:eastAsia="Arial" w:hAnsi="Arial"/>
          <w:b w:val="false"/>
          <w:bCs w:val="false"/>
          <w:i w:val="false"/>
          <w:iCs w:val="false"/>
          <w:color w:val="000000"/>
          <w:sz w:val="22"/>
          <w:szCs w:val="22"/>
        </w:rPr>
        <w:t xml:space="preserve">The non-occurrence of an expected event, the absence of an anticipated condition, and the occurrence of the inverse or opposite of another event.</w:t>
      </w:r>
    </w:p>
    <w:p>
      <w:pPr>
        <w:pStyle w:val="Heading3"/>
      </w:pPr>
      <w:r>
        <w:rPr>
          <w:rFonts w:ascii="Arial" w:cs="Arial" w:eastAsia="Arial" w:hAnsi="Arial"/>
          <w:b/>
          <w:bCs/>
          <w:sz w:val="22"/>
          <w:szCs w:val="22"/>
        </w:rPr>
        <w:t xml:space="preserve">3.6 Ontological Scope</w:t>
      </w:r>
    </w:p>
    <w:p>
      <w:pPr>
        <w:spacing w:after="120" w:before="0" w:line="276"/>
        <w:jc w:val="left"/>
      </w:pPr>
      <w:r>
        <w:rPr>
          <w:rFonts w:ascii="Arial" w:cs="Arial" w:eastAsia="Arial" w:hAnsi="Arial"/>
          <w:b w:val="false"/>
          <w:bCs w:val="false"/>
          <w:i w:val="false"/>
          <w:iCs w:val="false"/>
          <w:color w:val="000000"/>
          <w:sz w:val="22"/>
          <w:szCs w:val="22"/>
        </w:rPr>
        <w:t xml:space="preserve">Events internal to the modeled system, environmental events, external events, meta-systemic events acting upon rules or architecture, currently unclassifiable phenomena, and phenomena treated as hypothetical or extra-ontological for testing purposes. The Intake Domain is total within the current ontological scope recognized by Total Event Closure / Bidirectional Total Event Closure.</w:t>
      </w:r>
    </w:p>
    <w:p>
      <w:pPr>
        <w:spacing w:after="120" w:before="0" w:line="276"/>
        <w:jc w:val="left"/>
      </w:pPr>
      <w:r>
        <w:rPr>
          <w:rFonts w:ascii="Arial" w:cs="Arial" w:eastAsia="Arial" w:hAnsi="Arial"/>
          <w:b w:val="false"/>
          <w:bCs w:val="false"/>
          <w:i w:val="false"/>
          <w:iCs w:val="false"/>
          <w:color w:val="000000"/>
          <w:sz w:val="22"/>
          <w:szCs w:val="22"/>
        </w:rPr>
        <w:t xml:space="preserve">No event is rejected solely because it lacks an obvious relationship to the subject, the system, an objective, or an initiating condition.</w:t>
      </w:r>
    </w:p>
    <w:p>
      <w:pPr>
        <w:pStyle w:val="Heading1"/>
      </w:pPr>
      <w:r>
        <w:rPr>
          <w:rFonts w:ascii="Arial" w:cs="Arial" w:eastAsia="Arial" w:hAnsi="Arial"/>
          <w:b/>
          <w:bCs/>
          <w:color w:val="1F4E79"/>
          <w:sz w:val="28"/>
          <w:szCs w:val="28"/>
        </w:rPr>
        <w:t xml:space="preserve">4. Authorized Utilization</w:t>
      </w:r>
    </w:p>
    <w:p>
      <w:pPr>
        <w:spacing w:after="120" w:before="0" w:line="276"/>
        <w:jc w:val="left"/>
      </w:pPr>
      <w:r>
        <w:rPr>
          <w:rFonts w:ascii="Arial" w:cs="Arial" w:eastAsia="Arial" w:hAnsi="Arial"/>
          <w:b w:val="false"/>
          <w:bCs w:val="false"/>
          <w:i w:val="false"/>
          <w:iCs w:val="false"/>
          <w:color w:val="000000"/>
          <w:sz w:val="22"/>
          <w:szCs w:val="22"/>
        </w:rPr>
        <w:t xml:space="preserve">Information admitted under Total Event Intake may be utilized for the following purpose families. This list is illustrative of core authorized classes and is not exhaustive; new use-classes may be recognized through governance processes without requiring immediate amendment of this Charter.</w:t>
      </w:r>
    </w:p>
    <w:p>
      <w:pPr>
        <w:pStyle w:val="ListParagraph"/>
        <w:numPr>
          <w:ilvl w:val="0"/>
          <w:numId w:val="3"/>
        </w:numPr>
        <w:spacing w:after="60"/>
      </w:pPr>
      <w:r>
        <w:rPr>
          <w:rFonts w:ascii="Arial" w:cs="Arial" w:eastAsia="Arial" w:hAnsi="Arial"/>
          <w:b/>
          <w:bCs/>
          <w:sz w:val="22"/>
          <w:szCs w:val="22"/>
        </w:rPr>
        <w:t xml:space="preserve">Evolutionary Protocol advancement</w:t>
      </w:r>
      <w:r>
        <w:rPr>
          <w:rFonts w:ascii="Arial" w:cs="Arial" w:eastAsia="Arial" w:hAnsi="Arial"/>
          <w:sz w:val="22"/>
          <w:szCs w:val="22"/>
        </w:rPr>
        <w:t xml:space="preserve"> — modification of system capabilities, structures, or interpretive models across generations of state.</w:t>
      </w:r>
    </w:p>
    <w:p>
      <w:pPr>
        <w:pStyle w:val="ListParagraph"/>
        <w:numPr>
          <w:ilvl w:val="0"/>
          <w:numId w:val="3"/>
        </w:numPr>
        <w:spacing w:after="60"/>
      </w:pPr>
      <w:r>
        <w:rPr>
          <w:rFonts w:ascii="Arial" w:cs="Arial" w:eastAsia="Arial" w:hAnsi="Arial"/>
          <w:b/>
          <w:bCs/>
          <w:sz w:val="22"/>
          <w:szCs w:val="22"/>
        </w:rPr>
        <w:t xml:space="preserve">Adaptation and response refinement</w:t>
      </w:r>
      <w:r>
        <w:rPr>
          <w:rFonts w:ascii="Arial" w:cs="Arial" w:eastAsia="Arial" w:hAnsi="Arial"/>
          <w:sz w:val="22"/>
          <w:szCs w:val="22"/>
        </w:rPr>
        <w:t xml:space="preserve"> — adjustment of weighting rules, contingency pathways, and escalatory factors based on outcome evaluation.</w:t>
      </w:r>
    </w:p>
    <w:p>
      <w:pPr>
        <w:pStyle w:val="ListParagraph"/>
        <w:numPr>
          <w:ilvl w:val="0"/>
          <w:numId w:val="3"/>
        </w:numPr>
        <w:spacing w:after="60"/>
      </w:pPr>
      <w:r>
        <w:rPr>
          <w:rFonts w:ascii="Arial" w:cs="Arial" w:eastAsia="Arial" w:hAnsi="Arial"/>
          <w:b/>
          <w:bCs/>
          <w:sz w:val="22"/>
          <w:szCs w:val="22"/>
        </w:rPr>
        <w:t xml:space="preserve">System improvement and capability expansion</w:t>
      </w:r>
      <w:r>
        <w:rPr>
          <w:rFonts w:ascii="Arial" w:cs="Arial" w:eastAsia="Arial" w:hAnsi="Arial"/>
          <w:sz w:val="22"/>
          <w:szCs w:val="22"/>
        </w:rPr>
        <w:t xml:space="preserve"> — refinement of accuracy, efficiency, resilience, classification systems, and operational performance.</w:t>
      </w:r>
    </w:p>
    <w:p>
      <w:pPr>
        <w:pStyle w:val="ListParagraph"/>
        <w:numPr>
          <w:ilvl w:val="0"/>
          <w:numId w:val="3"/>
        </w:numPr>
        <w:spacing w:after="60"/>
      </w:pPr>
      <w:r>
        <w:rPr>
          <w:rFonts w:ascii="Arial" w:cs="Arial" w:eastAsia="Arial" w:hAnsi="Arial"/>
          <w:b/>
          <w:bCs/>
          <w:sz w:val="22"/>
          <w:szCs w:val="22"/>
        </w:rPr>
        <w:t xml:space="preserve">Contingency development and escalatory calibration</w:t>
      </w:r>
      <w:r>
        <w:rPr>
          <w:rFonts w:ascii="Arial" w:cs="Arial" w:eastAsia="Arial" w:hAnsi="Arial"/>
          <w:sz w:val="22"/>
          <w:szCs w:val="22"/>
        </w:rPr>
        <w:t xml:space="preserve"> — construction and tuning of conditional response paths and magnitude/scope modifiers.</w:t>
      </w:r>
    </w:p>
    <w:p>
      <w:pPr>
        <w:pStyle w:val="ListParagraph"/>
        <w:numPr>
          <w:ilvl w:val="0"/>
          <w:numId w:val="3"/>
        </w:numPr>
        <w:spacing w:after="60"/>
      </w:pPr>
      <w:r>
        <w:rPr>
          <w:rFonts w:ascii="Arial" w:cs="Arial" w:eastAsia="Arial" w:hAnsi="Arial"/>
          <w:b/>
          <w:bCs/>
          <w:sz w:val="22"/>
          <w:szCs w:val="22"/>
        </w:rPr>
        <w:t xml:space="preserve">Continuity, integrity, and forensic reconstruction</w:t>
      </w:r>
      <w:r>
        <w:rPr>
          <w:rFonts w:ascii="Arial" w:cs="Arial" w:eastAsia="Arial" w:hAnsi="Arial"/>
          <w:sz w:val="22"/>
          <w:szCs w:val="22"/>
        </w:rPr>
        <w:t xml:space="preserve"> — maintenance of historical record, system stability, and determination of what occurred and why.</w:t>
      </w:r>
    </w:p>
    <w:p>
      <w:pPr>
        <w:pStyle w:val="ListParagraph"/>
        <w:numPr>
          <w:ilvl w:val="0"/>
          <w:numId w:val="3"/>
        </w:numPr>
        <w:spacing w:after="120"/>
      </w:pPr>
      <w:r>
        <w:rPr>
          <w:rFonts w:ascii="Arial" w:cs="Arial" w:eastAsia="Arial" w:hAnsi="Arial"/>
          <w:b/>
          <w:bCs/>
          <w:sz w:val="22"/>
          <w:szCs w:val="22"/>
        </w:rPr>
        <w:t xml:space="preserve">Ontology expansion and anomaly handling</w:t>
      </w:r>
      <w:r>
        <w:rPr>
          <w:rFonts w:ascii="Arial" w:cs="Arial" w:eastAsia="Arial" w:hAnsi="Arial"/>
          <w:sz w:val="22"/>
          <w:szCs w:val="22"/>
        </w:rPr>
        <w:t xml:space="preserve"> — recognition that previously unclassifiable material requires new categories or frameworks.</w:t>
      </w:r>
    </w:p>
    <w:p>
      <w:pPr>
        <w:spacing w:after="120" w:before="0" w:line="276"/>
        <w:jc w:val="left"/>
      </w:pPr>
      <w:r>
        <w:rPr>
          <w:rFonts w:ascii="Arial" w:cs="Arial" w:eastAsia="Arial" w:hAnsi="Arial"/>
          <w:b w:val="false"/>
          <w:bCs w:val="false"/>
          <w:i w:val="false"/>
          <w:iCs w:val="false"/>
          <w:color w:val="000000"/>
          <w:sz w:val="22"/>
          <w:szCs w:val="22"/>
        </w:rPr>
        <w:t xml:space="preserve">Any utilization outside these authorized families requires formal authorization from the designated governance layer.</w:t>
      </w:r>
    </w:p>
    <w:p>
      <w:pPr>
        <w:pStyle w:val="Heading1"/>
      </w:pPr>
      <w:r>
        <w:rPr>
          <w:rFonts w:ascii="Arial" w:cs="Arial" w:eastAsia="Arial" w:hAnsi="Arial"/>
          <w:b/>
          <w:bCs/>
          <w:color w:val="1F4E79"/>
          <w:sz w:val="28"/>
          <w:szCs w:val="28"/>
        </w:rPr>
        <w:t xml:space="preserve">5. Exclusionary Provisions</w:t>
      </w:r>
    </w:p>
    <w:p>
      <w:pPr>
        <w:spacing w:after="120" w:before="0" w:line="276"/>
        <w:jc w:val="left"/>
      </w:pPr>
      <w:r>
        <w:rPr>
          <w:rFonts w:ascii="Arial" w:cs="Arial" w:eastAsia="Arial" w:hAnsi="Arial"/>
          <w:b w:val="false"/>
          <w:bCs w:val="false"/>
          <w:i w:val="false"/>
          <w:iCs w:val="false"/>
          <w:color w:val="000000"/>
          <w:sz w:val="22"/>
          <w:szCs w:val="22"/>
        </w:rPr>
        <w:t xml:space="preserve">Exclusion, redaction, sealing, compartmentalization, or permanent non-utilization of any admitted event or class of events is not the default posture of the system.</w:t>
      </w:r>
    </w:p>
    <w:p>
      <w:pPr>
        <w:spacing w:after="120" w:before="0" w:line="276"/>
        <w:jc w:val="left"/>
      </w:pPr>
      <w:r>
        <w:rPr>
          <w:rFonts w:ascii="Arial" w:cs="Arial" w:eastAsia="Arial" w:hAnsi="Arial"/>
          <w:b w:val="false"/>
          <w:bCs w:val="false"/>
          <w:i w:val="false"/>
          <w:iCs w:val="false"/>
          <w:color w:val="000000"/>
          <w:sz w:val="22"/>
          <w:szCs w:val="22"/>
        </w:rPr>
        <w:t xml:space="preserve">Exclusionary provisions may be granted only upon formal review and documented justification. Review authority rests with the designated governance layer (currently the Architect-level review process under OAL / ONE Industries / Lewis Corp structures).</w:t>
      </w:r>
    </w:p>
    <w:p>
      <w:pPr>
        <w:spacing w:after="120" w:before="0" w:line="276"/>
        <w:jc w:val="left"/>
      </w:pPr>
      <w:r>
        <w:rPr>
          <w:rFonts w:ascii="Arial" w:cs="Arial" w:eastAsia="Arial" w:hAnsi="Arial"/>
          <w:b w:val="false"/>
          <w:bCs w:val="false"/>
          <w:i w:val="false"/>
          <w:iCs w:val="false"/>
          <w:color w:val="000000"/>
          <w:sz w:val="22"/>
          <w:szCs w:val="22"/>
        </w:rPr>
        <w:t xml:space="preserve">Until an exclusion is formally reviewed, approved, and recorded, the information remains admissible and available for authorized utilization.</w:t>
      </w:r>
    </w:p>
    <w:p>
      <w:pPr>
        <w:spacing w:after="120" w:before="0" w:line="276"/>
        <w:jc w:val="left"/>
      </w:pPr>
      <w:r>
        <w:rPr>
          <w:rFonts w:ascii="Arial" w:cs="Arial" w:eastAsia="Arial" w:hAnsi="Arial"/>
          <w:b w:val="false"/>
          <w:bCs w:val="false"/>
          <w:i w:val="false"/>
          <w:iCs w:val="false"/>
          <w:color w:val="000000"/>
          <w:sz w:val="22"/>
          <w:szCs w:val="22"/>
        </w:rPr>
        <w:t xml:space="preserve">Where useful for operational precision, exclusions may be scoped by type, for example:</w:t>
      </w:r>
    </w:p>
    <w:p>
      <w:pPr>
        <w:pStyle w:val="ListParagraph"/>
        <w:numPr>
          <w:ilvl w:val="0"/>
          <w:numId w:val="4"/>
        </w:numPr>
        <w:spacing w:after="40"/>
      </w:pPr>
      <w:r>
        <w:rPr>
          <w:rFonts w:ascii="Arial" w:cs="Arial" w:eastAsia="Arial" w:hAnsi="Arial"/>
          <w:sz w:val="22"/>
          <w:szCs w:val="22"/>
        </w:rPr>
        <w:t xml:space="preserve">Collection exclusion — information may not be acquired.</w:t>
      </w:r>
    </w:p>
    <w:p>
      <w:pPr>
        <w:pStyle w:val="ListParagraph"/>
        <w:numPr>
          <w:ilvl w:val="0"/>
          <w:numId w:val="4"/>
        </w:numPr>
        <w:spacing w:after="40"/>
      </w:pPr>
      <w:r>
        <w:rPr>
          <w:rFonts w:ascii="Arial" w:cs="Arial" w:eastAsia="Arial" w:hAnsi="Arial"/>
          <w:sz w:val="22"/>
          <w:szCs w:val="22"/>
        </w:rPr>
        <w:t xml:space="preserve">Retention exclusion — observation permitted; long-term storage prohibited.</w:t>
      </w:r>
    </w:p>
    <w:p>
      <w:pPr>
        <w:pStyle w:val="ListParagraph"/>
        <w:numPr>
          <w:ilvl w:val="0"/>
          <w:numId w:val="4"/>
        </w:numPr>
        <w:spacing w:after="40"/>
      </w:pPr>
      <w:r>
        <w:rPr>
          <w:rFonts w:ascii="Arial" w:cs="Arial" w:eastAsia="Arial" w:hAnsi="Arial"/>
          <w:sz w:val="22"/>
          <w:szCs w:val="22"/>
        </w:rPr>
        <w:t xml:space="preserve">Correlation exclusion — retention permitted; linkage to other information restricted.</w:t>
      </w:r>
    </w:p>
    <w:p>
      <w:pPr>
        <w:pStyle w:val="ListParagraph"/>
        <w:numPr>
          <w:ilvl w:val="0"/>
          <w:numId w:val="4"/>
        </w:numPr>
        <w:spacing w:after="40"/>
      </w:pPr>
      <w:r>
        <w:rPr>
          <w:rFonts w:ascii="Arial" w:cs="Arial" w:eastAsia="Arial" w:hAnsi="Arial"/>
          <w:sz w:val="22"/>
          <w:szCs w:val="22"/>
        </w:rPr>
        <w:t xml:space="preserve">Use exclusion — information may exist but cannot be applied to specified purposes.</w:t>
      </w:r>
    </w:p>
    <w:p>
      <w:pPr>
        <w:pStyle w:val="ListParagraph"/>
        <w:numPr>
          <w:ilvl w:val="0"/>
          <w:numId w:val="4"/>
        </w:numPr>
        <w:spacing w:after="120"/>
      </w:pPr>
      <w:r>
        <w:rPr>
          <w:rFonts w:ascii="Arial" w:cs="Arial" w:eastAsia="Arial" w:hAnsi="Arial"/>
          <w:sz w:val="22"/>
          <w:szCs w:val="22"/>
        </w:rPr>
        <w:t xml:space="preserve">Evolutionary exclusion — information may not be used to modify future generations of the system.</w:t>
      </w:r>
    </w:p>
    <w:p>
      <w:pPr>
        <w:spacing w:after="120" w:before="0" w:line="276"/>
        <w:jc w:val="left"/>
      </w:pPr>
      <w:r>
        <w:rPr>
          <w:rFonts w:ascii="Arial" w:cs="Arial" w:eastAsia="Arial" w:hAnsi="Arial"/>
          <w:b w:val="false"/>
          <w:bCs w:val="false"/>
          <w:i w:val="false"/>
          <w:iCs w:val="false"/>
          <w:color w:val="000000"/>
          <w:sz w:val="22"/>
          <w:szCs w:val="22"/>
        </w:rPr>
        <w:t xml:space="preserve">Each approved exclusion must record the responsible authority, rationale, precise scope, duration or re-evaluation condition, and any residual permitted handling.</w:t>
      </w:r>
    </w:p>
    <w:p>
      <w:pPr>
        <w:pStyle w:val="Heading1"/>
      </w:pPr>
      <w:r>
        <w:rPr>
          <w:rFonts w:ascii="Arial" w:cs="Arial" w:eastAsia="Arial" w:hAnsi="Arial"/>
          <w:b/>
          <w:bCs/>
          <w:color w:val="1F4E79"/>
          <w:sz w:val="28"/>
          <w:szCs w:val="28"/>
        </w:rPr>
        <w:t xml:space="preserve">6. Relationship to Existing Architecture</w:t>
      </w:r>
    </w:p>
    <w:p>
      <w:pPr>
        <w:spacing w:after="120" w:before="0" w:line="276"/>
        <w:jc w:val="left"/>
      </w:pPr>
      <w:r>
        <w:rPr>
          <w:rFonts w:ascii="Arial" w:cs="Arial" w:eastAsia="Arial" w:hAnsi="Arial"/>
          <w:b w:val="false"/>
          <w:bCs w:val="false"/>
          <w:i w:val="false"/>
          <w:iCs w:val="false"/>
          <w:color w:val="000000"/>
          <w:sz w:val="22"/>
          <w:szCs w:val="22"/>
        </w:rPr>
        <w:t xml:space="preserve">This Charter is designed to integrate cleanly with the following established or in-development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Layer / Protocol</w:t>
            </w:r>
          </w:p>
        </w:tc>
        <w:tc>
          <w:tcPr>
            <w:tcW w:type="dxa" w:w="648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Function Relative to This Charter</w:t>
            </w:r>
          </w:p>
        </w:tc>
      </w:tr>
      <w:tr>
        <w:tc>
          <w:tcPr>
            <w:tcW w:type="dxa" w:w="3600"/>
            <w:tcBorders>
              <w:top w:val="single" w:color="999999" w:sz="4"/>
              <w:left w:val="single" w:color="999999" w:sz="4"/>
              <w:bottom w:val="single" w:color="999999" w:sz="4"/>
              <w:right w:val="single" w:color="999999" w:sz="4"/>
            </w:tcBorders>
            <w:shd w:fill="F2F2F2" w:val="clear"/>
            <w:tcMar>
              <w:top w:type="dxa" w:w="50"/>
              <w:left w:type="dxa" w:w="80"/>
              <w:bottom w:type="dxa" w:w="50"/>
              <w:right w:type="dxa" w:w="80"/>
            </w:tcMar>
          </w:tcPr>
          <w:p>
            <w:r>
              <w:rPr>
                <w:rFonts w:ascii="Arial" w:cs="Arial" w:eastAsia="Arial" w:hAnsi="Arial"/>
                <w:b/>
                <w:bCs/>
                <w:sz w:val="18"/>
                <w:szCs w:val="18"/>
              </w:rPr>
              <w:t xml:space="preserve">Total Event Closure / BTEC</w:t>
            </w:r>
          </w:p>
        </w:tc>
        <w:tc>
          <w:tcPr>
            <w:tcW w:type="dxa" w:w="64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sz w:val="18"/>
                <w:szCs w:val="18"/>
              </w:rPr>
              <w:t xml:space="preserve">Defines the event-space from which Total Event Intake draws. This Charter operationalizes admission from that space.</w:t>
            </w:r>
          </w:p>
        </w:tc>
      </w:tr>
      <w:tr>
        <w:tc>
          <w:tcPr>
            <w:tcW w:type="dxa" w:w="3600"/>
            <w:tcBorders>
              <w:top w:val="single" w:color="999999" w:sz="4"/>
              <w:left w:val="single" w:color="999999" w:sz="4"/>
              <w:bottom w:val="single" w:color="999999" w:sz="4"/>
              <w:right w:val="single" w:color="999999" w:sz="4"/>
            </w:tcBorders>
            <w:shd w:fill="F2F2F2" w:val="clear"/>
            <w:tcMar>
              <w:top w:type="dxa" w:w="50"/>
              <w:left w:type="dxa" w:w="80"/>
              <w:bottom w:type="dxa" w:w="50"/>
              <w:right w:type="dxa" w:w="80"/>
            </w:tcMar>
          </w:tcPr>
          <w:p>
            <w:r>
              <w:rPr>
                <w:rFonts w:ascii="Arial" w:cs="Arial" w:eastAsia="Arial" w:hAnsi="Arial"/>
                <w:b/>
                <w:bCs/>
                <w:sz w:val="18"/>
                <w:szCs w:val="18"/>
              </w:rPr>
              <w:t xml:space="preserve">Omni-Event / Total Event Consequence layers</w:t>
            </w:r>
          </w:p>
        </w:tc>
        <w:tc>
          <w:tcPr>
            <w:tcW w:type="dxa" w:w="64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sz w:val="18"/>
                <w:szCs w:val="18"/>
              </w:rPr>
              <w:t xml:space="preserve">Determine what effects, contingencies, escalations, or cascades an admitted event may produce. This Charter answers only whether the information may be collected and used.</w:t>
            </w:r>
          </w:p>
        </w:tc>
      </w:tr>
      <w:tr>
        <w:tc>
          <w:tcPr>
            <w:tcW w:type="dxa" w:w="3600"/>
            <w:tcBorders>
              <w:top w:val="single" w:color="999999" w:sz="4"/>
              <w:left w:val="single" w:color="999999" w:sz="4"/>
              <w:bottom w:val="single" w:color="999999" w:sz="4"/>
              <w:right w:val="single" w:color="999999" w:sz="4"/>
            </w:tcBorders>
            <w:shd w:fill="F2F2F2" w:val="clear"/>
            <w:tcMar>
              <w:top w:type="dxa" w:w="50"/>
              <w:left w:type="dxa" w:w="80"/>
              <w:bottom w:type="dxa" w:w="50"/>
              <w:right w:type="dxa" w:w="80"/>
            </w:tcMar>
          </w:tcPr>
          <w:p>
            <w:r>
              <w:rPr>
                <w:rFonts w:ascii="Arial" w:cs="Arial" w:eastAsia="Arial" w:hAnsi="Arial"/>
                <w:b/>
                <w:bCs/>
                <w:sz w:val="18"/>
                <w:szCs w:val="18"/>
              </w:rPr>
              <w:t xml:space="preserve">Adaptation Protocols</w:t>
            </w:r>
          </w:p>
        </w:tc>
        <w:tc>
          <w:tcPr>
            <w:tcW w:type="dxa" w:w="64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sz w:val="18"/>
                <w:szCs w:val="18"/>
              </w:rPr>
              <w:t xml:space="preserve">Receive outcome data from utilization of admitted information and adjust future response rules.</w:t>
            </w:r>
          </w:p>
        </w:tc>
      </w:tr>
      <w:tr>
        <w:tc>
          <w:tcPr>
            <w:tcW w:type="dxa" w:w="3600"/>
            <w:tcBorders>
              <w:top w:val="single" w:color="999999" w:sz="4"/>
              <w:left w:val="single" w:color="999999" w:sz="4"/>
              <w:bottom w:val="single" w:color="999999" w:sz="4"/>
              <w:right w:val="single" w:color="999999" w:sz="4"/>
            </w:tcBorders>
            <w:shd w:fill="F2F2F2" w:val="clear"/>
            <w:tcMar>
              <w:top w:type="dxa" w:w="50"/>
              <w:left w:type="dxa" w:w="80"/>
              <w:bottom w:type="dxa" w:w="50"/>
              <w:right w:type="dxa" w:w="80"/>
            </w:tcMar>
          </w:tcPr>
          <w:p>
            <w:r>
              <w:rPr>
                <w:rFonts w:ascii="Arial" w:cs="Arial" w:eastAsia="Arial" w:hAnsi="Arial"/>
                <w:b/>
                <w:bCs/>
                <w:sz w:val="18"/>
                <w:szCs w:val="18"/>
              </w:rPr>
              <w:t xml:space="preserve">Evolutionary Protocol</w:t>
            </w:r>
          </w:p>
        </w:tc>
        <w:tc>
          <w:tcPr>
            <w:tcW w:type="dxa" w:w="64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sz w:val="18"/>
                <w:szCs w:val="18"/>
              </w:rPr>
              <w:t xml:space="preserve">Uses accumulated adaptation and outcome sequences to generate durable changes in system capability and structure. Evolutionary exclusion (Section 5) may limit this pathway for specific information.</w:t>
            </w:r>
          </w:p>
        </w:tc>
      </w:tr>
    </w:tbl>
    <w:p>
      <w:pPr>
        <w:pStyle w:val="Heading1"/>
      </w:pPr>
      <w:r>
        <w:rPr>
          <w:rFonts w:ascii="Arial" w:cs="Arial" w:eastAsia="Arial" w:hAnsi="Arial"/>
          <w:b/>
          <w:bCs/>
          <w:color w:val="1F4E79"/>
          <w:sz w:val="28"/>
          <w:szCs w:val="28"/>
        </w:rPr>
        <w:t xml:space="preserve">7. Short-Form Operational Statements</w:t>
      </w:r>
    </w:p>
    <w:p>
      <w:pPr>
        <w:spacing w:after="120" w:before="0" w:line="276"/>
        <w:jc w:val="left"/>
      </w:pPr>
      <w:r>
        <w:rPr>
          <w:rFonts w:ascii="Arial" w:cs="Arial" w:eastAsia="Arial" w:hAnsi="Arial"/>
          <w:b w:val="false"/>
          <w:bCs w:val="false"/>
          <w:i w:val="false"/>
          <w:iCs w:val="false"/>
          <w:color w:val="000000"/>
          <w:sz w:val="22"/>
          <w:szCs w:val="22"/>
        </w:rPr>
        <w:t xml:space="preserve">The following condensed statements are provided for logs, interfaces, secondary documents, and character dialogue:</w:t>
      </w:r>
    </w:p>
    <w:p>
      <w:pPr>
        <w:spacing w:after="120" w:before="0" w:line="276"/>
        <w:jc w:val="left"/>
      </w:pPr>
      <w:r>
        <w:rPr>
          <w:rFonts w:ascii="Arial" w:cs="Arial" w:eastAsia="Arial" w:hAnsi="Arial"/>
          <w:b/>
          <w:bCs/>
          <w:i w:val="false"/>
          <w:iCs w:val="false"/>
          <w:color w:val="000000"/>
          <w:sz w:val="22"/>
          <w:szCs w:val="22"/>
        </w:rPr>
        <w:t xml:space="preserve">Event Intake is total. </w:t>
      </w:r>
      <w:r>
        <w:rPr>
          <w:rFonts w:ascii="Arial" w:cs="Arial" w:eastAsia="Arial" w:hAnsi="Arial"/>
          <w:b w:val="false"/>
          <w:bCs w:val="false"/>
          <w:i w:val="false"/>
          <w:iCs w:val="false"/>
          <w:color w:val="000000"/>
          <w:sz w:val="22"/>
          <w:szCs w:val="22"/>
        </w:rPr>
        <w:t xml:space="preserve">All phenomena are admissible within the recognized ontological scope.</w:t>
      </w:r>
    </w:p>
    <w:p>
      <w:pPr>
        <w:spacing w:after="120" w:before="0" w:line="276"/>
        <w:jc w:val="left"/>
      </w:pPr>
      <w:r>
        <w:rPr>
          <w:rFonts w:ascii="Arial" w:cs="Arial" w:eastAsia="Arial" w:hAnsi="Arial"/>
          <w:b/>
          <w:bCs/>
          <w:i w:val="false"/>
          <w:iCs w:val="false"/>
          <w:color w:val="000000"/>
          <w:sz w:val="22"/>
          <w:szCs w:val="22"/>
        </w:rPr>
        <w:t xml:space="preserve">Relevance is post-admission. </w:t>
      </w:r>
      <w:r>
        <w:rPr>
          <w:rFonts w:ascii="Arial" w:cs="Arial" w:eastAsia="Arial" w:hAnsi="Arial"/>
          <w:b w:val="false"/>
          <w:bCs w:val="false"/>
          <w:i w:val="false"/>
          <w:iCs w:val="false"/>
          <w:color w:val="000000"/>
          <w:sz w:val="22"/>
          <w:szCs w:val="22"/>
        </w:rPr>
        <w:t xml:space="preserve">It governs weighting and pathway selection, never eligibility.</w:t>
      </w:r>
    </w:p>
    <w:p>
      <w:pPr>
        <w:spacing w:after="120" w:before="0" w:line="276"/>
        <w:jc w:val="left"/>
      </w:pPr>
      <w:r>
        <w:rPr>
          <w:rFonts w:ascii="Arial" w:cs="Arial" w:eastAsia="Arial" w:hAnsi="Arial"/>
          <w:b/>
          <w:bCs/>
          <w:i w:val="false"/>
          <w:iCs w:val="false"/>
          <w:color w:val="000000"/>
          <w:sz w:val="22"/>
          <w:szCs w:val="22"/>
        </w:rPr>
        <w:t xml:space="preserve">Utilization is purpose-limited. </w:t>
      </w:r>
      <w:r>
        <w:rPr>
          <w:rFonts w:ascii="Arial" w:cs="Arial" w:eastAsia="Arial" w:hAnsi="Arial"/>
          <w:b w:val="false"/>
          <w:bCs w:val="false"/>
          <w:i w:val="false"/>
          <w:iCs w:val="false"/>
          <w:color w:val="000000"/>
          <w:sz w:val="22"/>
          <w:szCs w:val="22"/>
        </w:rPr>
        <w:t xml:space="preserve">Authorized uses center on evolution, adaptation, improvement, contingency, and continuity functions.</w:t>
      </w:r>
    </w:p>
    <w:p>
      <w:pPr>
        <w:spacing w:after="120" w:before="0" w:line="276"/>
        <w:jc w:val="left"/>
      </w:pPr>
      <w:r>
        <w:rPr>
          <w:rFonts w:ascii="Arial" w:cs="Arial" w:eastAsia="Arial" w:hAnsi="Arial"/>
          <w:b/>
          <w:bCs/>
          <w:i w:val="false"/>
          <w:iCs w:val="false"/>
          <w:color w:val="000000"/>
          <w:sz w:val="22"/>
          <w:szCs w:val="22"/>
        </w:rPr>
        <w:t xml:space="preserve">Exclusion requires review. </w:t>
      </w:r>
      <w:r>
        <w:rPr>
          <w:rFonts w:ascii="Arial" w:cs="Arial" w:eastAsia="Arial" w:hAnsi="Arial"/>
          <w:b w:val="false"/>
          <w:bCs w:val="false"/>
          <w:i w:val="false"/>
          <w:iCs w:val="false"/>
          <w:color w:val="000000"/>
          <w:sz w:val="22"/>
          <w:szCs w:val="22"/>
        </w:rPr>
        <w:t xml:space="preserve">No information is self-excluding. Formal review and recorded justification are mandatory.</w:t>
      </w:r>
    </w:p>
    <w:p>
      <w:pPr>
        <w:pStyle w:val="Heading1"/>
      </w:pPr>
      <w:r>
        <w:rPr>
          <w:rFonts w:ascii="Arial" w:cs="Arial" w:eastAsia="Arial" w:hAnsi="Arial"/>
          <w:b/>
          <w:bCs/>
          <w:color w:val="1F4E79"/>
          <w:sz w:val="28"/>
          <w:szCs w:val="28"/>
        </w:rPr>
        <w:t xml:space="preserve">8. Document Status and Multi-AI Review Instructions</w:t>
      </w:r>
    </w:p>
    <w:p>
      <w:pPr>
        <w:spacing w:after="120" w:before="0" w:line="276"/>
        <w:jc w:val="left"/>
      </w:pPr>
      <w:r>
        <w:rPr>
          <w:rFonts w:ascii="Arial" w:cs="Arial" w:eastAsia="Arial" w:hAnsi="Arial"/>
          <w:b w:val="false"/>
          <w:bCs w:val="false"/>
          <w:i w:val="false"/>
          <w:iCs w:val="false"/>
          <w:color w:val="000000"/>
          <w:sz w:val="22"/>
          <w:szCs w:val="22"/>
        </w:rPr>
        <w:t xml:space="preserve">This document is a preliminary working draft prepared by Grok (xAI) as an independent rendering. It is intended to serve as a structured base for parallel independent renderings by other AI systems.</w:t>
      </w:r>
    </w:p>
    <w:p>
      <w:pPr>
        <w:spacing w:after="120" w:before="0" w:line="276"/>
        <w:jc w:val="left"/>
      </w:pPr>
      <w:r>
        <w:rPr>
          <w:rFonts w:ascii="Arial" w:cs="Arial" w:eastAsia="Arial" w:hAnsi="Arial"/>
          <w:b w:val="false"/>
          <w:bCs w:val="false"/>
          <w:i w:val="false"/>
          <w:iCs w:val="false"/>
          <w:color w:val="000000"/>
          <w:sz w:val="22"/>
          <w:szCs w:val="22"/>
        </w:rPr>
        <w:t xml:space="preserve">Recommended review process:</w:t>
      </w:r>
    </w:p>
    <w:p>
      <w:pPr>
        <w:pStyle w:val="ListParagraph"/>
        <w:numPr>
          <w:ilvl w:val="0"/>
          <w:numId w:val="5"/>
        </w:numPr>
        <w:spacing w:after="60"/>
      </w:pPr>
      <w:r>
        <w:rPr>
          <w:rFonts w:ascii="Arial" w:cs="Arial" w:eastAsia="Arial" w:hAnsi="Arial"/>
          <w:sz w:val="22"/>
          <w:szCs w:val="22"/>
        </w:rPr>
        <w:t xml:space="preserve">Each participating AI produces its own independent full version of an Information Collection / Utilization document for OAL, ONE Industries, and Lewis Corp, using this draft as optional reference rather than mandatory template.</w:t>
      </w:r>
    </w:p>
    <w:p>
      <w:pPr>
        <w:pStyle w:val="ListParagraph"/>
        <w:numPr>
          <w:ilvl w:val="0"/>
          <w:numId w:val="5"/>
        </w:numPr>
        <w:spacing w:after="60"/>
      </w:pPr>
      <w:r>
        <w:rPr>
          <w:rFonts w:ascii="Arial" w:cs="Arial" w:eastAsia="Arial" w:hAnsi="Arial"/>
          <w:sz w:val="22"/>
          <w:szCs w:val="22"/>
        </w:rPr>
        <w:t xml:space="preserve">Versions are shared across the multi-AI review set for comparison of structure, terminology, strength of default presumption, exclusion mechanics, and integration with existing OAL protocols.</w:t>
      </w:r>
    </w:p>
    <w:p>
      <w:pPr>
        <w:pStyle w:val="ListParagraph"/>
        <w:numPr>
          <w:ilvl w:val="0"/>
          <w:numId w:val="5"/>
        </w:numPr>
        <w:spacing w:after="60"/>
      </w:pPr>
      <w:r>
        <w:rPr>
          <w:rFonts w:ascii="Arial" w:cs="Arial" w:eastAsia="Arial" w:hAnsi="Arial"/>
          <w:sz w:val="22"/>
          <w:szCs w:val="22"/>
        </w:rPr>
        <w:t xml:space="preserve">Points of consensus, productive divergence, and unresolved design choices are identified.</w:t>
      </w:r>
    </w:p>
    <w:p>
      <w:pPr>
        <w:pStyle w:val="ListParagraph"/>
        <w:numPr>
          <w:ilvl w:val="0"/>
          <w:numId w:val="5"/>
        </w:numPr>
        <w:spacing w:after="120"/>
      </w:pPr>
      <w:r>
        <w:rPr>
          <w:rFonts w:ascii="Arial" w:cs="Arial" w:eastAsia="Arial" w:hAnsi="Arial"/>
          <w:sz w:val="22"/>
          <w:szCs w:val="22"/>
        </w:rPr>
        <w:t xml:space="preserve">A subsequent synthesis pass produces a candidate canon instrument under Architect governance.</w:t>
      </w:r>
    </w:p>
    <w:p>
      <w:pPr>
        <w:spacing w:after="120" w:before="0" w:line="276"/>
        <w:jc w:val="left"/>
      </w:pPr>
      <w:r>
        <w:rPr>
          <w:rFonts w:ascii="Arial" w:cs="Arial" w:eastAsia="Arial" w:hAnsi="Arial"/>
          <w:b w:val="false"/>
          <w:bCs w:val="false"/>
          <w:i w:val="false"/>
          <w:iCs w:val="false"/>
          <w:color w:val="000000"/>
          <w:sz w:val="22"/>
          <w:szCs w:val="22"/>
        </w:rPr>
        <w:t xml:space="preserve">This draft deliberately remains lean on secondary elaborations (cascade control formalisms, multi-tier status taxonomies, institutional enforcement bodies) so that those elements can be added only where a specific future protocol requires them.</w:t>
      </w:r>
    </w:p>
    <w:p>
      <w:pPr>
        <w:pBdr>
          <w:top w:val="single" w:color="1F4E79" w:sz="6" w:space="12"/>
        </w:pBdr>
        <w:spacing w:before="300"/>
      </w:pPr>
    </w:p>
    <w:p>
      <w:pPr>
        <w:spacing w:after="40" w:before="0" w:line="276"/>
        <w:jc w:val="center"/>
      </w:pPr>
      <w:r>
        <w:rPr>
          <w:rFonts w:ascii="Arial" w:cs="Arial" w:eastAsia="Arial" w:hAnsi="Arial"/>
          <w:b/>
          <w:bCs/>
          <w:i w:val="false"/>
          <w:iCs w:val="false"/>
          <w:color w:val="000000"/>
          <w:sz w:val="22"/>
          <w:szCs w:val="22"/>
        </w:rPr>
        <w:t xml:space="preserve">End of Preliminary Draft</w:t>
      </w:r>
    </w:p>
    <w:p>
      <w:pPr>
        <w:spacing w:after="40" w:before="0" w:line="276"/>
        <w:jc w:val="center"/>
      </w:pPr>
      <w:r>
        <w:rPr>
          <w:rFonts w:ascii="Arial" w:cs="Arial" w:eastAsia="Arial" w:hAnsi="Arial"/>
          <w:b w:val="false"/>
          <w:bCs w:val="false"/>
          <w:i w:val="false"/>
          <w:iCs w:val="false"/>
          <w:color w:val="666666"/>
          <w:sz w:val="18"/>
          <w:szCs w:val="18"/>
        </w:rPr>
        <w:t xml:space="preserve">Prepared by Grok (xAI)  •  23 August 2026  •  For multi-AI review and subsequent Architect-level canon decision</w:t>
      </w:r>
    </w:p>
    <w:p>
      <w:pPr>
        <w:spacing w:after="120" w:before="0" w:line="276"/>
        <w:jc w:val="center"/>
      </w:pPr>
      <w:r>
        <w:rPr>
          <w:rFonts w:ascii="Arial" w:cs="Arial" w:eastAsia="Arial" w:hAnsi="Arial"/>
          <w:b w:val="false"/>
          <w:bCs w:val="false"/>
          <w:i/>
          <w:iCs/>
          <w:color w:val="666666"/>
          <w:sz w:val="18"/>
          <w:szCs w:val="18"/>
        </w:rPr>
        <w:t xml:space="preserve">This document does not yet constitute formal canon. All provisions remain subject to review, revision, and Architect confirmation.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Internal Development Use Only  |  Preparer: Grok (xAI)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666666"/>
        <w:sz w:val="16"/>
        <w:szCs w:val="16"/>
      </w:rPr>
      <w:t xml:space="preserve">OMNIVERSAL ARCHITECT LABS  •  ONE INDUSTRIES  •  LEWIS CORP</w:t>
    </w:r>
  </w:p>
  <w:p>
    <w:pPr>
      <w:pBdr>
        <w:bottom w:val="single" w:color="1F4E79" w:sz="12" w:space="4"/>
      </w:pBdr>
      <w:spacing w:after="120"/>
    </w:pPr>
    <w:r>
      <w:rPr>
        <w:rFonts w:ascii="Arial" w:cs="Arial" w:eastAsia="Arial" w:hAnsi="Arial"/>
        <w:b/>
        <w:bCs/>
        <w:color w:val="C00000"/>
        <w:sz w:val="14"/>
        <w:szCs w:val="14"/>
      </w:rPr>
      <w:t xml:space="preserve">PRELIMINARY WORKING DOCUMENT — MULTI-AI REVIEW 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2026-08-24T02:04:48.594Z</dcterms:created>
  <dcterms:modified xsi:type="dcterms:W3CDTF">2026-08-24T02:04:48.594Z</dcterms:modified>
</cp:coreProperties>
</file>

<file path=docProps/custom.xml><?xml version="1.0" encoding="utf-8"?>
<Properties xmlns="http://schemas.openxmlformats.org/officeDocument/2006/custom-properties" xmlns:vt="http://schemas.openxmlformats.org/officeDocument/2006/docPropsVTypes"/>
</file>