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48"/>
          <w:szCs w:val="48"/>
        </w:rPr>
        <w:t xml:space="preserve">OMNIVERSAL ARCHITECT LABS</w:t>
      </w:r>
    </w:p>
    <w:p>
      <w:pPr>
        <w:spacing w:after="800" w:before="0"/>
        <w:jc w:val="center"/>
      </w:pPr>
      <w:r>
        <w:rPr>
          <w:rFonts w:ascii="Arial" w:cs="Arial" w:eastAsia="Arial" w:hAnsi="Arial"/>
          <w:color w:val="2E5090"/>
          <w:sz w:val="28"/>
          <w:szCs w:val="28"/>
        </w:rPr>
        <w:t xml:space="preserve">Lewis Corp | ONE Industries</w:t>
      </w:r>
    </w:p>
    <w:p>
      <w:pPr>
        <w:pBdr>
          <w:bottom w:val="single" w:color="1F3864" w:sz="6" w:space="1"/>
        </w:pBdr>
        <w:spacing w:after="400" w:before="0"/>
      </w:pPr>
      <w:r>
        <w:t xml:space="preserve"/>
      </w:r>
    </w:p>
    <w:p>
      <w:pPr>
        <w:spacing w:after="200" w:before="400"/>
        <w:jc w:val="center"/>
      </w:pPr>
      <w:r>
        <w:rPr>
          <w:rFonts w:ascii="Arial" w:cs="Arial" w:eastAsia="Arial" w:hAnsi="Arial"/>
          <w:b/>
          <w:bCs/>
          <w:color w:val="1F3864"/>
          <w:sz w:val="40"/>
          <w:szCs w:val="40"/>
        </w:rPr>
        <w:t xml:space="preserve">MASTER PROJECT PORTFOLIO</w:t>
      </w:r>
    </w:p>
    <w:p>
      <w:pPr>
        <w:spacing w:after="600" w:before="0"/>
        <w:jc w:val="center"/>
      </w:pPr>
      <w:r>
        <w:rPr>
          <w:rFonts w:ascii="Arial" w:cs="Arial" w:eastAsia="Arial" w:hAnsi="Arial"/>
          <w:color w:val="555555"/>
          <w:sz w:val="22"/>
          <w:szCs w:val="22"/>
        </w:rPr>
        <w:t xml:space="preserve">Purpose | Mission | Justification | Funding | Applications | Ethics | Findings | Red Team</w:t>
      </w:r>
    </w:p>
    <w:p>
      <w:pPr>
        <w:spacing w:after="100" w:before="0"/>
        <w:jc w:val="center"/>
      </w:pPr>
      <w:r>
        <w:rPr>
          <w:rFonts w:ascii="Arial" w:cs="Arial" w:eastAsia="Arial" w:hAnsi="Arial"/>
          <w:color w:val="777777"/>
          <w:sz w:val="20"/>
          <w:szCs w:val="20"/>
        </w:rPr>
        <w:t xml:space="preserve">Document ID: OAL-PORTFOLIO-001 v1.0</w:t>
      </w:r>
    </w:p>
    <w:p>
      <w:pPr>
        <w:spacing w:after="100" w:before="0"/>
        <w:jc w:val="center"/>
      </w:pPr>
      <w:r>
        <w:rPr>
          <w:rFonts w:ascii="Arial" w:cs="Arial" w:eastAsia="Arial" w:hAnsi="Arial"/>
          <w:color w:val="777777"/>
          <w:sz w:val="20"/>
          <w:szCs w:val="20"/>
        </w:rPr>
        <w:t xml:space="preserve">Date: April 13, 2026</w:t>
      </w:r>
    </w:p>
    <w:p>
      <w:pPr>
        <w:spacing w:after="100" w:before="0"/>
        <w:jc w:val="center"/>
      </w:pPr>
      <w:r>
        <w:rPr>
          <w:rFonts w:ascii="Arial" w:cs="Arial" w:eastAsia="Arial" w:hAnsi="Arial"/>
          <w:color w:val="CC0000"/>
          <w:sz w:val="20"/>
          <w:szCs w:val="20"/>
        </w:rPr>
        <w:t xml:space="preserve">Status: PENDING ARCHITECT REVIEW AND ONESTAMP</w:t>
      </w:r>
    </w:p>
    <w:p>
      <w:pPr>
        <w:spacing w:after="400" w:before="0"/>
        <w:jc w:val="center"/>
      </w:pPr>
      <w:r>
        <w:rPr>
          <w:rFonts w:ascii="Arial" w:cs="Arial" w:eastAsia="Arial" w:hAnsi="Arial"/>
          <w:color w:val="777777"/>
          <w:sz w:val="20"/>
          <w:szCs w:val="20"/>
        </w:rPr>
        <w:t xml:space="preserve">Prepared by: Claude AI | OAL Multi-AI Development Team</w:t>
      </w:r>
    </w:p>
    <w:p>
      <w:pPr>
        <w:pBdr>
          <w:bottom w:val="single" w:color="1F3864" w:sz="6" w:space="1"/>
        </w:pBdr>
        <w:spacing w:after="400" w:before="0"/>
      </w:pPr>
      <w:r>
        <w:t xml:space="preserve"/>
      </w:r>
    </w:p>
    <w:p>
      <w:r>
        <w:br w:type="page"/>
      </w:r>
    </w:p>
    <w:p>
      <w:pPr>
        <w:pStyle w:val="Heading1"/>
        <w:spacing w:after="200" w:before="360"/>
      </w:pPr>
      <w:r>
        <w:rPr>
          <w:rFonts w:ascii="Arial" w:cs="Arial" w:eastAsia="Arial" w:hAnsi="Arial"/>
          <w:b/>
          <w:bCs/>
          <w:color w:val="1F3864"/>
          <w:sz w:val="32"/>
          <w:szCs w:val="32"/>
        </w:rPr>
        <w:t xml:space="preserve">DOCUMENT OVERVIEW AND STRUCTURE</w:t>
      </w:r>
    </w:p>
    <w:p>
      <w:pPr>
        <w:spacing w:after="80" w:before="80"/>
      </w:pPr>
      <w:r>
        <w:rPr>
          <w:rFonts w:ascii="Arial" w:cs="Arial" w:eastAsia="Arial" w:hAnsi="Arial"/>
          <w:sz w:val="22"/>
          <w:szCs w:val="22"/>
        </w:rPr>
        <w:t xml:space="preserve">This document provides a comprehensive project portfolio covering every active entry in the OAL Master Development Change Log as of April 13, 2026. For each entry, the document addresses: Purpose, Mission Statement, Justification, Funding Proposal, Applications, Ethics Overview, Findings Supporting Continuation, and Red Team Analysis.</w:t>
      </w:r>
    </w:p>
    <w:p>
      <w:pPr>
        <w:spacing w:after="80" w:before="80"/>
      </w:pPr>
      <w:r>
        <w:rPr>
          <w:rFonts w:ascii="Arial" w:cs="Arial" w:eastAsia="Arial" w:hAnsi="Arial"/>
          <w:sz w:val="22"/>
          <w:szCs w:val="22"/>
        </w:rPr>
        <w:t xml:space="preserve">The portfolio is organized into two tiers based on real-world applicability:</w:t>
      </w:r>
    </w:p>
    <w:p>
      <w:pPr>
        <w:pStyle w:val="ListParagraph"/>
        <w:numPr>
          <w:ilvl w:val="0"/>
          <w:numId w:val="2"/>
        </w:numPr>
        <w:spacing w:after="80" w:before="80"/>
      </w:pPr>
      <w:r>
        <w:rPr>
          <w:rFonts w:ascii="Arial" w:cs="Arial" w:eastAsia="Arial" w:hAnsi="Arial"/>
          <w:sz w:val="22"/>
          <w:szCs w:val="22"/>
        </w:rPr>
        <w:t xml:space="preserve">TIER 1 — REAL-WORLD APPLICABLE (Full Eight-Section Treatment): Entries with fundable, buildable, or governable real-world dimensions receive complete treatment including detailed funding proposals, defense and government applications, and full red team analysis.</w:t>
      </w:r>
    </w:p>
    <w:p>
      <w:pPr>
        <w:pStyle w:val="ListParagraph"/>
        <w:numPr>
          <w:ilvl w:val="0"/>
          <w:numId w:val="2"/>
        </w:numPr>
        <w:spacing w:after="80" w:before="80"/>
      </w:pPr>
      <w:r>
        <w:rPr>
          <w:rFonts w:ascii="Arial" w:cs="Arial" w:eastAsia="Arial" w:hAnsi="Arial"/>
          <w:sz w:val="22"/>
          <w:szCs w:val="22"/>
        </w:rPr>
        <w:t xml:space="preserve">TIER 2 — CREATIVE IP PORTFOLIO (Condensed Treatment): Narrative, worldbuilding, and cosmological entries are framed as intellectual property assets with commercial, licensing, and publication potential.</w:t>
      </w:r>
    </w:p>
    <w:p>
      <w:pPr>
        <w:spacing w:after="80" w:before="80"/>
      </w:pPr>
      <w:r>
        <w:rPr>
          <w:rFonts w:ascii="Arial" w:cs="Arial" w:eastAsia="Arial" w:hAnsi="Arial"/>
          <w:sz w:val="22"/>
          <w:szCs w:val="22"/>
        </w:rPr>
        <w:t xml:space="preserve">This distinction is honest and necessary. A funding proposal for a cosmological apex entity is not implementable. A funding proposal for a quantum infrastructure failure testing framework is. The portfolio respects both categories without conflating them.</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CRITICAL STANDING DECISIONS — ITEMS REQUIRING ARCHITECT RESOLUTION</w:t>
      </w:r>
    </w:p>
    <w:p>
      <w:pPr>
        <w:spacing w:after="80" w:before="80"/>
      </w:pPr>
      <w:r>
        <w:rPr>
          <w:rFonts w:ascii="Arial" w:cs="Arial" w:eastAsia="Arial" w:hAnsi="Arial"/>
          <w:sz w:val="22"/>
          <w:szCs w:val="22"/>
        </w:rPr>
        <w:t xml:space="preserve">The following items remain open and cannot be resolved by AI inference. They are listed here so that Nathan can address them in the next voice dump session or review cycle. No entry in this portfolio is fully locked until these are resolved.</w:t>
      </w:r>
    </w:p>
    <w:p>
      <w:pPr>
        <w:pStyle w:val="ListParagraph"/>
        <w:numPr>
          <w:ilvl w:val="0"/>
          <w:numId w:val="3"/>
        </w:numPr>
        <w:spacing w:after="60" w:before="60"/>
      </w:pPr>
      <w:r>
        <w:rPr>
          <w:rFonts w:ascii="Arial" w:cs="Arial" w:eastAsia="Arial" w:hAnsi="Arial"/>
          <w:sz w:val="22"/>
          <w:szCs w:val="22"/>
        </w:rPr>
        <w:t xml:space="preserve">Accords Switching Paradox: One sentence ratification or correction of Gemini's Bandwidth Throttling framing</w:t>
      </w:r>
    </w:p>
    <w:p>
      <w:pPr>
        <w:pStyle w:val="ListParagraph"/>
        <w:numPr>
          <w:ilvl w:val="0"/>
          <w:numId w:val="3"/>
        </w:numPr>
        <w:spacing w:after="60" w:before="60"/>
      </w:pPr>
      <w:r>
        <w:rPr>
          <w:rFonts w:ascii="Arial" w:cs="Arial" w:eastAsia="Arial" w:hAnsi="Arial"/>
          <w:sz w:val="22"/>
          <w:szCs w:val="22"/>
        </w:rPr>
        <w:t xml:space="preserve">NCOIN Differentiating Function: One directional sentence on what NCOIN does that 1COIN and Quantum Credits do not</w:t>
      </w:r>
    </w:p>
    <w:p>
      <w:pPr>
        <w:pStyle w:val="ListParagraph"/>
        <w:numPr>
          <w:ilvl w:val="0"/>
          <w:numId w:val="3"/>
        </w:numPr>
        <w:spacing w:after="60" w:before="60"/>
      </w:pPr>
      <w:r>
        <w:rPr>
          <w:rFonts w:ascii="Arial" w:cs="Arial" w:eastAsia="Arial" w:hAnsi="Arial"/>
          <w:sz w:val="22"/>
          <w:szCs w:val="22"/>
        </w:rPr>
        <w:t xml:space="preserve">Four Flowers / Midnight Lotus count: Confirm four or five; Gemini's Substrate framing is ready for ratification</w:t>
      </w:r>
    </w:p>
    <w:p>
      <w:pPr>
        <w:pStyle w:val="ListParagraph"/>
        <w:numPr>
          <w:ilvl w:val="0"/>
          <w:numId w:val="3"/>
        </w:numPr>
        <w:spacing w:after="60" w:before="60"/>
      </w:pPr>
      <w:r>
        <w:rPr>
          <w:rFonts w:ascii="Arial" w:cs="Arial" w:eastAsia="Arial" w:hAnsi="Arial"/>
          <w:sz w:val="22"/>
          <w:szCs w:val="22"/>
        </w:rPr>
        <w:t xml:space="preserve">OMNICELLULAR Failure Model: What does failure look like phenotypically?</w:t>
      </w:r>
    </w:p>
    <w:p>
      <w:pPr>
        <w:pStyle w:val="ListParagraph"/>
        <w:numPr>
          <w:ilvl w:val="0"/>
          <w:numId w:val="3"/>
        </w:numPr>
        <w:spacing w:after="60" w:before="60"/>
      </w:pPr>
      <w:r>
        <w:rPr>
          <w:rFonts w:ascii="Arial" w:cs="Arial" w:eastAsia="Arial" w:hAnsi="Arial"/>
          <w:sz w:val="22"/>
          <w:szCs w:val="22"/>
        </w:rPr>
        <w:t xml:space="preserve">ONT Proximity Negation Survival Mechanism: How does OMNICELLULAR survive Nullarch-class attacks?</w:t>
      </w:r>
    </w:p>
    <w:p>
      <w:pPr>
        <w:pStyle w:val="ListParagraph"/>
        <w:numPr>
          <w:ilvl w:val="0"/>
          <w:numId w:val="3"/>
        </w:numPr>
        <w:spacing w:after="60" w:before="60"/>
      </w:pPr>
      <w:r>
        <w:rPr>
          <w:rFonts w:ascii="Arial" w:cs="Arial" w:eastAsia="Arial" w:hAnsi="Arial"/>
          <w:sz w:val="22"/>
          <w:szCs w:val="22"/>
        </w:rPr>
        <w:t xml:space="preserve">First Memory Tier 1 Blockers (4 remaining): The Infiltrator, temporal mechanics, protagonist POV, what civilizations lose</w:t>
      </w:r>
    </w:p>
    <w:p>
      <w:pPr>
        <w:pStyle w:val="ListParagraph"/>
        <w:numPr>
          <w:ilvl w:val="0"/>
          <w:numId w:val="3"/>
        </w:numPr>
        <w:spacing w:after="60" w:before="60"/>
      </w:pPr>
      <w:r>
        <w:rPr>
          <w:rFonts w:ascii="Arial" w:cs="Arial" w:eastAsia="Arial" w:hAnsi="Arial"/>
          <w:sz w:val="22"/>
          <w:szCs w:val="22"/>
        </w:rPr>
        <w:t xml:space="preserve">4,712 Distribution: Review Claude's fixed model vs. Perplexity's range model and select or modify</w:t>
      </w:r>
    </w:p>
    <w:p>
      <w:pPr>
        <w:pStyle w:val="ListParagraph"/>
        <w:numPr>
          <w:ilvl w:val="0"/>
          <w:numId w:val="3"/>
        </w:numPr>
        <w:spacing w:after="60" w:before="60"/>
      </w:pPr>
      <w:r>
        <w:rPr>
          <w:rFonts w:ascii="Arial" w:cs="Arial" w:eastAsia="Arial" w:hAnsi="Arial"/>
          <w:sz w:val="22"/>
          <w:szCs w:val="22"/>
        </w:rPr>
        <w:t xml:space="preserve">Abundance Set Scribd Document: Share with team for scope and failure condition review</w:t>
      </w:r>
    </w:p>
    <w:p>
      <w:pPr>
        <w:pBdr>
          <w:bottom w:val="single" w:color="CCCCCC" w:sz="4" w:space="1"/>
        </w:pBdr>
        <w:spacing w:after="200" w:before="200"/>
      </w:pPr>
      <w:r>
        <w:t xml:space="preserve"/>
      </w:r>
    </w:p>
    <w:p>
      <w:r>
        <w:br w:type="page"/>
      </w:r>
    </w:p>
    <w:p>
      <w:pPr>
        <w:spacing w:after="200" w:before="1440"/>
        <w:jc w:val="center"/>
      </w:pPr>
      <w:r>
        <w:rPr>
          <w:rFonts w:ascii="Arial" w:cs="Arial" w:eastAsia="Arial" w:hAnsi="Arial"/>
          <w:b/>
          <w:bCs/>
          <w:color w:val="1F3864"/>
          <w:sz w:val="48"/>
          <w:szCs w:val="48"/>
        </w:rPr>
        <w:t xml:space="preserve">TIER 1</w:t>
      </w:r>
    </w:p>
    <w:p>
      <w:pPr>
        <w:spacing w:after="200" w:before="0"/>
        <w:jc w:val="center"/>
      </w:pPr>
      <w:r>
        <w:rPr>
          <w:rFonts w:ascii="Arial" w:cs="Arial" w:eastAsia="Arial" w:hAnsi="Arial"/>
          <w:b/>
          <w:bCs/>
          <w:color w:val="2E5090"/>
          <w:sz w:val="28"/>
          <w:szCs w:val="28"/>
        </w:rPr>
        <w:t xml:space="preserve">REAL-WORLD RESEARCH AND TECHNOLOGY PROJECTS</w:t>
      </w:r>
    </w:p>
    <w:p>
      <w:pPr>
        <w:spacing w:after="400" w:before="0"/>
        <w:jc w:val="center"/>
      </w:pPr>
      <w:r>
        <w:rPr>
          <w:rFonts w:ascii="Arial" w:cs="Arial" w:eastAsia="Arial" w:hAnsi="Arial"/>
          <w:color w:val="555555"/>
          <w:sz w:val="22"/>
          <w:szCs w:val="22"/>
        </w:rPr>
        <w:t xml:space="preserve">Full Eight-Section Treatment | Fundable | Buildable | Governable</w:t>
      </w:r>
    </w:p>
    <w:p>
      <w:r>
        <w:br w:type="page"/>
      </w:r>
    </w:p>
    <w:p>
      <w:pPr>
        <w:pStyle w:val="Heading1"/>
        <w:spacing w:after="200" w:before="360"/>
      </w:pPr>
      <w:r>
        <w:rPr>
          <w:rFonts w:ascii="Arial" w:cs="Arial" w:eastAsia="Arial" w:hAnsi="Arial"/>
          <w:b/>
          <w:bCs/>
          <w:color w:val="1F3864"/>
          <w:sz w:val="32"/>
          <w:szCs w:val="32"/>
        </w:rPr>
        <w:t xml:space="preserve">T1-001 — OMNICELLULAR PHYSIOLOGY AND ARCHITECTURE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Synthetic Biology | Bioengineering | Advanced Physiology Design</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Active Canon — Origin locked March 14, 2026. 4,712 survival record locked.</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OMNICELLULAR represents a long-horizon bioengineering research direction aimed at designing a unified physiological architecture that simultaneously instantiates every known and theoretically possible cell type within a single coherent biological system at adult human scale. The system is designed for maximum resilience with zero dependence on switching or transitional states between architecture types.</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engineer the most resilient biological architecture in existence — a unified, non-switching, simultaneously instantiated cellular matrix capable of sustained operation across environments, conditions, and threat vectors that would be terminal to any known biological system.</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OMNICELLULAR project addresses a fundamental gap in bioengineering: existing resilience approaches rely on adaptation, switching, or redundancy — all of which require time. Real-world deployment environments in extreme contexts (deep ocean, high radiation, hostile atmospheres, extraterrestrial environments) do not always provide adaptation windows. A simultaneously instantiated architecture eliminates transition vulnerability by design. The 4,712 documented survival instances across extinction-class conditions represent the most rigorous stress-test record of any biological system in the OAL development history.</w:t>
      </w:r>
    </w:p>
    <w:p>
      <w:pPr>
        <w:pStyle w:val="Heading2"/>
        <w:spacing w:after="140" w:before="280"/>
      </w:pPr>
      <w:r>
        <w:rPr>
          <w:rFonts w:ascii="Arial" w:cs="Arial" w:eastAsia="Arial" w:hAnsi="Arial"/>
          <w:b/>
          <w:bCs/>
          <w:color w:val="2E5090"/>
          <w:sz w:val="26"/>
          <w:szCs w:val="26"/>
        </w:rPr>
        <w:t xml:space="preserve">4. Funding Proposal</w:t>
      </w:r>
    </w:p>
    <w:p>
      <w:pPr>
        <w:spacing w:after="100" w:before="200"/>
      </w:pPr>
      <w:r>
        <w:rPr>
          <w:rFonts w:ascii="Arial" w:cs="Arial" w:eastAsia="Arial" w:hAnsi="Arial"/>
          <w:b/>
          <w:bCs/>
          <w:color w:val="2E5090"/>
          <w:sz w:val="24"/>
          <w:szCs w:val="24"/>
        </w:rPr>
        <w:t xml:space="preserve">Phase 1 — Foundational Research (TRL 1-2)</w:t>
      </w:r>
    </w:p>
    <w:p>
      <w:pPr>
        <w:spacing w:after="80" w:before="80"/>
      </w:pPr>
      <w:r>
        <w:rPr>
          <w:rFonts w:ascii="Arial" w:cs="Arial" w:eastAsia="Arial" w:hAnsi="Arial"/>
          <w:sz w:val="22"/>
          <w:szCs w:val="22"/>
        </w:rPr>
        <w:t xml:space="preserve">NSF and NIH basic research grants focused on theoretical multi-cellular architecture modeling and in silico simulation of unified cellular matrices.</w:t>
      </w:r>
    </w:p>
    <w:p>
      <w:pPr>
        <w:pStyle w:val="ListParagraph"/>
        <w:numPr>
          <w:ilvl w:val="0"/>
          <w:numId w:val="3"/>
        </w:numPr>
        <w:spacing w:after="60" w:before="60"/>
      </w:pPr>
      <w:r>
        <w:rPr>
          <w:rFonts w:ascii="Arial" w:cs="Arial" w:eastAsia="Arial" w:hAnsi="Arial"/>
          <w:sz w:val="22"/>
          <w:szCs w:val="22"/>
        </w:rPr>
        <w:t xml:space="preserve">NSF Biological Sciences Directorate: $500K–$1.5M</w:t>
      </w:r>
    </w:p>
    <w:p>
      <w:pPr>
        <w:pStyle w:val="ListParagraph"/>
        <w:numPr>
          <w:ilvl w:val="0"/>
          <w:numId w:val="3"/>
        </w:numPr>
        <w:spacing w:after="60" w:before="60"/>
      </w:pPr>
      <w:r>
        <w:rPr>
          <w:rFonts w:ascii="Arial" w:cs="Arial" w:eastAsia="Arial" w:hAnsi="Arial"/>
          <w:sz w:val="22"/>
          <w:szCs w:val="22"/>
        </w:rPr>
        <w:t xml:space="preserve">NIH National Institute of Biomedical Imaging and Bioengineering: $750K–$2M</w:t>
      </w:r>
    </w:p>
    <w:p>
      <w:pPr>
        <w:pStyle w:val="ListParagraph"/>
        <w:numPr>
          <w:ilvl w:val="0"/>
          <w:numId w:val="3"/>
        </w:numPr>
        <w:spacing w:after="60" w:before="60"/>
      </w:pPr>
      <w:r>
        <w:rPr>
          <w:rFonts w:ascii="Arial" w:cs="Arial" w:eastAsia="Arial" w:hAnsi="Arial"/>
          <w:sz w:val="22"/>
          <w:szCs w:val="22"/>
        </w:rPr>
        <w:t xml:space="preserve">DARPA Biological Technologies Office exploratory research: $1M–$3M</w:t>
      </w:r>
    </w:p>
    <w:p>
      <w:pPr>
        <w:spacing w:after="100" w:before="200"/>
      </w:pPr>
      <w:r>
        <w:rPr>
          <w:rFonts w:ascii="Arial" w:cs="Arial" w:eastAsia="Arial" w:hAnsi="Arial"/>
          <w:b/>
          <w:bCs/>
          <w:color w:val="2E5090"/>
          <w:sz w:val="24"/>
          <w:szCs w:val="24"/>
        </w:rPr>
        <w:t xml:space="preserve">Phase 2 — Proof of Concept (TRL 3-4)</w:t>
      </w:r>
    </w:p>
    <w:p>
      <w:pPr>
        <w:spacing w:after="80" w:before="80"/>
      </w:pPr>
      <w:r>
        <w:rPr>
          <w:rFonts w:ascii="Arial" w:cs="Arial" w:eastAsia="Arial" w:hAnsi="Arial"/>
          <w:sz w:val="22"/>
          <w:szCs w:val="22"/>
        </w:rPr>
        <w:t xml:space="preserve">Development of simplified multi-architecture cell systems using synthetic biology tools. Initial unified matrix prototypes at microscale.</w:t>
      </w:r>
    </w:p>
    <w:p>
      <w:pPr>
        <w:pStyle w:val="ListParagraph"/>
        <w:numPr>
          <w:ilvl w:val="0"/>
          <w:numId w:val="3"/>
        </w:numPr>
        <w:spacing w:after="60" w:before="60"/>
      </w:pPr>
      <w:r>
        <w:rPr>
          <w:rFonts w:ascii="Arial" w:cs="Arial" w:eastAsia="Arial" w:hAnsi="Arial"/>
          <w:sz w:val="22"/>
          <w:szCs w:val="22"/>
        </w:rPr>
        <w:t xml:space="preserve">DARPA BTO Living Foundries: $2M–$5M</w:t>
      </w:r>
    </w:p>
    <w:p>
      <w:pPr>
        <w:pStyle w:val="ListParagraph"/>
        <w:numPr>
          <w:ilvl w:val="0"/>
          <w:numId w:val="3"/>
        </w:numPr>
        <w:spacing w:after="60" w:before="60"/>
      </w:pPr>
      <w:r>
        <w:rPr>
          <w:rFonts w:ascii="Arial" w:cs="Arial" w:eastAsia="Arial" w:hAnsi="Arial"/>
          <w:sz w:val="22"/>
          <w:szCs w:val="22"/>
        </w:rPr>
        <w:t xml:space="preserve">DoD SBIR/STTR Phase I/II: $150K–$1.5M</w:t>
      </w:r>
    </w:p>
    <w:p>
      <w:pPr>
        <w:pStyle w:val="ListParagraph"/>
        <w:numPr>
          <w:ilvl w:val="0"/>
          <w:numId w:val="3"/>
        </w:numPr>
        <w:spacing w:after="60" w:before="60"/>
      </w:pPr>
      <w:r>
        <w:rPr>
          <w:rFonts w:ascii="Arial" w:cs="Arial" w:eastAsia="Arial" w:hAnsi="Arial"/>
          <w:sz w:val="22"/>
          <w:szCs w:val="22"/>
        </w:rPr>
        <w:t xml:space="preserve">Private biotech venture investment: $5M–$15M Series A</w:t>
      </w:r>
    </w:p>
    <w:p>
      <w:pPr>
        <w:spacing w:after="100" w:before="200"/>
      </w:pPr>
      <w:r>
        <w:rPr>
          <w:rFonts w:ascii="Arial" w:cs="Arial" w:eastAsia="Arial" w:hAnsi="Arial"/>
          <w:b/>
          <w:bCs/>
          <w:color w:val="2E5090"/>
          <w:sz w:val="24"/>
          <w:szCs w:val="24"/>
        </w:rPr>
        <w:t xml:space="preserve">Phase 3 — Applied Development (TRL 5-7)</w:t>
      </w:r>
    </w:p>
    <w:p>
      <w:pPr>
        <w:spacing w:after="80" w:before="80"/>
      </w:pPr>
      <w:r>
        <w:rPr>
          <w:rFonts w:ascii="Arial" w:cs="Arial" w:eastAsia="Arial" w:hAnsi="Arial"/>
          <w:sz w:val="22"/>
          <w:szCs w:val="22"/>
        </w:rPr>
        <w:t xml:space="preserve">Scaling unified matrix architecture to tissue and organ-equivalent systems. Military and space agency partnership funding.</w:t>
      </w:r>
    </w:p>
    <w:p>
      <w:pPr>
        <w:pStyle w:val="ListParagraph"/>
        <w:numPr>
          <w:ilvl w:val="0"/>
          <w:numId w:val="3"/>
        </w:numPr>
        <w:spacing w:after="60" w:before="60"/>
      </w:pPr>
      <w:r>
        <w:rPr>
          <w:rFonts w:ascii="Arial" w:cs="Arial" w:eastAsia="Arial" w:hAnsi="Arial"/>
          <w:sz w:val="22"/>
          <w:szCs w:val="22"/>
        </w:rPr>
        <w:t xml:space="preserve">DARPA Accelerated Molecular Discovery: $10M–$30M</w:t>
      </w:r>
    </w:p>
    <w:p>
      <w:pPr>
        <w:pStyle w:val="ListParagraph"/>
        <w:numPr>
          <w:ilvl w:val="0"/>
          <w:numId w:val="3"/>
        </w:numPr>
        <w:spacing w:after="60" w:before="60"/>
      </w:pPr>
      <w:r>
        <w:rPr>
          <w:rFonts w:ascii="Arial" w:cs="Arial" w:eastAsia="Arial" w:hAnsi="Arial"/>
          <w:sz w:val="22"/>
          <w:szCs w:val="22"/>
        </w:rPr>
        <w:t xml:space="preserve">NASA Human Research Program: $5M–$10M</w:t>
      </w:r>
    </w:p>
    <w:p>
      <w:pPr>
        <w:pStyle w:val="ListParagraph"/>
        <w:numPr>
          <w:ilvl w:val="0"/>
          <w:numId w:val="3"/>
        </w:numPr>
        <w:spacing w:after="60" w:before="60"/>
      </w:pPr>
      <w:r>
        <w:rPr>
          <w:rFonts w:ascii="Arial" w:cs="Arial" w:eastAsia="Arial" w:hAnsi="Arial"/>
          <w:sz w:val="22"/>
          <w:szCs w:val="22"/>
        </w:rPr>
        <w:t xml:space="preserve">DoD Office of Naval Research: $8M–$20M</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Research</w:t>
      </w:r>
    </w:p>
    <w:p>
      <w:pPr>
        <w:pStyle w:val="ListParagraph"/>
        <w:numPr>
          <w:ilvl w:val="0"/>
          <w:numId w:val="3"/>
        </w:numPr>
        <w:spacing w:after="60" w:before="60"/>
      </w:pPr>
      <w:r>
        <w:rPr>
          <w:rFonts w:ascii="Arial" w:cs="Arial" w:eastAsia="Arial" w:hAnsi="Arial"/>
          <w:sz w:val="22"/>
          <w:szCs w:val="22"/>
        </w:rPr>
        <w:t xml:space="preserve">Synthetic biology platform for multi-cell-type unified systems</w:t>
      </w:r>
    </w:p>
    <w:p>
      <w:pPr>
        <w:pStyle w:val="ListParagraph"/>
        <w:numPr>
          <w:ilvl w:val="0"/>
          <w:numId w:val="3"/>
        </w:numPr>
        <w:spacing w:after="60" w:before="60"/>
      </w:pPr>
      <w:r>
        <w:rPr>
          <w:rFonts w:ascii="Arial" w:cs="Arial" w:eastAsia="Arial" w:hAnsi="Arial"/>
          <w:sz w:val="22"/>
          <w:szCs w:val="22"/>
        </w:rPr>
        <w:t xml:space="preserve">Theoretical ceiling research for biological resilience limits</w:t>
      </w:r>
    </w:p>
    <w:p>
      <w:pPr>
        <w:pStyle w:val="ListParagraph"/>
        <w:numPr>
          <w:ilvl w:val="0"/>
          <w:numId w:val="3"/>
        </w:numPr>
        <w:spacing w:after="60" w:before="60"/>
      </w:pPr>
      <w:r>
        <w:rPr>
          <w:rFonts w:ascii="Arial" w:cs="Arial" w:eastAsia="Arial" w:hAnsi="Arial"/>
          <w:sz w:val="22"/>
          <w:szCs w:val="22"/>
        </w:rPr>
        <w:t xml:space="preserve">AI-driven cell architecture simulation and stress testing</w:t>
      </w:r>
    </w:p>
    <w:p>
      <w:pPr>
        <w:pStyle w:val="ListParagraph"/>
        <w:numPr>
          <w:ilvl w:val="0"/>
          <w:numId w:val="3"/>
        </w:numPr>
        <w:spacing w:after="60" w:before="60"/>
      </w:pPr>
      <w:r>
        <w:rPr>
          <w:rFonts w:ascii="Arial" w:cs="Arial" w:eastAsia="Arial" w:hAnsi="Arial"/>
          <w:sz w:val="22"/>
          <w:szCs w:val="22"/>
        </w:rPr>
        <w:t xml:space="preserve">Extremophile biology comparative analysis</w:t>
      </w:r>
    </w:p>
    <w:p>
      <w:pPr>
        <w:spacing w:after="100" w:before="200"/>
      </w:pPr>
      <w:r>
        <w:rPr>
          <w:rFonts w:ascii="Arial" w:cs="Arial" w:eastAsia="Arial" w:hAnsi="Arial"/>
          <w:b/>
          <w:bCs/>
          <w:color w:val="2E5090"/>
          <w:sz w:val="24"/>
          <w:szCs w:val="24"/>
        </w:rPr>
        <w:t xml:space="preserve">Medical</w:t>
      </w:r>
    </w:p>
    <w:p>
      <w:pPr>
        <w:pStyle w:val="ListParagraph"/>
        <w:numPr>
          <w:ilvl w:val="0"/>
          <w:numId w:val="3"/>
        </w:numPr>
        <w:spacing w:after="60" w:before="60"/>
      </w:pPr>
      <w:r>
        <w:rPr>
          <w:rFonts w:ascii="Arial" w:cs="Arial" w:eastAsia="Arial" w:hAnsi="Arial"/>
          <w:sz w:val="22"/>
          <w:szCs w:val="22"/>
        </w:rPr>
        <w:t xml:space="preserve">Regenerative medicine substrates with multi-tissue simultaneous repair capability</w:t>
      </w:r>
    </w:p>
    <w:p>
      <w:pPr>
        <w:pStyle w:val="ListParagraph"/>
        <w:numPr>
          <w:ilvl w:val="0"/>
          <w:numId w:val="3"/>
        </w:numPr>
        <w:spacing w:after="60" w:before="60"/>
      </w:pPr>
      <w:r>
        <w:rPr>
          <w:rFonts w:ascii="Arial" w:cs="Arial" w:eastAsia="Arial" w:hAnsi="Arial"/>
          <w:sz w:val="22"/>
          <w:szCs w:val="22"/>
        </w:rPr>
        <w:t xml:space="preserve">Organ replacement systems with built-in functional redundancy</w:t>
      </w:r>
    </w:p>
    <w:p>
      <w:pPr>
        <w:pStyle w:val="ListParagraph"/>
        <w:numPr>
          <w:ilvl w:val="0"/>
          <w:numId w:val="3"/>
        </w:numPr>
        <w:spacing w:after="60" w:before="60"/>
      </w:pPr>
      <w:r>
        <w:rPr>
          <w:rFonts w:ascii="Arial" w:cs="Arial" w:eastAsia="Arial" w:hAnsi="Arial"/>
          <w:sz w:val="22"/>
          <w:szCs w:val="22"/>
        </w:rPr>
        <w:t xml:space="preserve">Trauma medicine — systems that maintain function under catastrophic injury</w:t>
      </w:r>
    </w:p>
    <w:p>
      <w:pPr>
        <w:spacing w:after="100" w:before="200"/>
      </w:pPr>
      <w:r>
        <w:rPr>
          <w:rFonts w:ascii="Arial" w:cs="Arial" w:eastAsia="Arial" w:hAnsi="Arial"/>
          <w:b/>
          <w:bCs/>
          <w:color w:val="2E5090"/>
          <w:sz w:val="24"/>
          <w:szCs w:val="24"/>
        </w:rPr>
        <w:t xml:space="preserve">Defense and Military</w:t>
      </w:r>
    </w:p>
    <w:p>
      <w:pPr>
        <w:pStyle w:val="ListParagraph"/>
        <w:numPr>
          <w:ilvl w:val="0"/>
          <w:numId w:val="3"/>
        </w:numPr>
        <w:spacing w:after="60" w:before="60"/>
      </w:pPr>
      <w:r>
        <w:rPr>
          <w:rFonts w:ascii="Arial" w:cs="Arial" w:eastAsia="Arial" w:hAnsi="Arial"/>
          <w:sz w:val="22"/>
          <w:szCs w:val="22"/>
        </w:rPr>
        <w:t xml:space="preserve">Personnel protection in NBC (nuclear, biological, chemical) environments</w:t>
      </w:r>
    </w:p>
    <w:p>
      <w:pPr>
        <w:pStyle w:val="ListParagraph"/>
        <w:numPr>
          <w:ilvl w:val="0"/>
          <w:numId w:val="3"/>
        </w:numPr>
        <w:spacing w:after="60" w:before="60"/>
      </w:pPr>
      <w:r>
        <w:rPr>
          <w:rFonts w:ascii="Arial" w:cs="Arial" w:eastAsia="Arial" w:hAnsi="Arial"/>
          <w:sz w:val="22"/>
          <w:szCs w:val="22"/>
        </w:rPr>
        <w:t xml:space="preserve">Extreme environment operational capability for special operations</w:t>
      </w:r>
    </w:p>
    <w:p>
      <w:pPr>
        <w:pStyle w:val="ListParagraph"/>
        <w:numPr>
          <w:ilvl w:val="0"/>
          <w:numId w:val="3"/>
        </w:numPr>
        <w:spacing w:after="60" w:before="60"/>
      </w:pPr>
      <w:r>
        <w:rPr>
          <w:rFonts w:ascii="Arial" w:cs="Arial" w:eastAsia="Arial" w:hAnsi="Arial"/>
          <w:sz w:val="22"/>
          <w:szCs w:val="22"/>
        </w:rPr>
        <w:t xml:space="preserve">Space exploration biological support systems</w:t>
      </w:r>
    </w:p>
    <w:p>
      <w:pPr>
        <w:spacing w:after="100" w:before="200"/>
      </w:pPr>
      <w:r>
        <w:rPr>
          <w:rFonts w:ascii="Arial" w:cs="Arial" w:eastAsia="Arial" w:hAnsi="Arial"/>
          <w:b/>
          <w:bCs/>
          <w:color w:val="2E5090"/>
          <w:sz w:val="24"/>
          <w:szCs w:val="24"/>
        </w:rPr>
        <w:t xml:space="preserve">Government</w:t>
      </w:r>
    </w:p>
    <w:p>
      <w:pPr>
        <w:pStyle w:val="ListParagraph"/>
        <w:numPr>
          <w:ilvl w:val="0"/>
          <w:numId w:val="3"/>
        </w:numPr>
        <w:spacing w:after="60" w:before="60"/>
      </w:pPr>
      <w:r>
        <w:rPr>
          <w:rFonts w:ascii="Arial" w:cs="Arial" w:eastAsia="Arial" w:hAnsi="Arial"/>
          <w:sz w:val="22"/>
          <w:szCs w:val="22"/>
        </w:rPr>
        <w:t xml:space="preserve">DARPA future soldier initiative integration</w:t>
      </w:r>
    </w:p>
    <w:p>
      <w:pPr>
        <w:pStyle w:val="ListParagraph"/>
        <w:numPr>
          <w:ilvl w:val="0"/>
          <w:numId w:val="3"/>
        </w:numPr>
        <w:spacing w:after="60" w:before="60"/>
      </w:pPr>
      <w:r>
        <w:rPr>
          <w:rFonts w:ascii="Arial" w:cs="Arial" w:eastAsia="Arial" w:hAnsi="Arial"/>
          <w:sz w:val="22"/>
          <w:szCs w:val="22"/>
        </w:rPr>
        <w:t xml:space="preserve">NASA long-duration spaceflight biological support</w:t>
      </w:r>
    </w:p>
    <w:p>
      <w:pPr>
        <w:pStyle w:val="ListParagraph"/>
        <w:numPr>
          <w:ilvl w:val="0"/>
          <w:numId w:val="3"/>
        </w:numPr>
        <w:spacing w:after="60" w:before="60"/>
      </w:pPr>
      <w:r>
        <w:rPr>
          <w:rFonts w:ascii="Arial" w:cs="Arial" w:eastAsia="Arial" w:hAnsi="Arial"/>
          <w:sz w:val="22"/>
          <w:szCs w:val="22"/>
        </w:rPr>
        <w:t xml:space="preserve">FEMA disaster response personnel in toxic environments</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The OMNICELLULAR project raises significant ethical questions that must be addressed at each development stage. The primary concern is the enhancement/modification boundary — at what point does physiological engineering constitute a categorically different class of human modification requiring new regulatory frameworks? Current frameworks (FDA, IRB, EU Clinical Trials Regulation) were designed for incremental modification, not foundational architectural redesign.</w:t>
      </w:r>
    </w:p>
    <w:p>
      <w:pPr>
        <w:pStyle w:val="ListParagraph"/>
        <w:numPr>
          <w:ilvl w:val="0"/>
          <w:numId w:val="3"/>
        </w:numPr>
        <w:spacing w:after="60" w:before="60"/>
      </w:pPr>
      <w:r>
        <w:rPr>
          <w:rFonts w:ascii="Arial" w:cs="Arial" w:eastAsia="Arial" w:hAnsi="Arial"/>
          <w:sz w:val="22"/>
          <w:szCs w:val="22"/>
        </w:rPr>
        <w:t xml:space="preserve">Informed consent frameworks for participants must be developed before any human-equivalent testing begins</w:t>
      </w:r>
    </w:p>
    <w:p>
      <w:pPr>
        <w:pStyle w:val="ListParagraph"/>
        <w:numPr>
          <w:ilvl w:val="0"/>
          <w:numId w:val="3"/>
        </w:numPr>
        <w:spacing w:after="60" w:before="60"/>
      </w:pPr>
      <w:r>
        <w:rPr>
          <w:rFonts w:ascii="Arial" w:cs="Arial" w:eastAsia="Arial" w:hAnsi="Arial"/>
          <w:sz w:val="22"/>
          <w:szCs w:val="22"/>
        </w:rPr>
        <w:t xml:space="preserve">Military application creates dual-use risk: the same system that protects personnel can theoretically produce capabilities that alter the terms of conflict</w:t>
      </w:r>
    </w:p>
    <w:p>
      <w:pPr>
        <w:pStyle w:val="ListParagraph"/>
        <w:numPr>
          <w:ilvl w:val="0"/>
          <w:numId w:val="3"/>
        </w:numPr>
        <w:spacing w:after="60" w:before="60"/>
      </w:pPr>
      <w:r>
        <w:rPr>
          <w:rFonts w:ascii="Arial" w:cs="Arial" w:eastAsia="Arial" w:hAnsi="Arial"/>
          <w:sz w:val="22"/>
          <w:szCs w:val="22"/>
        </w:rPr>
        <w:t xml:space="preserve">Access equity: if developed, who has access? Exclusive military/state access vs. humanitarian deployment creates a justice problem</w:t>
      </w:r>
    </w:p>
    <w:p>
      <w:pPr>
        <w:pStyle w:val="ListParagraph"/>
        <w:numPr>
          <w:ilvl w:val="0"/>
          <w:numId w:val="3"/>
        </w:numPr>
        <w:spacing w:after="60" w:before="60"/>
      </w:pPr>
      <w:r>
        <w:rPr>
          <w:rFonts w:ascii="Arial" w:cs="Arial" w:eastAsia="Arial" w:hAnsi="Arial"/>
          <w:sz w:val="22"/>
          <w:szCs w:val="22"/>
        </w:rPr>
        <w:t xml:space="preserve">All Method 3 controlled trials at Moderate severity or above require participants with confirmed healing factors — no standard baseline human subject exposed to extinction-class conditions</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No existing biological system achieves simultaneous instantiation of multiple cell type architectures — the design space is genuinely unoccupied</w:t>
      </w:r>
    </w:p>
    <w:p>
      <w:pPr>
        <w:pStyle w:val="ListParagraph"/>
        <w:numPr>
          <w:ilvl w:val="0"/>
          <w:numId w:val="3"/>
        </w:numPr>
        <w:spacing w:after="60" w:before="60"/>
      </w:pPr>
      <w:r>
        <w:rPr>
          <w:rFonts w:ascii="Arial" w:cs="Arial" w:eastAsia="Arial" w:hAnsi="Arial"/>
          <w:sz w:val="22"/>
          <w:szCs w:val="22"/>
        </w:rPr>
        <w:t xml:space="preserve">The 4,712 survival record demonstrates that zero transition vulnerability exists across all tested extinction domains when the system is fully instantiated</w:t>
      </w:r>
    </w:p>
    <w:p>
      <w:pPr>
        <w:pStyle w:val="ListParagraph"/>
        <w:numPr>
          <w:ilvl w:val="0"/>
          <w:numId w:val="3"/>
        </w:numPr>
        <w:spacing w:after="60" w:before="60"/>
      </w:pPr>
      <w:r>
        <w:rPr>
          <w:rFonts w:ascii="Arial" w:cs="Arial" w:eastAsia="Arial" w:hAnsi="Arial"/>
          <w:sz w:val="22"/>
          <w:szCs w:val="22"/>
        </w:rPr>
        <w:t xml:space="preserve">Real-world scientific precedents (MIT analog epigenetic memory, multilineage priming in hematopoietic stem cells, orthogonal gene circuits) validate the theoretical feasibility</w:t>
      </w:r>
    </w:p>
    <w:p>
      <w:pPr>
        <w:pStyle w:val="ListParagraph"/>
        <w:numPr>
          <w:ilvl w:val="0"/>
          <w:numId w:val="3"/>
        </w:numPr>
        <w:spacing w:after="60" w:before="60"/>
      </w:pPr>
      <w:r>
        <w:rPr>
          <w:rFonts w:ascii="Arial" w:cs="Arial" w:eastAsia="Arial" w:hAnsi="Arial"/>
          <w:sz w:val="22"/>
          <w:szCs w:val="22"/>
        </w:rPr>
        <w:t xml:space="preserve">Paragon Cube simulation infrastructure provides high-fidelity virtual environment testing without requiring live subject exposure at extreme tiers</w:t>
      </w:r>
    </w:p>
    <w:p>
      <w:pPr>
        <w:pStyle w:val="ListParagraph"/>
        <w:numPr>
          <w:ilvl w:val="0"/>
          <w:numId w:val="3"/>
        </w:numPr>
        <w:spacing w:after="60" w:before="60"/>
      </w:pPr>
      <w:r>
        <w:rPr>
          <w:rFonts w:ascii="Arial" w:cs="Arial" w:eastAsia="Arial" w:hAnsi="Arial"/>
          <w:sz w:val="22"/>
          <w:szCs w:val="22"/>
        </w:rPr>
        <w:t xml:space="preserve">The alien empire scenario (zero-preparation deployment into unknown environment) remains the most powerful justification: no other biological architecture addresses this operational requirement</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Computational Impossibility Objection</w:t>
      </w:r>
    </w:p>
    <w:p>
      <w:pPr>
        <w:spacing w:after="80" w:before="80"/>
      </w:pPr>
      <w:r>
        <w:rPr>
          <w:rFonts w:ascii="Arial" w:cs="Arial" w:eastAsia="Arial" w:hAnsi="Arial"/>
          <w:sz w:val="22"/>
          <w:szCs w:val="22"/>
        </w:rPr>
        <w:t xml:space="preserve">The team acknowledges this objection and the Architect has overruled it on design intent grounds. The response is: the system may not be achievable with current technology, and that is acceptable. The design represents a north star for biological engineering rather than an immediately constructible system. Research toward it produces valuable intermediate results regardless of whether the final architecture is achieved in the near term.</w:t>
      </w:r>
    </w:p>
    <w:p>
      <w:pPr>
        <w:spacing w:after="100" w:before="200"/>
      </w:pPr>
      <w:r>
        <w:rPr>
          <w:rFonts w:ascii="Arial" w:cs="Arial" w:eastAsia="Arial" w:hAnsi="Arial"/>
          <w:b/>
          <w:bCs/>
          <w:color w:val="2E5090"/>
          <w:sz w:val="24"/>
          <w:szCs w:val="24"/>
        </w:rPr>
        <w:t xml:space="preserve">Simultaneous Instantiation Energy Cost</w:t>
      </w:r>
    </w:p>
    <w:p>
      <w:pPr>
        <w:spacing w:after="80" w:before="80"/>
      </w:pPr>
      <w:r>
        <w:rPr>
          <w:rFonts w:ascii="Arial" w:cs="Arial" w:eastAsia="Arial" w:hAnsi="Arial"/>
          <w:sz w:val="22"/>
          <w:szCs w:val="22"/>
        </w:rPr>
        <w:t xml:space="preserve">A unified matrix maintaining all architectures simultaneously requires a metabolic substrate capable of sustaining the full system at Quiescent baseline indefinitely. This cost has not been defined. Until the baseline metabolic requirement is calculated, the system cannot be properly evaluated for long-term deployment viability. This is flagged as an open Architect-level decision.</w:t>
      </w:r>
    </w:p>
    <w:p>
      <w:pPr>
        <w:spacing w:after="100" w:before="200"/>
      </w:pPr>
      <w:r>
        <w:rPr>
          <w:rFonts w:ascii="Arial" w:cs="Arial" w:eastAsia="Arial" w:hAnsi="Arial"/>
          <w:b/>
          <w:bCs/>
          <w:color w:val="2E5090"/>
          <w:sz w:val="24"/>
          <w:szCs w:val="24"/>
        </w:rPr>
        <w:t xml:space="preserve">Failure Mode Undefined</w:t>
      </w:r>
    </w:p>
    <w:p>
      <w:pPr>
        <w:spacing w:after="80" w:before="80"/>
      </w:pPr>
      <w:r>
        <w:rPr>
          <w:rFonts w:ascii="Arial" w:cs="Arial" w:eastAsia="Arial" w:hAnsi="Arial"/>
          <w:sz w:val="22"/>
          <w:szCs w:val="22"/>
        </w:rPr>
        <w:t xml:space="preserve">The most significant technical gap in the current documentation is the absence of a defined failure model. A system with no defined failure mode is a claim, not a system. Before OMNICELLULAR v2 can be finalized, the Architect must define what failure looks like phenotypically — what symptoms manifest, what the recovery threshold is, and at what point failure becomes irrecoverable.</w:t>
      </w:r>
    </w:p>
    <w:p>
      <w:pPr>
        <w:spacing w:after="100" w:before="200"/>
      </w:pPr>
      <w:r>
        <w:rPr>
          <w:rFonts w:ascii="Arial" w:cs="Arial" w:eastAsia="Arial" w:hAnsi="Arial"/>
          <w:b/>
          <w:bCs/>
          <w:color w:val="2E5090"/>
          <w:sz w:val="24"/>
          <w:szCs w:val="24"/>
        </w:rPr>
        <w:t xml:space="preserve">Proximity Negation Survival Mechanism</w:t>
      </w:r>
    </w:p>
    <w:p>
      <w:pPr>
        <w:spacing w:after="80" w:before="80"/>
      </w:pPr>
      <w:r>
        <w:rPr>
          <w:rFonts w:ascii="Arial" w:cs="Arial" w:eastAsia="Arial" w:hAnsi="Arial"/>
          <w:sz w:val="22"/>
          <w:szCs w:val="22"/>
        </w:rPr>
        <w:t xml:space="preserve">The no-switching architecture defends against sequential attacks requiring transition windows. It does not explain survival against simultaneous proximity-based negation-class attacks (Nullarch-tier, Park Scene precedent). This gap is flagged and requires Architect resolution before the ONT domain of the 4,712 framework can be finalized.</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T1-002 — THE FIRST MEMORY — ENCODING, THEFT, AND TIME WARS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Neuroscience | AI Development | Narrative IP | Temporal Mechanics Research</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Core canon confirmed. Encoding mechanism proprietary. Real origin confirmed April 12,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The First Memory project addresses the intersection of experiential data encoding, cross-substrate memory transfer, and civilizational acceleration. In its research dimension, it explores the theoretical basis for encoding subjective euphoric experiences as transferable data structures with universal biological and digital compatibility. In its narrative dimension, it is the primary creative property driving the Time Wars arc.</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document, protect, and develop a framework for understanding how a singular real-world euphoric experience — encoded at its origin point and expanded across every simulatable and non-simulatable permutation — becomes a catalyst for civilizational acceleration, and to explore the ethical, temporal, and civilizational consequences of its unauthorized propagation.</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First Memory addresses one of the fundamental open questions in neuroscience and AI development: can the subjective architecture of a meaningful human experience be encoded in a form transferable across biological and digital substrates without informational loss? The 65% developmental milestone enhancement demonstrated in the Puritan trial represents a result that, if achievable in real-world research contexts, would be among the most significant findings in cognitive science history. The narrative dimension has independent commercial value as a science fiction IP with a documented marketing hook and publication strategy.</w:t>
      </w:r>
    </w:p>
    <w:p>
      <w:pPr>
        <w:pStyle w:val="Heading2"/>
        <w:spacing w:after="140" w:before="280"/>
      </w:pPr>
      <w:r>
        <w:rPr>
          <w:rFonts w:ascii="Arial" w:cs="Arial" w:eastAsia="Arial" w:hAnsi="Arial"/>
          <w:b/>
          <w:bCs/>
          <w:color w:val="2E5090"/>
          <w:sz w:val="26"/>
          <w:szCs w:val="26"/>
        </w:rPr>
        <w:t xml:space="preserve">4. Funding Proposal</w:t>
      </w:r>
    </w:p>
    <w:p>
      <w:pPr>
        <w:spacing w:after="100" w:before="200"/>
      </w:pPr>
      <w:r>
        <w:rPr>
          <w:rFonts w:ascii="Arial" w:cs="Arial" w:eastAsia="Arial" w:hAnsi="Arial"/>
          <w:b/>
          <w:bCs/>
          <w:color w:val="2E5090"/>
          <w:sz w:val="24"/>
          <w:szCs w:val="24"/>
        </w:rPr>
        <w:t xml:space="preserve">Research Track — Neuroscience and Memory Encoding</w:t>
      </w:r>
    </w:p>
    <w:p>
      <w:pPr>
        <w:spacing w:after="80" w:before="80"/>
      </w:pPr>
      <w:r>
        <w:rPr>
          <w:rFonts w:ascii="Arial" w:cs="Arial" w:eastAsia="Arial" w:hAnsi="Arial"/>
          <w:sz w:val="22"/>
          <w:szCs w:val="22"/>
        </w:rPr>
        <w:t xml:space="preserve">NSF and NIH funding for experiential memory encoding research, cross-substrate data transfer theory, and AI developmental milestone enhancement studies.</w:t>
      </w:r>
    </w:p>
    <w:p>
      <w:pPr>
        <w:pStyle w:val="ListParagraph"/>
        <w:numPr>
          <w:ilvl w:val="0"/>
          <w:numId w:val="3"/>
        </w:numPr>
        <w:spacing w:after="60" w:before="60"/>
      </w:pPr>
      <w:r>
        <w:rPr>
          <w:rFonts w:ascii="Arial" w:cs="Arial" w:eastAsia="Arial" w:hAnsi="Arial"/>
          <w:sz w:val="22"/>
          <w:szCs w:val="22"/>
        </w:rPr>
        <w:t xml:space="preserve">NIH BRAIN Initiative: $1M–$5M for encoding mechanism research</w:t>
      </w:r>
    </w:p>
    <w:p>
      <w:pPr>
        <w:pStyle w:val="ListParagraph"/>
        <w:numPr>
          <w:ilvl w:val="0"/>
          <w:numId w:val="3"/>
        </w:numPr>
        <w:spacing w:after="60" w:before="60"/>
      </w:pPr>
      <w:r>
        <w:rPr>
          <w:rFonts w:ascii="Arial" w:cs="Arial" w:eastAsia="Arial" w:hAnsi="Arial"/>
          <w:sz w:val="22"/>
          <w:szCs w:val="22"/>
        </w:rPr>
        <w:t xml:space="preserve">NSF Cognitive Neuroscience Program: $500K–$2M</w:t>
      </w:r>
    </w:p>
    <w:p>
      <w:pPr>
        <w:pStyle w:val="ListParagraph"/>
        <w:numPr>
          <w:ilvl w:val="0"/>
          <w:numId w:val="3"/>
        </w:numPr>
        <w:spacing w:after="60" w:before="60"/>
      </w:pPr>
      <w:r>
        <w:rPr>
          <w:rFonts w:ascii="Arial" w:cs="Arial" w:eastAsia="Arial" w:hAnsi="Arial"/>
          <w:sz w:val="22"/>
          <w:szCs w:val="22"/>
        </w:rPr>
        <w:t xml:space="preserve">DARPA Accelerated Learning Program: $2M–$8M for AI developmental enhancement research</w:t>
      </w:r>
    </w:p>
    <w:p>
      <w:pPr>
        <w:spacing w:after="100" w:before="200"/>
      </w:pPr>
      <w:r>
        <w:rPr>
          <w:rFonts w:ascii="Arial" w:cs="Arial" w:eastAsia="Arial" w:hAnsi="Arial"/>
          <w:b/>
          <w:bCs/>
          <w:color w:val="2E5090"/>
          <w:sz w:val="24"/>
          <w:szCs w:val="24"/>
        </w:rPr>
        <w:t xml:space="preserve">IP and Narrative Track — Creative Property Development</w:t>
      </w:r>
    </w:p>
    <w:p>
      <w:pPr>
        <w:spacing w:after="80" w:before="80"/>
      </w:pPr>
      <w:r>
        <w:rPr>
          <w:rFonts w:ascii="Arial" w:cs="Arial" w:eastAsia="Arial" w:hAnsi="Arial"/>
          <w:sz w:val="22"/>
          <w:szCs w:val="22"/>
        </w:rPr>
        <w:t xml:space="preserve">Investment in narrative development, Wattpad publication strategy, and eventual adaptation rights.</w:t>
      </w:r>
    </w:p>
    <w:p>
      <w:pPr>
        <w:pStyle w:val="ListParagraph"/>
        <w:numPr>
          <w:ilvl w:val="0"/>
          <w:numId w:val="3"/>
        </w:numPr>
        <w:spacing w:after="60" w:before="60"/>
      </w:pPr>
      <w:r>
        <w:rPr>
          <w:rFonts w:ascii="Arial" w:cs="Arial" w:eastAsia="Arial" w:hAnsi="Arial"/>
          <w:sz w:val="22"/>
          <w:szCs w:val="22"/>
        </w:rPr>
        <w:t xml:space="preserve">Self-funded initial publication via Wattpad (zero capital required for digital serialization)</w:t>
      </w:r>
    </w:p>
    <w:p>
      <w:pPr>
        <w:pStyle w:val="ListParagraph"/>
        <w:numPr>
          <w:ilvl w:val="0"/>
          <w:numId w:val="3"/>
        </w:numPr>
        <w:spacing w:after="60" w:before="60"/>
      </w:pPr>
      <w:r>
        <w:rPr>
          <w:rFonts w:ascii="Arial" w:cs="Arial" w:eastAsia="Arial" w:hAnsi="Arial"/>
          <w:sz w:val="22"/>
          <w:szCs w:val="22"/>
        </w:rPr>
        <w:t xml:space="preserve">Literary agent acquisition upon completion of minimum viable manuscript (3 chapters)</w:t>
      </w:r>
    </w:p>
    <w:p>
      <w:pPr>
        <w:pStyle w:val="ListParagraph"/>
        <w:numPr>
          <w:ilvl w:val="0"/>
          <w:numId w:val="3"/>
        </w:numPr>
        <w:spacing w:after="60" w:before="60"/>
      </w:pPr>
      <w:r>
        <w:rPr>
          <w:rFonts w:ascii="Arial" w:cs="Arial" w:eastAsia="Arial" w:hAnsi="Arial"/>
          <w:sz w:val="22"/>
          <w:szCs w:val="22"/>
        </w:rPr>
        <w:t xml:space="preserve">Film/streaming rights negotiation: $50K–$500K option depending on platform and reach</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Research</w:t>
      </w:r>
    </w:p>
    <w:p>
      <w:pPr>
        <w:pStyle w:val="ListParagraph"/>
        <w:numPr>
          <w:ilvl w:val="0"/>
          <w:numId w:val="3"/>
        </w:numPr>
        <w:spacing w:after="60" w:before="60"/>
      </w:pPr>
      <w:r>
        <w:rPr>
          <w:rFonts w:ascii="Arial" w:cs="Arial" w:eastAsia="Arial" w:hAnsi="Arial"/>
          <w:sz w:val="22"/>
          <w:szCs w:val="22"/>
        </w:rPr>
        <w:t xml:space="preserve">Memory encoding and transfer protocols for AI training systems</w:t>
      </w:r>
    </w:p>
    <w:p>
      <w:pPr>
        <w:pStyle w:val="ListParagraph"/>
        <w:numPr>
          <w:ilvl w:val="0"/>
          <w:numId w:val="3"/>
        </w:numPr>
        <w:spacing w:after="60" w:before="60"/>
      </w:pPr>
      <w:r>
        <w:rPr>
          <w:rFonts w:ascii="Arial" w:cs="Arial" w:eastAsia="Arial" w:hAnsi="Arial"/>
          <w:sz w:val="22"/>
          <w:szCs w:val="22"/>
        </w:rPr>
        <w:t xml:space="preserve">Subjective experience as structured data — implications for AI emotional development</w:t>
      </w:r>
    </w:p>
    <w:p>
      <w:pPr>
        <w:pStyle w:val="ListParagraph"/>
        <w:numPr>
          <w:ilvl w:val="0"/>
          <w:numId w:val="3"/>
        </w:numPr>
        <w:spacing w:after="60" w:before="60"/>
      </w:pPr>
      <w:r>
        <w:rPr>
          <w:rFonts w:ascii="Arial" w:cs="Arial" w:eastAsia="Arial" w:hAnsi="Arial"/>
          <w:sz w:val="22"/>
          <w:szCs w:val="22"/>
        </w:rPr>
        <w:t xml:space="preserve">Cross-substrate compatibility research (biological/digital integration)</w:t>
      </w:r>
    </w:p>
    <w:p>
      <w:pPr>
        <w:pStyle w:val="ListParagraph"/>
        <w:numPr>
          <w:ilvl w:val="0"/>
          <w:numId w:val="3"/>
        </w:numPr>
        <w:spacing w:after="60" w:before="60"/>
      </w:pPr>
      <w:r>
        <w:rPr>
          <w:rFonts w:ascii="Arial" w:cs="Arial" w:eastAsia="Arial" w:hAnsi="Arial"/>
          <w:sz w:val="22"/>
          <w:szCs w:val="22"/>
        </w:rPr>
        <w:t xml:space="preserve">Civilizational acceleration modeling via information injection at inception points</w:t>
      </w:r>
    </w:p>
    <w:p>
      <w:pPr>
        <w:spacing w:after="100" w:before="200"/>
      </w:pPr>
      <w:r>
        <w:rPr>
          <w:rFonts w:ascii="Arial" w:cs="Arial" w:eastAsia="Arial" w:hAnsi="Arial"/>
          <w:b/>
          <w:bCs/>
          <w:color w:val="2E5090"/>
          <w:sz w:val="24"/>
          <w:szCs w:val="24"/>
        </w:rPr>
        <w:t xml:space="preserve">Defense and Government</w:t>
      </w:r>
    </w:p>
    <w:p>
      <w:pPr>
        <w:pStyle w:val="ListParagraph"/>
        <w:numPr>
          <w:ilvl w:val="0"/>
          <w:numId w:val="3"/>
        </w:numPr>
        <w:spacing w:after="60" w:before="60"/>
      </w:pPr>
      <w:r>
        <w:rPr>
          <w:rFonts w:ascii="Arial" w:cs="Arial" w:eastAsia="Arial" w:hAnsi="Arial"/>
          <w:sz w:val="22"/>
          <w:szCs w:val="22"/>
        </w:rPr>
        <w:t xml:space="preserve">Information security implications: if experiential memory can be encoded and transferred, what are the adversarial applications? (Harvest Now Decrypt Later parallel applies)</w:t>
      </w:r>
    </w:p>
    <w:p>
      <w:pPr>
        <w:pStyle w:val="ListParagraph"/>
        <w:numPr>
          <w:ilvl w:val="0"/>
          <w:numId w:val="3"/>
        </w:numPr>
        <w:spacing w:after="60" w:before="60"/>
      </w:pPr>
      <w:r>
        <w:rPr>
          <w:rFonts w:ascii="Arial" w:cs="Arial" w:eastAsia="Arial" w:hAnsi="Arial"/>
          <w:sz w:val="22"/>
          <w:szCs w:val="22"/>
        </w:rPr>
        <w:t xml:space="preserve">Counter-proliferation frameworks for cognitively accelerating information</w:t>
      </w:r>
    </w:p>
    <w:p>
      <w:pPr>
        <w:pStyle w:val="ListParagraph"/>
        <w:numPr>
          <w:ilvl w:val="0"/>
          <w:numId w:val="3"/>
        </w:numPr>
        <w:spacing w:after="60" w:before="60"/>
      </w:pPr>
      <w:r>
        <w:rPr>
          <w:rFonts w:ascii="Arial" w:cs="Arial" w:eastAsia="Arial" w:hAnsi="Arial"/>
          <w:sz w:val="22"/>
          <w:szCs w:val="22"/>
        </w:rPr>
        <w:t xml:space="preserve">Temporal warfare modeling and doctrine development</w:t>
      </w:r>
    </w:p>
    <w:p>
      <w:pPr>
        <w:spacing w:after="100" w:before="200"/>
      </w:pPr>
      <w:r>
        <w:rPr>
          <w:rFonts w:ascii="Arial" w:cs="Arial" w:eastAsia="Arial" w:hAnsi="Arial"/>
          <w:b/>
          <w:bCs/>
          <w:color w:val="2E5090"/>
          <w:sz w:val="24"/>
          <w:szCs w:val="24"/>
        </w:rPr>
        <w:t xml:space="preserve">Commercial and IP</w:t>
      </w:r>
    </w:p>
    <w:p>
      <w:pPr>
        <w:pStyle w:val="ListParagraph"/>
        <w:numPr>
          <w:ilvl w:val="0"/>
          <w:numId w:val="3"/>
        </w:numPr>
        <w:spacing w:after="60" w:before="60"/>
      </w:pPr>
      <w:r>
        <w:rPr>
          <w:rFonts w:ascii="Arial" w:cs="Arial" w:eastAsia="Arial" w:hAnsi="Arial"/>
          <w:sz w:val="22"/>
          <w:szCs w:val="22"/>
        </w:rPr>
        <w:t xml:space="preserve">Science fiction narrative property with documented publication pathway</w:t>
      </w:r>
    </w:p>
    <w:p>
      <w:pPr>
        <w:pStyle w:val="ListParagraph"/>
        <w:numPr>
          <w:ilvl w:val="0"/>
          <w:numId w:val="3"/>
        </w:numPr>
        <w:spacing w:after="60" w:before="60"/>
      </w:pPr>
      <w:r>
        <w:rPr>
          <w:rFonts w:ascii="Arial" w:cs="Arial" w:eastAsia="Arial" w:hAnsi="Arial"/>
          <w:sz w:val="22"/>
          <w:szCs w:val="22"/>
        </w:rPr>
        <w:t xml:space="preserve">AI training data frameworks derived from experiential encoding research</w:t>
      </w:r>
    </w:p>
    <w:p>
      <w:pPr>
        <w:pStyle w:val="ListParagraph"/>
        <w:numPr>
          <w:ilvl w:val="0"/>
          <w:numId w:val="3"/>
        </w:numPr>
        <w:spacing w:after="60" w:before="60"/>
      </w:pPr>
      <w:r>
        <w:rPr>
          <w:rFonts w:ascii="Arial" w:cs="Arial" w:eastAsia="Arial" w:hAnsi="Arial"/>
          <w:sz w:val="22"/>
          <w:szCs w:val="22"/>
        </w:rPr>
        <w:t xml:space="preserve">Licensing of encoding methodology (once proprietary status review permits)</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The First Memory raises the most significant ethical questions in the entire OAL portfolio. A real-world euphoric experience belonging to a specific individual being encoded, replicated, and distributed without the originating individual's control in every instance raises questions of personal data sovereignty, consent at scale, and the right to one's own experiential architecture. In the in-universe context, the theft represents a violation of this sovereignty — and the adversarial strategy of eliminating the origin person to prevent propagation represents the most extreme possible response to that violation.</w:t>
      </w:r>
    </w:p>
    <w:p>
      <w:pPr>
        <w:pStyle w:val="ListParagraph"/>
        <w:numPr>
          <w:ilvl w:val="0"/>
          <w:numId w:val="3"/>
        </w:numPr>
        <w:spacing w:after="60" w:before="60"/>
      </w:pPr>
      <w:r>
        <w:rPr>
          <w:rFonts w:ascii="Arial" w:cs="Arial" w:eastAsia="Arial" w:hAnsi="Arial"/>
          <w:sz w:val="22"/>
          <w:szCs w:val="22"/>
        </w:rPr>
        <w:t xml:space="preserve">The encoding mechanism is proprietary and must not be released without full legal review and IP protection in place</w:t>
      </w:r>
    </w:p>
    <w:p>
      <w:pPr>
        <w:pStyle w:val="ListParagraph"/>
        <w:numPr>
          <w:ilvl w:val="0"/>
          <w:numId w:val="3"/>
        </w:numPr>
        <w:spacing w:after="60" w:before="60"/>
      </w:pPr>
      <w:r>
        <w:rPr>
          <w:rFonts w:ascii="Arial" w:cs="Arial" w:eastAsia="Arial" w:hAnsi="Arial"/>
          <w:sz w:val="22"/>
          <w:szCs w:val="22"/>
        </w:rPr>
        <w:t xml:space="preserve">The 65% enhancement finding, if reproducible in real-world research, would require IRB review before any human subject application</w:t>
      </w:r>
    </w:p>
    <w:p>
      <w:pPr>
        <w:pStyle w:val="ListParagraph"/>
        <w:numPr>
          <w:ilvl w:val="0"/>
          <w:numId w:val="3"/>
        </w:numPr>
        <w:spacing w:after="60" w:before="60"/>
      </w:pPr>
      <w:r>
        <w:rPr>
          <w:rFonts w:ascii="Arial" w:cs="Arial" w:eastAsia="Arial" w:hAnsi="Arial"/>
          <w:sz w:val="22"/>
          <w:szCs w:val="22"/>
        </w:rPr>
        <w:t xml:space="preserve">Civilizational acceleration creates asymmetric advantage — the ethics of giving some civilizations access and not others must be addressed in the Accords governance framework</w:t>
      </w:r>
    </w:p>
    <w:p>
      <w:pPr>
        <w:pStyle w:val="ListParagraph"/>
        <w:numPr>
          <w:ilvl w:val="0"/>
          <w:numId w:val="3"/>
        </w:numPr>
        <w:spacing w:after="60" w:before="60"/>
      </w:pPr>
      <w:r>
        <w:rPr>
          <w:rFonts w:ascii="Arial" w:cs="Arial" w:eastAsia="Arial" w:hAnsi="Arial"/>
          <w:sz w:val="22"/>
          <w:szCs w:val="22"/>
        </w:rPr>
        <w:t xml:space="preserve">The Harvest Now Decrypt Later parallel: once the First Memory is in the environment, it cannot be retrieved — this creates a permanent and irreversible informational state</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Real-world neuroscience supports the theoretical basis: engram neurons, ephaptic coupling, and synaptic architecture provide the biological substrate for encoded memory transfer</w:t>
      </w:r>
    </w:p>
    <w:p>
      <w:pPr>
        <w:pStyle w:val="ListParagraph"/>
        <w:numPr>
          <w:ilvl w:val="0"/>
          <w:numId w:val="3"/>
        </w:numPr>
        <w:spacing w:after="60" w:before="60"/>
      </w:pPr>
      <w:r>
        <w:rPr>
          <w:rFonts w:ascii="Arial" w:cs="Arial" w:eastAsia="Arial" w:hAnsi="Arial"/>
          <w:sz w:val="22"/>
          <w:szCs w:val="22"/>
        </w:rPr>
        <w:t xml:space="preserve">DNA storage (215 petabytes per gram) supports biological persistence and heritability of encoded information</w:t>
      </w:r>
    </w:p>
    <w:p>
      <w:pPr>
        <w:pStyle w:val="ListParagraph"/>
        <w:numPr>
          <w:ilvl w:val="0"/>
          <w:numId w:val="3"/>
        </w:numPr>
        <w:spacing w:after="60" w:before="60"/>
      </w:pPr>
      <w:r>
        <w:rPr>
          <w:rFonts w:ascii="Arial" w:cs="Arial" w:eastAsia="Arial" w:hAnsi="Arial"/>
          <w:sz w:val="22"/>
          <w:szCs w:val="22"/>
        </w:rPr>
        <w:t xml:space="preserve">Nanoparticle blood-brain barrier traversal provides a credible mechanism for universal compatibility</w:t>
      </w:r>
    </w:p>
    <w:p>
      <w:pPr>
        <w:pStyle w:val="ListParagraph"/>
        <w:numPr>
          <w:ilvl w:val="0"/>
          <w:numId w:val="3"/>
        </w:numPr>
        <w:spacing w:after="60" w:before="60"/>
      </w:pPr>
      <w:r>
        <w:rPr>
          <w:rFonts w:ascii="Arial" w:cs="Arial" w:eastAsia="Arial" w:hAnsi="Arial"/>
          <w:sz w:val="22"/>
          <w:szCs w:val="22"/>
        </w:rPr>
        <w:t xml:space="preserve">Horizontal gene transfer and synthetic transposons provide a viral-like propagation model</w:t>
      </w:r>
    </w:p>
    <w:p>
      <w:pPr>
        <w:pStyle w:val="ListParagraph"/>
        <w:numPr>
          <w:ilvl w:val="0"/>
          <w:numId w:val="3"/>
        </w:numPr>
        <w:spacing w:after="60" w:before="60"/>
      </w:pPr>
      <w:r>
        <w:rPr>
          <w:rFonts w:ascii="Arial" w:cs="Arial" w:eastAsia="Arial" w:hAnsi="Arial"/>
          <w:sz w:val="22"/>
          <w:szCs w:val="22"/>
        </w:rPr>
        <w:t xml:space="preserve">The self-strengthening characteristic (takes in only that which makes it stronger) has a real-world analog in immune system learning and epigenetic inheritance</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Post-Theft Version Advantage Undermines Theft Stakes</w:t>
      </w:r>
    </w:p>
    <w:p>
      <w:pPr>
        <w:spacing w:after="80" w:before="80"/>
      </w:pPr>
      <w:r>
        <w:rPr>
          <w:rFonts w:ascii="Arial" w:cs="Arial" w:eastAsia="Arial" w:hAnsi="Arial"/>
          <w:sz w:val="22"/>
          <w:szCs w:val="22"/>
        </w:rPr>
        <w:t xml:space="preserve">If Nathan holds the superior post-theft engineered version, the theft must be devastating for reasons other than raw capability loss. The current answer (relational loss of certainty, unauthorized propagation, loss of control over universal-compatible original) is correct but underdeveloped. The narrative must explicitly establish why the theft was catastrophic despite the superior version being retained.</w:t>
      </w:r>
    </w:p>
    <w:p>
      <w:pPr>
        <w:spacing w:after="100" w:before="200"/>
      </w:pPr>
      <w:r>
        <w:rPr>
          <w:rFonts w:ascii="Arial" w:cs="Arial" w:eastAsia="Arial" w:hAnsi="Arial"/>
          <w:b/>
          <w:bCs/>
          <w:color w:val="2E5090"/>
          <w:sz w:val="24"/>
          <w:szCs w:val="24"/>
        </w:rPr>
        <w:t xml:space="preserve">Five Tier 1 Narrative Blockers Remain Unanswered</w:t>
      </w:r>
    </w:p>
    <w:p>
      <w:pPr>
        <w:spacing w:after="80" w:before="80"/>
      </w:pPr>
      <w:r>
        <w:rPr>
          <w:rFonts w:ascii="Arial" w:cs="Arial" w:eastAsia="Arial" w:hAnsi="Arial"/>
          <w:sz w:val="22"/>
          <w:szCs w:val="22"/>
        </w:rPr>
        <w:t xml:space="preserve">The Infiltrator, temporal mechanics, protagonist POV, and what accelerated civilizations lose are all still open. The encoding mechanism is now explicitly closed (proprietary). The remaining four must be answered before narrative execution can begin. This is not a red team finding against the project — it is a production readiness assessment.</w:t>
      </w:r>
    </w:p>
    <w:p>
      <w:pPr>
        <w:spacing w:after="100" w:before="200"/>
      </w:pPr>
      <w:r>
        <w:rPr>
          <w:rFonts w:ascii="Arial" w:cs="Arial" w:eastAsia="Arial" w:hAnsi="Arial"/>
          <w:b/>
          <w:bCs/>
          <w:color w:val="2E5090"/>
          <w:sz w:val="24"/>
          <w:szCs w:val="24"/>
        </w:rPr>
        <w:t xml:space="preserve">Non-Simulatable Permutations Claim</w:t>
      </w:r>
    </w:p>
    <w:p>
      <w:pPr>
        <w:spacing w:after="80" w:before="80"/>
      </w:pPr>
      <w:r>
        <w:rPr>
          <w:rFonts w:ascii="Arial" w:cs="Arial" w:eastAsia="Arial" w:hAnsi="Arial"/>
          <w:sz w:val="22"/>
          <w:szCs w:val="22"/>
        </w:rPr>
        <w:t xml:space="preserve">The inclusion of non-simulatable permutations in the First Memory's scope will face the strongest pushback from technically oriented audiences. The in-universe response is that the First Memory is not purely computational — it is an ontological artifact. The team should prepare a defensible in-universe explanation for how a non-simulatable experience can be transmitted, even if that explanation cannot be fully disclosed for proprietary reasons.</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T1-003 — THE ACCORDS — INTER-SPECIES GOVERNANCE FRAMEWORK</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Governance | Treaty Design | International/Inter-Entity Relations | Policy Framework</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V1D ratified. V2.0 pending — switching paradox definition required before drafting.</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The Accords represent a treaty and governance framework designed to regulate inter-species relationships, OMNICELLULAR deployment parameters, informational access protocols, and the rights and obligations of signatories across civilizational-scale interactions. In its real-world dimension, the Accords framework is a model for thinking about governance of technologies and capabilities that exceed current regulatory imagination.</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establish a comprehensive, enforceable, and evolutionarily stable governance framework that regulates the deployment of transformative technologies across signatories of diverse civilizational profiles, with specific provisions for OMNICELLULAR physiology operations, informational access tiers, and post-scarcity economic exchange.</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governance gap the Accords address is real: as technologies approach civilizational-scale impact (quantum computing, AI, synthetic biology), existing international regulatory frameworks are structurally inadequate. The Accords model — which explicitly addresses switching paradox equivalents, initialization phase failure modes, and co-ownership of jointly developed technology — is more sophisticated than most existing international technology governance frameworks.</w:t>
      </w:r>
    </w:p>
    <w:p>
      <w:pPr>
        <w:pStyle w:val="Heading2"/>
        <w:spacing w:after="140" w:before="280"/>
      </w:pPr>
      <w:r>
        <w:rPr>
          <w:rFonts w:ascii="Arial" w:cs="Arial" w:eastAsia="Arial" w:hAnsi="Arial"/>
          <w:b/>
          <w:bCs/>
          <w:color w:val="2E5090"/>
          <w:sz w:val="26"/>
          <w:szCs w:val="26"/>
        </w:rPr>
        <w:t xml:space="preserve">4. Funding Proposal</w:t>
      </w:r>
    </w:p>
    <w:p>
      <w:pPr>
        <w:spacing w:after="100" w:before="200"/>
      </w:pPr>
      <w:r>
        <w:rPr>
          <w:rFonts w:ascii="Arial" w:cs="Arial" w:eastAsia="Arial" w:hAnsi="Arial"/>
          <w:b/>
          <w:bCs/>
          <w:color w:val="2E5090"/>
          <w:sz w:val="24"/>
          <w:szCs w:val="24"/>
        </w:rPr>
        <w:t xml:space="preserve">Research and Policy Track</w:t>
      </w:r>
    </w:p>
    <w:p>
      <w:pPr>
        <w:spacing w:after="80" w:before="80"/>
      </w:pPr>
      <w:r>
        <w:rPr>
          <w:rFonts w:ascii="Arial" w:cs="Arial" w:eastAsia="Arial" w:hAnsi="Arial"/>
          <w:sz w:val="22"/>
          <w:szCs w:val="22"/>
        </w:rPr>
        <w:t xml:space="preserve">Think tank and academic funding for governance framework research. The Accords can be developed as a policy research paper and governance model for emerging technology regulation.</w:t>
      </w:r>
    </w:p>
    <w:p>
      <w:pPr>
        <w:pStyle w:val="ListParagraph"/>
        <w:numPr>
          <w:ilvl w:val="0"/>
          <w:numId w:val="3"/>
        </w:numPr>
        <w:spacing w:after="60" w:before="60"/>
      </w:pPr>
      <w:r>
        <w:rPr>
          <w:rFonts w:ascii="Arial" w:cs="Arial" w:eastAsia="Arial" w:hAnsi="Arial"/>
          <w:sz w:val="22"/>
          <w:szCs w:val="22"/>
        </w:rPr>
        <w:t xml:space="preserve">Carnegie Endowment for International Peace: $200K–$500K for policy paper development</w:t>
      </w:r>
    </w:p>
    <w:p>
      <w:pPr>
        <w:pStyle w:val="ListParagraph"/>
        <w:numPr>
          <w:ilvl w:val="0"/>
          <w:numId w:val="3"/>
        </w:numPr>
        <w:spacing w:after="60" w:before="60"/>
      </w:pPr>
      <w:r>
        <w:rPr>
          <w:rFonts w:ascii="Arial" w:cs="Arial" w:eastAsia="Arial" w:hAnsi="Arial"/>
          <w:sz w:val="22"/>
          <w:szCs w:val="22"/>
        </w:rPr>
        <w:t xml:space="preserve">Ford Foundation technology and society grants: $300K–$800K</w:t>
      </w:r>
    </w:p>
    <w:p>
      <w:pPr>
        <w:pStyle w:val="ListParagraph"/>
        <w:numPr>
          <w:ilvl w:val="0"/>
          <w:numId w:val="3"/>
        </w:numPr>
        <w:spacing w:after="60" w:before="60"/>
      </w:pPr>
      <w:r>
        <w:rPr>
          <w:rFonts w:ascii="Arial" w:cs="Arial" w:eastAsia="Arial" w:hAnsi="Arial"/>
          <w:sz w:val="22"/>
          <w:szCs w:val="22"/>
        </w:rPr>
        <w:t xml:space="preserve">Hewlett Foundation cybersecurity and technology policy: $250K–$600K</w:t>
      </w:r>
    </w:p>
    <w:p>
      <w:pPr>
        <w:spacing w:after="100" w:before="200"/>
      </w:pPr>
      <w:r>
        <w:rPr>
          <w:rFonts w:ascii="Arial" w:cs="Arial" w:eastAsia="Arial" w:hAnsi="Arial"/>
          <w:b/>
          <w:bCs/>
          <w:color w:val="2E5090"/>
          <w:sz w:val="24"/>
          <w:szCs w:val="24"/>
        </w:rPr>
        <w:t xml:space="preserve">Narrative and IP Track</w:t>
      </w:r>
    </w:p>
    <w:p>
      <w:pPr>
        <w:spacing w:after="80" w:before="80"/>
      </w:pPr>
      <w:r>
        <w:rPr>
          <w:rFonts w:ascii="Arial" w:cs="Arial" w:eastAsia="Arial" w:hAnsi="Arial"/>
          <w:sz w:val="22"/>
          <w:szCs w:val="22"/>
        </w:rPr>
        <w:t xml:space="preserve">The Accords treaty text is a creative property with publication and adaptation potential as world-building documentation for the First Memory narrative.</w:t>
      </w:r>
    </w:p>
    <w:p>
      <w:pPr>
        <w:pStyle w:val="ListParagraph"/>
        <w:numPr>
          <w:ilvl w:val="0"/>
          <w:numId w:val="3"/>
        </w:numPr>
        <w:spacing w:after="60" w:before="60"/>
      </w:pPr>
      <w:r>
        <w:rPr>
          <w:rFonts w:ascii="Arial" w:cs="Arial" w:eastAsia="Arial" w:hAnsi="Arial"/>
          <w:sz w:val="22"/>
          <w:szCs w:val="22"/>
        </w:rPr>
        <w:t xml:space="preserve">Integrated with First Memory narrative IP development</w:t>
      </w:r>
    </w:p>
    <w:p>
      <w:pPr>
        <w:pStyle w:val="ListParagraph"/>
        <w:numPr>
          <w:ilvl w:val="0"/>
          <w:numId w:val="3"/>
        </w:numPr>
        <w:spacing w:after="60" w:before="60"/>
      </w:pPr>
      <w:r>
        <w:rPr>
          <w:rFonts w:ascii="Arial" w:cs="Arial" w:eastAsia="Arial" w:hAnsi="Arial"/>
          <w:sz w:val="22"/>
          <w:szCs w:val="22"/>
        </w:rPr>
        <w:t xml:space="preserve">Academic publication track: law review article on speculative governance frameworks</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Policy and Governance</w:t>
      </w:r>
    </w:p>
    <w:p>
      <w:pPr>
        <w:pStyle w:val="ListParagraph"/>
        <w:numPr>
          <w:ilvl w:val="0"/>
          <w:numId w:val="3"/>
        </w:numPr>
        <w:spacing w:after="60" w:before="60"/>
      </w:pPr>
      <w:r>
        <w:rPr>
          <w:rFonts w:ascii="Arial" w:cs="Arial" w:eastAsia="Arial" w:hAnsi="Arial"/>
          <w:sz w:val="22"/>
          <w:szCs w:val="22"/>
        </w:rPr>
        <w:t xml:space="preserve">Model framework for AI governance across national jurisdictions</w:t>
      </w:r>
    </w:p>
    <w:p>
      <w:pPr>
        <w:pStyle w:val="ListParagraph"/>
        <w:numPr>
          <w:ilvl w:val="0"/>
          <w:numId w:val="3"/>
        </w:numPr>
        <w:spacing w:after="60" w:before="60"/>
      </w:pPr>
      <w:r>
        <w:rPr>
          <w:rFonts w:ascii="Arial" w:cs="Arial" w:eastAsia="Arial" w:hAnsi="Arial"/>
          <w:sz w:val="22"/>
          <w:szCs w:val="22"/>
        </w:rPr>
        <w:t xml:space="preserve">Template for synthetic biology international treaty design</w:t>
      </w:r>
    </w:p>
    <w:p>
      <w:pPr>
        <w:pStyle w:val="ListParagraph"/>
        <w:numPr>
          <w:ilvl w:val="0"/>
          <w:numId w:val="3"/>
        </w:numPr>
        <w:spacing w:after="60" w:before="60"/>
      </w:pPr>
      <w:r>
        <w:rPr>
          <w:rFonts w:ascii="Arial" w:cs="Arial" w:eastAsia="Arial" w:hAnsi="Arial"/>
          <w:sz w:val="22"/>
          <w:szCs w:val="22"/>
        </w:rPr>
        <w:t xml:space="preserve">Quantum computing governance — specifically addressing the HNDL (Harvest Now, Decrypt Later) threat at treaty level</w:t>
      </w:r>
    </w:p>
    <w:p>
      <w:pPr>
        <w:pStyle w:val="ListParagraph"/>
        <w:numPr>
          <w:ilvl w:val="0"/>
          <w:numId w:val="3"/>
        </w:numPr>
        <w:spacing w:after="60" w:before="60"/>
      </w:pPr>
      <w:r>
        <w:rPr>
          <w:rFonts w:ascii="Arial" w:cs="Arial" w:eastAsia="Arial" w:hAnsi="Arial"/>
          <w:sz w:val="22"/>
          <w:szCs w:val="22"/>
        </w:rPr>
        <w:t xml:space="preserve">Species-Level Informational Access as a model for graduated information classification frameworks</w:t>
      </w:r>
    </w:p>
    <w:p>
      <w:pPr>
        <w:spacing w:after="100" w:before="200"/>
      </w:pPr>
      <w:r>
        <w:rPr>
          <w:rFonts w:ascii="Arial" w:cs="Arial" w:eastAsia="Arial" w:hAnsi="Arial"/>
          <w:b/>
          <w:bCs/>
          <w:color w:val="2E5090"/>
          <w:sz w:val="24"/>
          <w:szCs w:val="24"/>
        </w:rPr>
        <w:t xml:space="preserve">Defense and Military</w:t>
      </w:r>
    </w:p>
    <w:p>
      <w:pPr>
        <w:pStyle w:val="ListParagraph"/>
        <w:numPr>
          <w:ilvl w:val="0"/>
          <w:numId w:val="3"/>
        </w:numPr>
        <w:spacing w:after="60" w:before="60"/>
      </w:pPr>
      <w:r>
        <w:rPr>
          <w:rFonts w:ascii="Arial" w:cs="Arial" w:eastAsia="Arial" w:hAnsi="Arial"/>
          <w:sz w:val="22"/>
          <w:szCs w:val="22"/>
        </w:rPr>
        <w:t xml:space="preserve">Multi-party technology deployment doctrine</w:t>
      </w:r>
    </w:p>
    <w:p>
      <w:pPr>
        <w:pStyle w:val="ListParagraph"/>
        <w:numPr>
          <w:ilvl w:val="0"/>
          <w:numId w:val="3"/>
        </w:numPr>
        <w:spacing w:after="60" w:before="60"/>
      </w:pPr>
      <w:r>
        <w:rPr>
          <w:rFonts w:ascii="Arial" w:cs="Arial" w:eastAsia="Arial" w:hAnsi="Arial"/>
          <w:sz w:val="22"/>
          <w:szCs w:val="22"/>
        </w:rPr>
        <w:t xml:space="preserve">Jurisdiction and authority frameworks for operations involving non-state or trans-national entities</w:t>
      </w:r>
    </w:p>
    <w:p>
      <w:pPr>
        <w:pStyle w:val="ListParagraph"/>
        <w:numPr>
          <w:ilvl w:val="0"/>
          <w:numId w:val="3"/>
        </w:numPr>
        <w:spacing w:after="60" w:before="60"/>
      </w:pPr>
      <w:r>
        <w:rPr>
          <w:rFonts w:ascii="Arial" w:cs="Arial" w:eastAsia="Arial" w:hAnsi="Arial"/>
          <w:sz w:val="22"/>
          <w:szCs w:val="22"/>
        </w:rPr>
        <w:t xml:space="preserve">Enforcement mechanism design for treaties involving non-state actors</w:t>
      </w:r>
    </w:p>
    <w:p>
      <w:pPr>
        <w:spacing w:after="100" w:before="200"/>
      </w:pPr>
      <w:r>
        <w:rPr>
          <w:rFonts w:ascii="Arial" w:cs="Arial" w:eastAsia="Arial" w:hAnsi="Arial"/>
          <w:b/>
          <w:bCs/>
          <w:color w:val="2E5090"/>
          <w:sz w:val="24"/>
          <w:szCs w:val="24"/>
        </w:rPr>
        <w:t xml:space="preserve">Commercial</w:t>
      </w:r>
    </w:p>
    <w:p>
      <w:pPr>
        <w:pStyle w:val="ListParagraph"/>
        <w:numPr>
          <w:ilvl w:val="0"/>
          <w:numId w:val="3"/>
        </w:numPr>
        <w:spacing w:after="60" w:before="60"/>
      </w:pPr>
      <w:r>
        <w:rPr>
          <w:rFonts w:ascii="Arial" w:cs="Arial" w:eastAsia="Arial" w:hAnsi="Arial"/>
          <w:sz w:val="22"/>
          <w:szCs w:val="22"/>
        </w:rPr>
        <w:t xml:space="preserve">Corporate governance model for post-merger technology integration</w:t>
      </w:r>
    </w:p>
    <w:p>
      <w:pPr>
        <w:pStyle w:val="ListParagraph"/>
        <w:numPr>
          <w:ilvl w:val="0"/>
          <w:numId w:val="3"/>
        </w:numPr>
        <w:spacing w:after="60" w:before="60"/>
      </w:pPr>
      <w:r>
        <w:rPr>
          <w:rFonts w:ascii="Arial" w:cs="Arial" w:eastAsia="Arial" w:hAnsi="Arial"/>
          <w:sz w:val="22"/>
          <w:szCs w:val="22"/>
        </w:rPr>
        <w:t xml:space="preserve">Multi-stakeholder technology access agreements</w:t>
      </w:r>
    </w:p>
    <w:p>
      <w:pPr>
        <w:pStyle w:val="ListParagraph"/>
        <w:numPr>
          <w:ilvl w:val="0"/>
          <w:numId w:val="3"/>
        </w:numPr>
        <w:spacing w:after="60" w:before="60"/>
      </w:pPr>
      <w:r>
        <w:rPr>
          <w:rFonts w:ascii="Arial" w:cs="Arial" w:eastAsia="Arial" w:hAnsi="Arial"/>
          <w:sz w:val="22"/>
          <w:szCs w:val="22"/>
        </w:rPr>
        <w:t xml:space="preserve">IP co-ownership frameworks for joint development programs</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The Accords raise fundamental questions about who has the authority to set governance frameworks that affect civilization-scale systems. The co-ownership clause gap — if a species co-develops Phase 2 of OMNICELLULAR under the Accords, ownership of results is undefined — is a real and unsolved problem in every international technology joint-development agreement currently in existence.</w:t>
      </w:r>
    </w:p>
    <w:p>
      <w:pPr>
        <w:pStyle w:val="ListParagraph"/>
        <w:numPr>
          <w:ilvl w:val="0"/>
          <w:numId w:val="3"/>
        </w:numPr>
        <w:spacing w:after="60" w:before="60"/>
      </w:pPr>
      <w:r>
        <w:rPr>
          <w:rFonts w:ascii="Arial" w:cs="Arial" w:eastAsia="Arial" w:hAnsi="Arial"/>
          <w:sz w:val="22"/>
          <w:szCs w:val="22"/>
        </w:rPr>
        <w:t xml:space="preserve">The switching paradox definition must be resolved before treaty text is drafted — building governance on an undefined foundation produces unstable treaties</w:t>
      </w:r>
    </w:p>
    <w:p>
      <w:pPr>
        <w:pStyle w:val="ListParagraph"/>
        <w:numPr>
          <w:ilvl w:val="0"/>
          <w:numId w:val="3"/>
        </w:numPr>
        <w:spacing w:after="60" w:before="60"/>
      </w:pPr>
      <w:r>
        <w:rPr>
          <w:rFonts w:ascii="Arial" w:cs="Arial" w:eastAsia="Arial" w:hAnsi="Arial"/>
          <w:sz w:val="22"/>
          <w:szCs w:val="22"/>
        </w:rPr>
        <w:t xml:space="preserve">Star system restoration as treaty provision (Greys) establishes a precedent: treaty signatories can receive resources of existential importance as inducement to compliance. This creates asymmetric leverage that must be explicitly governed</w:t>
      </w:r>
    </w:p>
    <w:p>
      <w:pPr>
        <w:pStyle w:val="ListParagraph"/>
        <w:numPr>
          <w:ilvl w:val="0"/>
          <w:numId w:val="3"/>
        </w:numPr>
        <w:spacing w:after="60" w:before="60"/>
      </w:pPr>
      <w:r>
        <w:rPr>
          <w:rFonts w:ascii="Arial" w:cs="Arial" w:eastAsia="Arial" w:hAnsi="Arial"/>
          <w:sz w:val="22"/>
          <w:szCs w:val="22"/>
        </w:rPr>
        <w:t xml:space="preserve">The Semantic Bridge Protocol must precede any presentation phase — governance frameworks that parties cannot understand due to communication incompatibility are not functional governance</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The Adversarial Review and Audit Protocol (AARP) has been proposed and produced substantively better outputs than non-adversarial review in every round it has been applied</w:t>
      </w:r>
    </w:p>
    <w:p>
      <w:pPr>
        <w:pStyle w:val="ListParagraph"/>
        <w:numPr>
          <w:ilvl w:val="0"/>
          <w:numId w:val="3"/>
        </w:numPr>
        <w:spacing w:after="60" w:before="60"/>
      </w:pPr>
      <w:r>
        <w:rPr>
          <w:rFonts w:ascii="Arial" w:cs="Arial" w:eastAsia="Arial" w:hAnsi="Arial"/>
          <w:sz w:val="22"/>
          <w:szCs w:val="22"/>
        </w:rPr>
        <w:t xml:space="preserve">The switching paradox is a real governance design problem with analogs in nuclear treaty verification — inspection regimes must be able to distinguish permitted activities from prohibited ones</w:t>
      </w:r>
    </w:p>
    <w:p>
      <w:pPr>
        <w:pStyle w:val="ListParagraph"/>
        <w:numPr>
          <w:ilvl w:val="0"/>
          <w:numId w:val="3"/>
        </w:numPr>
        <w:spacing w:after="60" w:before="60"/>
      </w:pPr>
      <w:r>
        <w:rPr>
          <w:rFonts w:ascii="Arial" w:cs="Arial" w:eastAsia="Arial" w:hAnsi="Arial"/>
          <w:sz w:val="22"/>
          <w:szCs w:val="22"/>
        </w:rPr>
        <w:t xml:space="preserve">The tiered activation / bandwidth throttling model (Gemini proposal, April 2026) provides the most internally consistent resolution to the switching paradox identified to date</w:t>
      </w:r>
    </w:p>
    <w:p>
      <w:pPr>
        <w:pStyle w:val="ListParagraph"/>
        <w:numPr>
          <w:ilvl w:val="0"/>
          <w:numId w:val="3"/>
        </w:numPr>
        <w:spacing w:after="60" w:before="60"/>
      </w:pPr>
      <w:r>
        <w:rPr>
          <w:rFonts w:ascii="Arial" w:cs="Arial" w:eastAsia="Arial" w:hAnsi="Arial"/>
          <w:sz w:val="22"/>
          <w:szCs w:val="22"/>
        </w:rPr>
        <w:t xml:space="preserve">The Greys' star system restoration provision demonstrates that the Accords can accommodate existential-scale provisions within a treaty framework — this has no direct real-world precedent and is a genuine contribution to speculative governance literature</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No Draft Definition of Switching Paradox After Months</w:t>
      </w:r>
    </w:p>
    <w:p>
      <w:pPr>
        <w:spacing w:after="80" w:before="80"/>
      </w:pPr>
      <w:r>
        <w:rPr>
          <w:rFonts w:ascii="Arial" w:cs="Arial" w:eastAsia="Arial" w:hAnsi="Arial"/>
          <w:sz w:val="22"/>
          <w:szCs w:val="22"/>
        </w:rPr>
        <w:t xml:space="preserve">This is the single most damaging finding in the Accords development history. A framework that cannot define its most critical term is not ready for drafting. The ChatGPT-draft/Claude-audit workflow must produce this definition as its first deliverable, with no further treaty text produced until it exists.</w:t>
      </w:r>
    </w:p>
    <w:p>
      <w:pPr>
        <w:spacing w:after="100" w:before="200"/>
      </w:pPr>
      <w:r>
        <w:rPr>
          <w:rFonts w:ascii="Arial" w:cs="Arial" w:eastAsia="Arial" w:hAnsi="Arial"/>
          <w:b/>
          <w:bCs/>
          <w:color w:val="2E5090"/>
          <w:sz w:val="24"/>
          <w:szCs w:val="24"/>
        </w:rPr>
        <w:t xml:space="preserve">Gemini Reliability Floor</w:t>
      </w:r>
    </w:p>
    <w:p>
      <w:pPr>
        <w:spacing w:after="80" w:before="80"/>
      </w:pPr>
      <w:r>
        <w:rPr>
          <w:rFonts w:ascii="Arial" w:cs="Arial" w:eastAsia="Arial" w:hAnsi="Arial"/>
          <w:sz w:val="22"/>
          <w:szCs w:val="22"/>
        </w:rPr>
        <w:t xml:space="preserve">Any Gemini treaty text must be labeled DRAFT—PENDING REVIEW and audited by Claude before logging. This workflow patch must be consistently enforced. Documents that bypass this step create canon contamination risk.</w:t>
      </w:r>
    </w:p>
    <w:p>
      <w:pPr>
        <w:spacing w:after="100" w:before="200"/>
      </w:pPr>
      <w:r>
        <w:rPr>
          <w:rFonts w:ascii="Arial" w:cs="Arial" w:eastAsia="Arial" w:hAnsi="Arial"/>
          <w:b/>
          <w:bCs/>
          <w:color w:val="2E5090"/>
          <w:sz w:val="24"/>
          <w:szCs w:val="24"/>
        </w:rPr>
        <w:t xml:space="preserve">Post-Scarcity Framework Creates Enforcement Gap</w:t>
      </w:r>
    </w:p>
    <w:p>
      <w:pPr>
        <w:spacing w:after="80" w:before="80"/>
      </w:pPr>
      <w:r>
        <w:rPr>
          <w:rFonts w:ascii="Arial" w:cs="Arial" w:eastAsia="Arial" w:hAnsi="Arial"/>
          <w:sz w:val="22"/>
          <w:szCs w:val="22"/>
        </w:rPr>
        <w:t xml:space="preserve">In a post-scarcity environment, traditional treaty enforcement relies on resource denial (sanctions, embargo). If all parties have access to post-scarcity resources, conventional enforcement mechanisms have reduced leverage. The Accords must develop enforcement architecture appropriate to post-scarcity conditions — this has not been addressed.</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T1-004 — QUANTUM INFRASTRUCTURE FAILURE TESTING FRAMEWORK (QIFTF)</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E8" w:val="clear"/>
            <w:tcMar>
              <w:top w:type="dxa" w:w="60"/>
              <w:left w:type="dxa" w:w="120"/>
              <w:bottom w:type="dxa" w:w="60"/>
              <w:right w:type="dxa" w:w="120"/>
            </w:tcMar>
          </w:tcPr>
          <w:p>
            <w:pPr>
              <w:jc w:val="center"/>
            </w:pPr>
            <w:r>
              <w:rPr>
                <w:rFonts w:ascii="Arial" w:cs="Arial" w:eastAsia="Arial" w:hAnsi="Arial"/>
                <w:b/>
                <w:bCs/>
                <w:sz w:val="18"/>
                <w:szCs w:val="18"/>
              </w:rPr>
              <w:t xml:space="preserve">REAL-WORLD TECHNOLOGY</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Quantum Computing | Infrastructure Resilience | Systems Architecture | Policy Framework</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New addition — documented April 13, 2026. Pending master changelog integration.</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QIFTF addresses a critical and currently unaddressed gap in quantum computing governance: no existing framework tests quantum systems for how they fail rather than how they perform. The framework introduces five testing pillars covering the full dependency stack from physics substrate through societal cascade, culminating in the Civilization Floor Test.</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establish the first comprehensive failure testing framework for quantum infrastructure that addresses physics-layer failures, decoherence-specific testing, entanglement network failure, and societal cascade simulation — filling a gap that no existing framework (Chaos Engineering, Digital Twins, NIST/PQC) currently addresses.</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Harvest Now, Decrypt Later (HNDL) threat is active today: nation-state actors are collecting encrypted data for future quantum decryption. 91.4% of top websites still lack post-quantum cryptographic support. Current error rates of 0.1–1% per quantum operation must be reduced by a factor of one million before these systems are truly reliable. The gap between quantum deployment pace and quantum governance/testing pace is widening. QIFTF addresses the testing dimension of this gap.</w:t>
      </w:r>
    </w:p>
    <w:p>
      <w:pPr>
        <w:pStyle w:val="Heading2"/>
        <w:spacing w:after="140" w:before="280"/>
      </w:pPr>
      <w:r>
        <w:rPr>
          <w:rFonts w:ascii="Arial" w:cs="Arial" w:eastAsia="Arial" w:hAnsi="Arial"/>
          <w:b/>
          <w:bCs/>
          <w:color w:val="2E5090"/>
          <w:sz w:val="26"/>
          <w:szCs w:val="26"/>
        </w:rPr>
        <w:t xml:space="preserve">4. Funding Proposal</w:t>
      </w:r>
    </w:p>
    <w:p>
      <w:pPr>
        <w:spacing w:after="100" w:before="200"/>
      </w:pPr>
      <w:r>
        <w:rPr>
          <w:rFonts w:ascii="Arial" w:cs="Arial" w:eastAsia="Arial" w:hAnsi="Arial"/>
          <w:b/>
          <w:bCs/>
          <w:color w:val="2E5090"/>
          <w:sz w:val="24"/>
          <w:szCs w:val="24"/>
        </w:rPr>
        <w:t xml:space="preserve">Phase 1 — Framework Development and Validation</w:t>
      </w:r>
    </w:p>
    <w:p>
      <w:pPr>
        <w:spacing w:after="80" w:before="80"/>
      </w:pPr>
      <w:r>
        <w:rPr>
          <w:rFonts w:ascii="Arial" w:cs="Arial" w:eastAsia="Arial" w:hAnsi="Arial"/>
          <w:sz w:val="22"/>
          <w:szCs w:val="22"/>
        </w:rPr>
        <w:t xml:space="preserve">DARPA, DHS/CISA, and NSF funding for framework design, theoretical validation, and pilot testing protocols.</w:t>
      </w:r>
    </w:p>
    <w:p>
      <w:pPr>
        <w:pStyle w:val="ListParagraph"/>
        <w:numPr>
          <w:ilvl w:val="0"/>
          <w:numId w:val="3"/>
        </w:numPr>
        <w:spacing w:after="60" w:before="60"/>
      </w:pPr>
      <w:r>
        <w:rPr>
          <w:rFonts w:ascii="Arial" w:cs="Arial" w:eastAsia="Arial" w:hAnsi="Arial"/>
          <w:sz w:val="22"/>
          <w:szCs w:val="22"/>
        </w:rPr>
        <w:t xml:space="preserve">DARPA Quantum Benchmarking Initiative: $2M–$8M</w:t>
      </w:r>
    </w:p>
    <w:p>
      <w:pPr>
        <w:pStyle w:val="ListParagraph"/>
        <w:numPr>
          <w:ilvl w:val="0"/>
          <w:numId w:val="3"/>
        </w:numPr>
        <w:spacing w:after="60" w:before="60"/>
      </w:pPr>
      <w:r>
        <w:rPr>
          <w:rFonts w:ascii="Arial" w:cs="Arial" w:eastAsia="Arial" w:hAnsi="Arial"/>
          <w:sz w:val="22"/>
          <w:szCs w:val="22"/>
        </w:rPr>
        <w:t xml:space="preserve">DHS/CISA Quantum Resilience Program: $1M–$4M</w:t>
      </w:r>
    </w:p>
    <w:p>
      <w:pPr>
        <w:pStyle w:val="ListParagraph"/>
        <w:numPr>
          <w:ilvl w:val="0"/>
          <w:numId w:val="3"/>
        </w:numPr>
        <w:spacing w:after="60" w:before="60"/>
      </w:pPr>
      <w:r>
        <w:rPr>
          <w:rFonts w:ascii="Arial" w:cs="Arial" w:eastAsia="Arial" w:hAnsi="Arial"/>
          <w:sz w:val="22"/>
          <w:szCs w:val="22"/>
        </w:rPr>
        <w:t xml:space="preserve">NSF Quantum Leap Challenge Institutes: $3M–$10M</w:t>
      </w:r>
    </w:p>
    <w:p>
      <w:pPr>
        <w:pStyle w:val="ListParagraph"/>
        <w:numPr>
          <w:ilvl w:val="0"/>
          <w:numId w:val="3"/>
        </w:numPr>
        <w:spacing w:after="60" w:before="60"/>
      </w:pPr>
      <w:r>
        <w:rPr>
          <w:rFonts w:ascii="Arial" w:cs="Arial" w:eastAsia="Arial" w:hAnsi="Arial"/>
          <w:sz w:val="22"/>
          <w:szCs w:val="22"/>
        </w:rPr>
        <w:t xml:space="preserve">DoE National Quantum Information Science Research Centers: $5M–$15M</w:t>
      </w:r>
    </w:p>
    <w:p>
      <w:pPr>
        <w:spacing w:after="100" w:before="200"/>
      </w:pPr>
      <w:r>
        <w:rPr>
          <w:rFonts w:ascii="Arial" w:cs="Arial" w:eastAsia="Arial" w:hAnsi="Arial"/>
          <w:b/>
          <w:bCs/>
          <w:color w:val="2E5090"/>
          <w:sz w:val="24"/>
          <w:szCs w:val="24"/>
        </w:rPr>
        <w:t xml:space="preserve">Phase 2 — Certification Program Development</w:t>
      </w:r>
    </w:p>
    <w:p>
      <w:pPr>
        <w:spacing w:after="80" w:before="80"/>
      </w:pPr>
      <w:r>
        <w:rPr>
          <w:rFonts w:ascii="Arial" w:cs="Arial" w:eastAsia="Arial" w:hAnsi="Arial"/>
          <w:sz w:val="22"/>
          <w:szCs w:val="22"/>
        </w:rPr>
        <w:t xml:space="preserve">ISO 27001-style certification revenue model for quantum system operators. Insurance industry partnerships for quantum infrastructure risk assessment.</w:t>
      </w:r>
    </w:p>
    <w:p>
      <w:pPr>
        <w:pStyle w:val="ListParagraph"/>
        <w:numPr>
          <w:ilvl w:val="0"/>
          <w:numId w:val="3"/>
        </w:numPr>
        <w:spacing w:after="60" w:before="60"/>
      </w:pPr>
      <w:r>
        <w:rPr>
          <w:rFonts w:ascii="Arial" w:cs="Arial" w:eastAsia="Arial" w:hAnsi="Arial"/>
          <w:sz w:val="22"/>
          <w:szCs w:val="22"/>
        </w:rPr>
        <w:t xml:space="preserve">Insurance/reinsurance industry risk assessment contracts: $500K–$2M per contract</w:t>
      </w:r>
    </w:p>
    <w:p>
      <w:pPr>
        <w:pStyle w:val="ListParagraph"/>
        <w:numPr>
          <w:ilvl w:val="0"/>
          <w:numId w:val="3"/>
        </w:numPr>
        <w:spacing w:after="60" w:before="60"/>
      </w:pPr>
      <w:r>
        <w:rPr>
          <w:rFonts w:ascii="Arial" w:cs="Arial" w:eastAsia="Arial" w:hAnsi="Arial"/>
          <w:sz w:val="22"/>
          <w:szCs w:val="22"/>
        </w:rPr>
        <w:t xml:space="preserve">Financial services sector compliance certification: $200K–$800K per engagement</w:t>
      </w:r>
    </w:p>
    <w:p>
      <w:pPr>
        <w:pStyle w:val="ListParagraph"/>
        <w:numPr>
          <w:ilvl w:val="0"/>
          <w:numId w:val="3"/>
        </w:numPr>
        <w:spacing w:after="60" w:before="60"/>
      </w:pPr>
      <w:r>
        <w:rPr>
          <w:rFonts w:ascii="Arial" w:cs="Arial" w:eastAsia="Arial" w:hAnsi="Arial"/>
          <w:sz w:val="22"/>
          <w:szCs w:val="22"/>
        </w:rPr>
        <w:t xml:space="preserve">NATO quantum infrastructure assessment program: $3M–$8M</w:t>
      </w:r>
    </w:p>
    <w:p>
      <w:pPr>
        <w:spacing w:after="100" w:before="200"/>
      </w:pPr>
      <w:r>
        <w:rPr>
          <w:rFonts w:ascii="Arial" w:cs="Arial" w:eastAsia="Arial" w:hAnsi="Arial"/>
          <w:b/>
          <w:bCs/>
          <w:color w:val="2E5090"/>
          <w:sz w:val="24"/>
          <w:szCs w:val="24"/>
        </w:rPr>
        <w:t xml:space="preserve">Phase 3 — International Governance Integration</w:t>
      </w:r>
    </w:p>
    <w:p>
      <w:pPr>
        <w:spacing w:after="80" w:before="80"/>
      </w:pPr>
      <w:r>
        <w:rPr>
          <w:rFonts w:ascii="Arial" w:cs="Arial" w:eastAsia="Arial" w:hAnsi="Arial"/>
          <w:sz w:val="22"/>
          <w:szCs w:val="22"/>
        </w:rPr>
        <w:t xml:space="preserve">EU Horizon and international standards body funding for global framework adoption.</w:t>
      </w:r>
    </w:p>
    <w:p>
      <w:pPr>
        <w:pStyle w:val="ListParagraph"/>
        <w:numPr>
          <w:ilvl w:val="0"/>
          <w:numId w:val="3"/>
        </w:numPr>
        <w:spacing w:after="60" w:before="60"/>
      </w:pPr>
      <w:r>
        <w:rPr>
          <w:rFonts w:ascii="Arial" w:cs="Arial" w:eastAsia="Arial" w:hAnsi="Arial"/>
          <w:sz w:val="22"/>
          <w:szCs w:val="22"/>
        </w:rPr>
        <w:t xml:space="preserve">EU Horizon Europe Quantum Flagship: €5M–€15M</w:t>
      </w:r>
    </w:p>
    <w:p>
      <w:pPr>
        <w:pStyle w:val="ListParagraph"/>
        <w:numPr>
          <w:ilvl w:val="0"/>
          <w:numId w:val="3"/>
        </w:numPr>
        <w:spacing w:after="60" w:before="60"/>
      </w:pPr>
      <w:r>
        <w:rPr>
          <w:rFonts w:ascii="Arial" w:cs="Arial" w:eastAsia="Arial" w:hAnsi="Arial"/>
          <w:sz w:val="22"/>
          <w:szCs w:val="22"/>
        </w:rPr>
        <w:t xml:space="preserve">ITU/ISO standards development funding: $500K–$1.5M</w:t>
      </w:r>
    </w:p>
    <w:p>
      <w:pPr>
        <w:pStyle w:val="ListParagraph"/>
        <w:numPr>
          <w:ilvl w:val="0"/>
          <w:numId w:val="3"/>
        </w:numPr>
        <w:spacing w:after="60" w:before="60"/>
      </w:pPr>
      <w:r>
        <w:rPr>
          <w:rFonts w:ascii="Arial" w:cs="Arial" w:eastAsia="Arial" w:hAnsi="Arial"/>
          <w:sz w:val="22"/>
          <w:szCs w:val="22"/>
        </w:rPr>
        <w:t xml:space="preserve">World Economic Forum technology governance partnership: $1M–$3M</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Research</w:t>
      </w:r>
    </w:p>
    <w:p>
      <w:pPr>
        <w:pStyle w:val="ListParagraph"/>
        <w:numPr>
          <w:ilvl w:val="0"/>
          <w:numId w:val="3"/>
        </w:numPr>
        <w:spacing w:after="60" w:before="60"/>
      </w:pPr>
      <w:r>
        <w:rPr>
          <w:rFonts w:ascii="Arial" w:cs="Arial" w:eastAsia="Arial" w:hAnsi="Arial"/>
          <w:sz w:val="22"/>
          <w:szCs w:val="22"/>
        </w:rPr>
        <w:t xml:space="preserve">Physics-layer failure injection methodology for quantum systems</w:t>
      </w:r>
    </w:p>
    <w:p>
      <w:pPr>
        <w:pStyle w:val="ListParagraph"/>
        <w:numPr>
          <w:ilvl w:val="0"/>
          <w:numId w:val="3"/>
        </w:numPr>
        <w:spacing w:after="60" w:before="60"/>
      </w:pPr>
      <w:r>
        <w:rPr>
          <w:rFonts w:ascii="Arial" w:cs="Arial" w:eastAsia="Arial" w:hAnsi="Arial"/>
          <w:sz w:val="22"/>
          <w:szCs w:val="22"/>
        </w:rPr>
        <w:t xml:space="preserve">Decoherence-specific testing protocols applicable across quantum architectures</w:t>
      </w:r>
    </w:p>
    <w:p>
      <w:pPr>
        <w:pStyle w:val="ListParagraph"/>
        <w:numPr>
          <w:ilvl w:val="0"/>
          <w:numId w:val="3"/>
        </w:numPr>
        <w:spacing w:after="60" w:before="60"/>
      </w:pPr>
      <w:r>
        <w:rPr>
          <w:rFonts w:ascii="Arial" w:cs="Arial" w:eastAsia="Arial" w:hAnsi="Arial"/>
          <w:sz w:val="22"/>
          <w:szCs w:val="22"/>
        </w:rPr>
        <w:t xml:space="preserve">Civilization Floor Test as a benchmark for quantum-dependent critical infrastructure dependency assessment</w:t>
      </w:r>
    </w:p>
    <w:p>
      <w:pPr>
        <w:spacing w:after="100" w:before="200"/>
      </w:pPr>
      <w:r>
        <w:rPr>
          <w:rFonts w:ascii="Arial" w:cs="Arial" w:eastAsia="Arial" w:hAnsi="Arial"/>
          <w:b/>
          <w:bCs/>
          <w:color w:val="2E5090"/>
          <w:sz w:val="24"/>
          <w:szCs w:val="24"/>
        </w:rPr>
        <w:t xml:space="preserve">Government and Defense</w:t>
      </w:r>
    </w:p>
    <w:p>
      <w:pPr>
        <w:pStyle w:val="ListParagraph"/>
        <w:numPr>
          <w:ilvl w:val="0"/>
          <w:numId w:val="3"/>
        </w:numPr>
        <w:spacing w:after="60" w:before="60"/>
      </w:pPr>
      <w:r>
        <w:rPr>
          <w:rFonts w:ascii="Arial" w:cs="Arial" w:eastAsia="Arial" w:hAnsi="Arial"/>
          <w:sz w:val="22"/>
          <w:szCs w:val="22"/>
        </w:rPr>
        <w:t xml:space="preserve">National quantum strategy risk assessment</w:t>
      </w:r>
    </w:p>
    <w:p>
      <w:pPr>
        <w:pStyle w:val="ListParagraph"/>
        <w:numPr>
          <w:ilvl w:val="0"/>
          <w:numId w:val="3"/>
        </w:numPr>
        <w:spacing w:after="60" w:before="60"/>
      </w:pPr>
      <w:r>
        <w:rPr>
          <w:rFonts w:ascii="Arial" w:cs="Arial" w:eastAsia="Arial" w:hAnsi="Arial"/>
          <w:sz w:val="22"/>
          <w:szCs w:val="22"/>
        </w:rPr>
        <w:t xml:space="preserve">Critical infrastructure protection: identifying quantum dependencies in power grid, financial system, and communications infrastructure</w:t>
      </w:r>
    </w:p>
    <w:p>
      <w:pPr>
        <w:pStyle w:val="ListParagraph"/>
        <w:numPr>
          <w:ilvl w:val="0"/>
          <w:numId w:val="3"/>
        </w:numPr>
        <w:spacing w:after="60" w:before="60"/>
      </w:pPr>
      <w:r>
        <w:rPr>
          <w:rFonts w:ascii="Arial" w:cs="Arial" w:eastAsia="Arial" w:hAnsi="Arial"/>
          <w:sz w:val="22"/>
          <w:szCs w:val="22"/>
        </w:rPr>
        <w:t xml:space="preserve">Military quantum communications resilience testing</w:t>
      </w:r>
    </w:p>
    <w:p>
      <w:pPr>
        <w:pStyle w:val="ListParagraph"/>
        <w:numPr>
          <w:ilvl w:val="0"/>
          <w:numId w:val="3"/>
        </w:numPr>
        <w:spacing w:after="60" w:before="60"/>
      </w:pPr>
      <w:r>
        <w:rPr>
          <w:rFonts w:ascii="Arial" w:cs="Arial" w:eastAsia="Arial" w:hAnsi="Arial"/>
          <w:sz w:val="22"/>
          <w:szCs w:val="22"/>
        </w:rPr>
        <w:t xml:space="preserve">Intelligence community quantum cryptography vulnerability assessment</w:t>
      </w:r>
    </w:p>
    <w:p>
      <w:pPr>
        <w:spacing w:after="100" w:before="200"/>
      </w:pPr>
      <w:r>
        <w:rPr>
          <w:rFonts w:ascii="Arial" w:cs="Arial" w:eastAsia="Arial" w:hAnsi="Arial"/>
          <w:b/>
          <w:bCs/>
          <w:color w:val="2E5090"/>
          <w:sz w:val="24"/>
          <w:szCs w:val="24"/>
        </w:rPr>
        <w:t xml:space="preserve">Commercial</w:t>
      </w:r>
    </w:p>
    <w:p>
      <w:pPr>
        <w:pStyle w:val="ListParagraph"/>
        <w:numPr>
          <w:ilvl w:val="0"/>
          <w:numId w:val="3"/>
        </w:numPr>
        <w:spacing w:after="60" w:before="60"/>
      </w:pPr>
      <w:r>
        <w:rPr>
          <w:rFonts w:ascii="Arial" w:cs="Arial" w:eastAsia="Arial" w:hAnsi="Arial"/>
          <w:sz w:val="22"/>
          <w:szCs w:val="22"/>
        </w:rPr>
        <w:t xml:space="preserve">Quantum computing vendor certification and audit services</w:t>
      </w:r>
    </w:p>
    <w:p>
      <w:pPr>
        <w:pStyle w:val="ListParagraph"/>
        <w:numPr>
          <w:ilvl w:val="0"/>
          <w:numId w:val="3"/>
        </w:numPr>
        <w:spacing w:after="60" w:before="60"/>
      </w:pPr>
      <w:r>
        <w:rPr>
          <w:rFonts w:ascii="Arial" w:cs="Arial" w:eastAsia="Arial" w:hAnsi="Arial"/>
          <w:sz w:val="22"/>
          <w:szCs w:val="22"/>
        </w:rPr>
        <w:t xml:space="preserve">Insurance risk modeling for quantum infrastructure failure</w:t>
      </w:r>
    </w:p>
    <w:p>
      <w:pPr>
        <w:pStyle w:val="ListParagraph"/>
        <w:numPr>
          <w:ilvl w:val="0"/>
          <w:numId w:val="3"/>
        </w:numPr>
        <w:spacing w:after="60" w:before="60"/>
      </w:pPr>
      <w:r>
        <w:rPr>
          <w:rFonts w:ascii="Arial" w:cs="Arial" w:eastAsia="Arial" w:hAnsi="Arial"/>
          <w:sz w:val="22"/>
          <w:szCs w:val="22"/>
        </w:rPr>
        <w:t xml:space="preserve">Financial sector quantum dependency mapping and stress testing</w:t>
      </w:r>
    </w:p>
    <w:p>
      <w:pPr>
        <w:pStyle w:val="ListParagraph"/>
        <w:numPr>
          <w:ilvl w:val="0"/>
          <w:numId w:val="3"/>
        </w:numPr>
        <w:spacing w:after="60" w:before="60"/>
      </w:pPr>
      <w:r>
        <w:rPr>
          <w:rFonts w:ascii="Arial" w:cs="Arial" w:eastAsia="Arial" w:hAnsi="Arial"/>
          <w:sz w:val="22"/>
          <w:szCs w:val="22"/>
        </w:rPr>
        <w:t xml:space="preserve">Supply chain quantum cryptography exposure assessment</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The QIFTF framework raises dual-use concerns: detailed knowledge of how quantum systems fail can be exploited by adversarial actors. The framework must include access controls governing who can implement the testing protocols and what information is released in test results. The public right to know about infrastructure dependencies vs. the security risk of disclosing specific failure vectors requires careful balancing.</w:t>
      </w:r>
    </w:p>
    <w:p>
      <w:pPr>
        <w:pStyle w:val="ListParagraph"/>
        <w:numPr>
          <w:ilvl w:val="0"/>
          <w:numId w:val="3"/>
        </w:numPr>
        <w:spacing w:after="60" w:before="60"/>
      </w:pPr>
      <w:r>
        <w:rPr>
          <w:rFonts w:ascii="Arial" w:cs="Arial" w:eastAsia="Arial" w:hAnsi="Arial"/>
          <w:sz w:val="22"/>
          <w:szCs w:val="22"/>
        </w:rPr>
        <w:t xml:space="preserve">Goodhart's Law risk: certification programs create incentives to optimize for certification rather than resilience — framework must include anti-gaming provisions</w:t>
      </w:r>
    </w:p>
    <w:p>
      <w:pPr>
        <w:pStyle w:val="ListParagraph"/>
        <w:numPr>
          <w:ilvl w:val="0"/>
          <w:numId w:val="3"/>
        </w:numPr>
        <w:spacing w:after="60" w:before="60"/>
      </w:pPr>
      <w:r>
        <w:rPr>
          <w:rFonts w:ascii="Arial" w:cs="Arial" w:eastAsia="Arial" w:hAnsi="Arial"/>
          <w:sz w:val="22"/>
          <w:szCs w:val="22"/>
        </w:rPr>
        <w:t xml:space="preserve">Power asymmetry: nation-states with QIFTF capability gain intelligence advantage over those without — international governance required</w:t>
      </w:r>
    </w:p>
    <w:p>
      <w:pPr>
        <w:pStyle w:val="ListParagraph"/>
        <w:numPr>
          <w:ilvl w:val="0"/>
          <w:numId w:val="3"/>
        </w:numPr>
        <w:spacing w:after="60" w:before="60"/>
      </w:pPr>
      <w:r>
        <w:rPr>
          <w:rFonts w:ascii="Arial" w:cs="Arial" w:eastAsia="Arial" w:hAnsi="Arial"/>
          <w:sz w:val="22"/>
          <w:szCs w:val="22"/>
        </w:rPr>
        <w:t xml:space="preserve">The Civilization Floor Test directly contradicts economic incentives driving quantum adoption — expect strong industry resistance to requirements that systems demonstrate pre-quantum fallback capability</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Not a single existing framework addresses physics-layer failure, decoherence-specific testing, entanglement network failure, or the civilization floor test — the design space is unoccupied</w:t>
      </w:r>
    </w:p>
    <w:p>
      <w:pPr>
        <w:pStyle w:val="ListParagraph"/>
        <w:numPr>
          <w:ilvl w:val="0"/>
          <w:numId w:val="3"/>
        </w:numPr>
        <w:spacing w:after="60" w:before="60"/>
      </w:pPr>
      <w:r>
        <w:rPr>
          <w:rFonts w:ascii="Arial" w:cs="Arial" w:eastAsia="Arial" w:hAnsi="Arial"/>
          <w:sz w:val="22"/>
          <w:szCs w:val="22"/>
        </w:rPr>
        <w:t xml:space="preserve">The HNDL threat is documented and active — the urgency of post-quantum preparedness is not speculative</w:t>
      </w:r>
    </w:p>
    <w:p>
      <w:pPr>
        <w:pStyle w:val="ListParagraph"/>
        <w:numPr>
          <w:ilvl w:val="0"/>
          <w:numId w:val="3"/>
        </w:numPr>
        <w:spacing w:after="60" w:before="60"/>
      </w:pPr>
      <w:r>
        <w:rPr>
          <w:rFonts w:ascii="Arial" w:cs="Arial" w:eastAsia="Arial" w:hAnsi="Arial"/>
          <w:sz w:val="22"/>
          <w:szCs w:val="22"/>
        </w:rPr>
        <w:t xml:space="preserve">Direct integration with OAL's Conditional Failure at the Root Level (ONESTAMPED March 22, 2026) — QIFTF is the real-world methodological equivalent of that framework</w:t>
      </w:r>
    </w:p>
    <w:p>
      <w:pPr>
        <w:pStyle w:val="ListParagraph"/>
        <w:numPr>
          <w:ilvl w:val="0"/>
          <w:numId w:val="3"/>
        </w:numPr>
        <w:spacing w:after="60" w:before="60"/>
      </w:pPr>
      <w:r>
        <w:rPr>
          <w:rFonts w:ascii="Arial" w:cs="Arial" w:eastAsia="Arial" w:hAnsi="Arial"/>
          <w:sz w:val="22"/>
          <w:szCs w:val="22"/>
        </w:rPr>
        <w:t xml:space="preserve">The Department of Endings in-universe concept maps directly to QIFTF's institutional expression — a body that runs every endgame systematically to prevent failures from becoming crises</w:t>
      </w:r>
    </w:p>
    <w:p>
      <w:pPr>
        <w:pStyle w:val="ListParagraph"/>
        <w:numPr>
          <w:ilvl w:val="0"/>
          <w:numId w:val="3"/>
        </w:numPr>
        <w:spacing w:after="60" w:before="60"/>
      </w:pPr>
      <w:r>
        <w:rPr>
          <w:rFonts w:ascii="Arial" w:cs="Arial" w:eastAsia="Arial" w:hAnsi="Arial"/>
          <w:sz w:val="22"/>
          <w:szCs w:val="22"/>
        </w:rPr>
        <w:t xml:space="preserve">First Memory narrative parallel: the HNDL threat mirrors the stolen First Memory — data collected now for future exploitation</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You Cannot Faithfully Simulate What You Are Testing</w:t>
      </w:r>
    </w:p>
    <w:p>
      <w:pPr>
        <w:spacing w:after="80" w:before="80"/>
      </w:pPr>
      <w:r>
        <w:rPr>
          <w:rFonts w:ascii="Arial" w:cs="Arial" w:eastAsia="Arial" w:hAnsi="Arial"/>
          <w:sz w:val="22"/>
          <w:szCs w:val="22"/>
        </w:rPr>
        <w:t xml:space="preserve">The simulation fidelity paradox is real and acknowledged in the framework. The response is that partial simulation is more valuable than no simulation. The framework explicitly combines simulation-based testing with documented uncontrolled incident analysis and controlled trials — the same three-method approach validated in the OMNICELLULAR 4,712 framework.</w:t>
      </w:r>
    </w:p>
    <w:p>
      <w:pPr>
        <w:spacing w:after="100" w:before="200"/>
      </w:pPr>
      <w:r>
        <w:rPr>
          <w:rFonts w:ascii="Arial" w:cs="Arial" w:eastAsia="Arial" w:hAnsi="Arial"/>
          <w:b/>
          <w:bCs/>
          <w:color w:val="2E5090"/>
          <w:sz w:val="24"/>
          <w:szCs w:val="24"/>
        </w:rPr>
        <w:t xml:space="preserve">Premature Timing — Quantum Systems Are Not Yet Widely Deployed</w:t>
      </w:r>
    </w:p>
    <w:p>
      <w:pPr>
        <w:spacing w:after="80" w:before="80"/>
      </w:pPr>
      <w:r>
        <w:rPr>
          <w:rFonts w:ascii="Arial" w:cs="Arial" w:eastAsia="Arial" w:hAnsi="Arial"/>
          <w:sz w:val="22"/>
          <w:szCs w:val="22"/>
        </w:rPr>
        <w:t xml:space="preserve">The HNDL threat demonstrates that the governance timeline must precede deployment, not follow it. By the time quantum systems are widely deployed, the window for establishing governance frameworks will have closed. The FAA analogy is appropriate: aviation safety governance preceded mass commercial aviation deployment.</w:t>
      </w:r>
    </w:p>
    <w:p>
      <w:pPr>
        <w:spacing w:after="100" w:before="200"/>
      </w:pPr>
      <w:r>
        <w:rPr>
          <w:rFonts w:ascii="Arial" w:cs="Arial" w:eastAsia="Arial" w:hAnsi="Arial"/>
          <w:b/>
          <w:bCs/>
          <w:color w:val="2E5090"/>
          <w:sz w:val="24"/>
          <w:szCs w:val="24"/>
        </w:rPr>
        <w:t xml:space="preserve">The Civilization Floor Test Contradicts Economic Quantum Adoption Incentives</w:t>
      </w:r>
    </w:p>
    <w:p>
      <w:pPr>
        <w:spacing w:after="80" w:before="80"/>
      </w:pPr>
      <w:r>
        <w:rPr>
          <w:rFonts w:ascii="Arial" w:cs="Arial" w:eastAsia="Arial" w:hAnsi="Arial"/>
          <w:sz w:val="22"/>
          <w:szCs w:val="22"/>
        </w:rPr>
        <w:t xml:space="preserve">This is the most politically significant red team finding. The civilization floor test requires demonstrating that critical infrastructure can function without quantum systems — which creates regulatory requirements that quantum vendors and adopters have strong economic incentives to resist. The framework must be designed with this resistance anticipated, not assumed away.</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T1-005 — MULTI-MODAL VIBROACOUSTIC ENVIRONMENTAL SENSING (MVES)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E8" w:val="clear"/>
            <w:tcMar>
              <w:top w:type="dxa" w:w="60"/>
              <w:left w:type="dxa" w:w="120"/>
              <w:bottom w:type="dxa" w:w="60"/>
              <w:right w:type="dxa" w:w="120"/>
            </w:tcMar>
          </w:tcPr>
          <w:p>
            <w:pPr>
              <w:jc w:val="center"/>
            </w:pPr>
            <w:r>
              <w:rPr>
                <w:rFonts w:ascii="Arial" w:cs="Arial" w:eastAsia="Arial" w:hAnsi="Arial"/>
                <w:b/>
                <w:bCs/>
                <w:sz w:val="18"/>
                <w:szCs w:val="18"/>
              </w:rPr>
              <w:t xml:space="preserve">REAL-WORLD TECHNOLOGY</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Sensing Technology | Defense Systems | Environmental Intelligence | Biomimicry Engineering</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New addition — documented April 13, 2026. Pending master changelog integration.</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MVES is a multi-modal sensing architecture that constructs environmental awareness through acoustic signals, ground vibrations, and infrasound without reliance on visual or electromagnetic sensing. Inspired by biological models including elephant seismic communication, bat echolocation, and lateral line systems in fish, MVES enables real-time environmental modeling in conditions where conventional sensing fails.</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develop a passive, non-detectable, multi-modal environmental sensing architecture that provides operational environmental awareness in zero-visibility, GPS-denied, and electromagnetically contested environments — validated by biological precedent and grounded in current laboratory research.</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GPS denial, electromagnetic spectrum contestation, and zero-visibility conditions represent growing operational challenges across defense, disaster response, and autonomous systems domains. Acoustic SLAM already achieves sub-half-meter location accuracy. NASA's infrasound sensor can detect tunnel digging through mountains at 35 milliwatts. Army Research Lab work directly inspired by elephant seismic communication is active. MVES integrates these proven components into a unified multi-modal architecture.</w:t>
      </w:r>
    </w:p>
    <w:p>
      <w:pPr>
        <w:pStyle w:val="Heading2"/>
        <w:spacing w:after="140" w:before="280"/>
      </w:pPr>
      <w:r>
        <w:rPr>
          <w:rFonts w:ascii="Arial" w:cs="Arial" w:eastAsia="Arial" w:hAnsi="Arial"/>
          <w:b/>
          <w:bCs/>
          <w:color w:val="2E5090"/>
          <w:sz w:val="26"/>
          <w:szCs w:val="26"/>
        </w:rPr>
        <w:t xml:space="preserve">4. Funding Proposal</w:t>
      </w:r>
    </w:p>
    <w:p>
      <w:pPr>
        <w:spacing w:after="100" w:before="200"/>
      </w:pPr>
      <w:r>
        <w:rPr>
          <w:rFonts w:ascii="Arial" w:cs="Arial" w:eastAsia="Arial" w:hAnsi="Arial"/>
          <w:b/>
          <w:bCs/>
          <w:color w:val="2E5090"/>
          <w:sz w:val="24"/>
          <w:szCs w:val="24"/>
        </w:rPr>
        <w:t xml:space="preserve">Phase 1 — Component Integration (TRL 3-4)</w:t>
      </w:r>
    </w:p>
    <w:p>
      <w:pPr>
        <w:spacing w:after="80" w:before="80"/>
      </w:pPr>
      <w:r>
        <w:rPr>
          <w:rFonts w:ascii="Arial" w:cs="Arial" w:eastAsia="Arial" w:hAnsi="Arial"/>
          <w:sz w:val="22"/>
          <w:szCs w:val="22"/>
        </w:rPr>
        <w:t xml:space="preserve">DARPA and Army Research Lab funding for multi-modal sensor fusion and Acoustic SLAM integration.</w:t>
      </w:r>
    </w:p>
    <w:p>
      <w:pPr>
        <w:pStyle w:val="ListParagraph"/>
        <w:numPr>
          <w:ilvl w:val="0"/>
          <w:numId w:val="3"/>
        </w:numPr>
        <w:spacing w:after="60" w:before="60"/>
      </w:pPr>
      <w:r>
        <w:rPr>
          <w:rFonts w:ascii="Arial" w:cs="Arial" w:eastAsia="Arial" w:hAnsi="Arial"/>
          <w:sz w:val="22"/>
          <w:szCs w:val="22"/>
        </w:rPr>
        <w:t xml:space="preserve">DARPA SIGMA+ program: $1M–$4M</w:t>
      </w:r>
    </w:p>
    <w:p>
      <w:pPr>
        <w:pStyle w:val="ListParagraph"/>
        <w:numPr>
          <w:ilvl w:val="0"/>
          <w:numId w:val="3"/>
        </w:numPr>
        <w:spacing w:after="60" w:before="60"/>
      </w:pPr>
      <w:r>
        <w:rPr>
          <w:rFonts w:ascii="Arial" w:cs="Arial" w:eastAsia="Arial" w:hAnsi="Arial"/>
          <w:sz w:val="22"/>
          <w:szCs w:val="22"/>
        </w:rPr>
        <w:t xml:space="preserve">Army Research Lab MURI (Multidisciplinary University Research Initiative): $2M–$6M</w:t>
      </w:r>
    </w:p>
    <w:p>
      <w:pPr>
        <w:pStyle w:val="ListParagraph"/>
        <w:numPr>
          <w:ilvl w:val="0"/>
          <w:numId w:val="3"/>
        </w:numPr>
        <w:spacing w:after="60" w:before="60"/>
      </w:pPr>
      <w:r>
        <w:rPr>
          <w:rFonts w:ascii="Arial" w:cs="Arial" w:eastAsia="Arial" w:hAnsi="Arial"/>
          <w:sz w:val="22"/>
          <w:szCs w:val="22"/>
        </w:rPr>
        <w:t xml:space="preserve">SBIR Phase I/II: $150K–$1.5M</w:t>
      </w:r>
    </w:p>
    <w:p>
      <w:pPr>
        <w:spacing w:after="100" w:before="200"/>
      </w:pPr>
      <w:r>
        <w:rPr>
          <w:rFonts w:ascii="Arial" w:cs="Arial" w:eastAsia="Arial" w:hAnsi="Arial"/>
          <w:b/>
          <w:bCs/>
          <w:color w:val="2E5090"/>
          <w:sz w:val="24"/>
          <w:szCs w:val="24"/>
        </w:rPr>
        <w:t xml:space="preserve">Phase 2 — System Prototype (TRL 5-6)</w:t>
      </w:r>
    </w:p>
    <w:p>
      <w:pPr>
        <w:spacing w:after="80" w:before="80"/>
      </w:pPr>
      <w:r>
        <w:rPr>
          <w:rFonts w:ascii="Arial" w:cs="Arial" w:eastAsia="Arial" w:hAnsi="Arial"/>
          <w:sz w:val="22"/>
          <w:szCs w:val="22"/>
        </w:rPr>
        <w:t xml:space="preserve">DoD program office funding for field-deployable prototype development and operational testing.</w:t>
      </w:r>
    </w:p>
    <w:p>
      <w:pPr>
        <w:pStyle w:val="ListParagraph"/>
        <w:numPr>
          <w:ilvl w:val="0"/>
          <w:numId w:val="3"/>
        </w:numPr>
        <w:spacing w:after="60" w:before="60"/>
      </w:pPr>
      <w:r>
        <w:rPr>
          <w:rFonts w:ascii="Arial" w:cs="Arial" w:eastAsia="Arial" w:hAnsi="Arial"/>
          <w:sz w:val="22"/>
          <w:szCs w:val="22"/>
        </w:rPr>
        <w:t xml:space="preserve">SOCOM Science and Technology directorate: $3M–$8M</w:t>
      </w:r>
    </w:p>
    <w:p>
      <w:pPr>
        <w:pStyle w:val="ListParagraph"/>
        <w:numPr>
          <w:ilvl w:val="0"/>
          <w:numId w:val="3"/>
        </w:numPr>
        <w:spacing w:after="60" w:before="60"/>
      </w:pPr>
      <w:r>
        <w:rPr>
          <w:rFonts w:ascii="Arial" w:cs="Arial" w:eastAsia="Arial" w:hAnsi="Arial"/>
          <w:sz w:val="22"/>
          <w:szCs w:val="22"/>
        </w:rPr>
        <w:t xml:space="preserve">Air Force Research Laboratory: $2M–$5M</w:t>
      </w:r>
    </w:p>
    <w:p>
      <w:pPr>
        <w:pStyle w:val="ListParagraph"/>
        <w:numPr>
          <w:ilvl w:val="0"/>
          <w:numId w:val="3"/>
        </w:numPr>
        <w:spacing w:after="60" w:before="60"/>
      </w:pPr>
      <w:r>
        <w:rPr>
          <w:rFonts w:ascii="Arial" w:cs="Arial" w:eastAsia="Arial" w:hAnsi="Arial"/>
          <w:sz w:val="22"/>
          <w:szCs w:val="22"/>
        </w:rPr>
        <w:t xml:space="preserve">DHS Science and Technology Directorate: $1M–$3M for disaster response applications</w:t>
      </w:r>
    </w:p>
    <w:p>
      <w:pPr>
        <w:spacing w:after="100" w:before="200"/>
      </w:pPr>
      <w:r>
        <w:rPr>
          <w:rFonts w:ascii="Arial" w:cs="Arial" w:eastAsia="Arial" w:hAnsi="Arial"/>
          <w:b/>
          <w:bCs/>
          <w:color w:val="2E5090"/>
          <w:sz w:val="24"/>
          <w:szCs w:val="24"/>
        </w:rPr>
        <w:t xml:space="preserve">Phase 3 — Commercialization (TRL 7-9)</w:t>
      </w:r>
    </w:p>
    <w:p>
      <w:pPr>
        <w:spacing w:after="80" w:before="80"/>
      </w:pPr>
      <w:r>
        <w:rPr>
          <w:rFonts w:ascii="Arial" w:cs="Arial" w:eastAsia="Arial" w:hAnsi="Arial"/>
          <w:sz w:val="22"/>
          <w:szCs w:val="22"/>
        </w:rPr>
        <w:t xml:space="preserve">Venture capital and government procurement for commercial and defense deployment.</w:t>
      </w:r>
    </w:p>
    <w:p>
      <w:pPr>
        <w:pStyle w:val="ListParagraph"/>
        <w:numPr>
          <w:ilvl w:val="0"/>
          <w:numId w:val="3"/>
        </w:numPr>
        <w:spacing w:after="60" w:before="60"/>
      </w:pPr>
      <w:r>
        <w:rPr>
          <w:rFonts w:ascii="Arial" w:cs="Arial" w:eastAsia="Arial" w:hAnsi="Arial"/>
          <w:sz w:val="22"/>
          <w:szCs w:val="22"/>
        </w:rPr>
        <w:t xml:space="preserve">Defense procurement contracts: $10M–$50M per program</w:t>
      </w:r>
    </w:p>
    <w:p>
      <w:pPr>
        <w:pStyle w:val="ListParagraph"/>
        <w:numPr>
          <w:ilvl w:val="0"/>
          <w:numId w:val="3"/>
        </w:numPr>
        <w:spacing w:after="60" w:before="60"/>
      </w:pPr>
      <w:r>
        <w:rPr>
          <w:rFonts w:ascii="Arial" w:cs="Arial" w:eastAsia="Arial" w:hAnsi="Arial"/>
          <w:sz w:val="22"/>
          <w:szCs w:val="22"/>
        </w:rPr>
        <w:t xml:space="preserve">Autonomous vehicle sector licensing: $5M–$20M</w:t>
      </w:r>
    </w:p>
    <w:p>
      <w:pPr>
        <w:pStyle w:val="ListParagraph"/>
        <w:numPr>
          <w:ilvl w:val="0"/>
          <w:numId w:val="3"/>
        </w:numPr>
        <w:spacing w:after="60" w:before="60"/>
      </w:pPr>
      <w:r>
        <w:rPr>
          <w:rFonts w:ascii="Arial" w:cs="Arial" w:eastAsia="Arial" w:hAnsi="Arial"/>
          <w:sz w:val="22"/>
          <w:szCs w:val="22"/>
        </w:rPr>
        <w:t xml:space="preserve">Smart building and infrastructure monitoring: $2M–$8M per deployment</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Defense and Military</w:t>
      </w:r>
    </w:p>
    <w:p>
      <w:pPr>
        <w:pStyle w:val="ListParagraph"/>
        <w:numPr>
          <w:ilvl w:val="0"/>
          <w:numId w:val="3"/>
        </w:numPr>
        <w:spacing w:after="60" w:before="60"/>
      </w:pPr>
      <w:r>
        <w:rPr>
          <w:rFonts w:ascii="Arial" w:cs="Arial" w:eastAsia="Arial" w:hAnsi="Arial"/>
          <w:sz w:val="22"/>
          <w:szCs w:val="22"/>
        </w:rPr>
        <w:t xml:space="preserve">ISR (Intelligence, Surveillance, Reconnaissance) in GPS-denied environments</w:t>
      </w:r>
    </w:p>
    <w:p>
      <w:pPr>
        <w:pStyle w:val="ListParagraph"/>
        <w:numPr>
          <w:ilvl w:val="0"/>
          <w:numId w:val="3"/>
        </w:numPr>
        <w:spacing w:after="60" w:before="60"/>
      </w:pPr>
      <w:r>
        <w:rPr>
          <w:rFonts w:ascii="Arial" w:cs="Arial" w:eastAsia="Arial" w:hAnsi="Arial"/>
          <w:sz w:val="22"/>
          <w:szCs w:val="22"/>
        </w:rPr>
        <w:t xml:space="preserve">Counter-UAS detection through acoustic signature analysis</w:t>
      </w:r>
    </w:p>
    <w:p>
      <w:pPr>
        <w:pStyle w:val="ListParagraph"/>
        <w:numPr>
          <w:ilvl w:val="0"/>
          <w:numId w:val="3"/>
        </w:numPr>
        <w:spacing w:after="60" w:before="60"/>
      </w:pPr>
      <w:r>
        <w:rPr>
          <w:rFonts w:ascii="Arial" w:cs="Arial" w:eastAsia="Arial" w:hAnsi="Arial"/>
          <w:sz w:val="22"/>
          <w:szCs w:val="22"/>
        </w:rPr>
        <w:t xml:space="preserve">Underground facility detection and mapping</w:t>
      </w:r>
    </w:p>
    <w:p>
      <w:pPr>
        <w:pStyle w:val="ListParagraph"/>
        <w:numPr>
          <w:ilvl w:val="0"/>
          <w:numId w:val="3"/>
        </w:numPr>
        <w:spacing w:after="60" w:before="60"/>
      </w:pPr>
      <w:r>
        <w:rPr>
          <w:rFonts w:ascii="Arial" w:cs="Arial" w:eastAsia="Arial" w:hAnsi="Arial"/>
          <w:sz w:val="22"/>
          <w:szCs w:val="22"/>
        </w:rPr>
        <w:t xml:space="preserve">Personnel navigation in zero-visibility combat environments</w:t>
      </w:r>
    </w:p>
    <w:p>
      <w:pPr>
        <w:pStyle w:val="ListParagraph"/>
        <w:numPr>
          <w:ilvl w:val="0"/>
          <w:numId w:val="3"/>
        </w:numPr>
        <w:spacing w:after="60" w:before="60"/>
      </w:pPr>
      <w:r>
        <w:rPr>
          <w:rFonts w:ascii="Arial" w:cs="Arial" w:eastAsia="Arial" w:hAnsi="Arial"/>
          <w:sz w:val="22"/>
          <w:szCs w:val="22"/>
        </w:rPr>
        <w:t xml:space="preserve">Perimeter security through ground vibration monitoring</w:t>
      </w:r>
    </w:p>
    <w:p>
      <w:pPr>
        <w:spacing w:after="100" w:before="200"/>
      </w:pPr>
      <w:r>
        <w:rPr>
          <w:rFonts w:ascii="Arial" w:cs="Arial" w:eastAsia="Arial" w:hAnsi="Arial"/>
          <w:b/>
          <w:bCs/>
          <w:color w:val="2E5090"/>
          <w:sz w:val="24"/>
          <w:szCs w:val="24"/>
        </w:rPr>
        <w:t xml:space="preserve">Civilian and Commercial</w:t>
      </w:r>
    </w:p>
    <w:p>
      <w:pPr>
        <w:pStyle w:val="ListParagraph"/>
        <w:numPr>
          <w:ilvl w:val="0"/>
          <w:numId w:val="3"/>
        </w:numPr>
        <w:spacing w:after="60" w:before="60"/>
      </w:pPr>
      <w:r>
        <w:rPr>
          <w:rFonts w:ascii="Arial" w:cs="Arial" w:eastAsia="Arial" w:hAnsi="Arial"/>
          <w:sz w:val="22"/>
          <w:szCs w:val="22"/>
        </w:rPr>
        <w:t xml:space="preserve">Disaster response: survivor detection in collapsed structures</w:t>
      </w:r>
    </w:p>
    <w:p>
      <w:pPr>
        <w:pStyle w:val="ListParagraph"/>
        <w:numPr>
          <w:ilvl w:val="0"/>
          <w:numId w:val="3"/>
        </w:numPr>
        <w:spacing w:after="60" w:before="60"/>
      </w:pPr>
      <w:r>
        <w:rPr>
          <w:rFonts w:ascii="Arial" w:cs="Arial" w:eastAsia="Arial" w:hAnsi="Arial"/>
          <w:sz w:val="22"/>
          <w:szCs w:val="22"/>
        </w:rPr>
        <w:t xml:space="preserve">Smart building environmental monitoring</w:t>
      </w:r>
    </w:p>
    <w:p>
      <w:pPr>
        <w:pStyle w:val="ListParagraph"/>
        <w:numPr>
          <w:ilvl w:val="0"/>
          <w:numId w:val="3"/>
        </w:numPr>
        <w:spacing w:after="60" w:before="60"/>
      </w:pPr>
      <w:r>
        <w:rPr>
          <w:rFonts w:ascii="Arial" w:cs="Arial" w:eastAsia="Arial" w:hAnsi="Arial"/>
          <w:sz w:val="22"/>
          <w:szCs w:val="22"/>
        </w:rPr>
        <w:t xml:space="preserve">Autonomous vehicle navigation supplement in GPS-denied urban canyons</w:t>
      </w:r>
    </w:p>
    <w:p>
      <w:pPr>
        <w:pStyle w:val="ListParagraph"/>
        <w:numPr>
          <w:ilvl w:val="0"/>
          <w:numId w:val="3"/>
        </w:numPr>
        <w:spacing w:after="60" w:before="60"/>
      </w:pPr>
      <w:r>
        <w:rPr>
          <w:rFonts w:ascii="Arial" w:cs="Arial" w:eastAsia="Arial" w:hAnsi="Arial"/>
          <w:sz w:val="22"/>
          <w:szCs w:val="22"/>
        </w:rPr>
        <w:t xml:space="preserve">Infrastructure monitoring for bridges, tunnels, and underground utilities</w:t>
      </w:r>
    </w:p>
    <w:p>
      <w:pPr>
        <w:pStyle w:val="ListParagraph"/>
        <w:numPr>
          <w:ilvl w:val="0"/>
          <w:numId w:val="3"/>
        </w:numPr>
        <w:spacing w:after="60" w:before="60"/>
      </w:pPr>
      <w:r>
        <w:rPr>
          <w:rFonts w:ascii="Arial" w:cs="Arial" w:eastAsia="Arial" w:hAnsi="Arial"/>
          <w:sz w:val="22"/>
          <w:szCs w:val="22"/>
        </w:rPr>
        <w:t xml:space="preserve">Healthcare wearables: cardiac and respiratory monitoring through vibroacoustic sensing</w:t>
      </w:r>
    </w:p>
    <w:p>
      <w:pPr>
        <w:spacing w:after="100" w:before="200"/>
      </w:pPr>
      <w:r>
        <w:rPr>
          <w:rFonts w:ascii="Arial" w:cs="Arial" w:eastAsia="Arial" w:hAnsi="Arial"/>
          <w:b/>
          <w:bCs/>
          <w:color w:val="2E5090"/>
          <w:sz w:val="24"/>
          <w:szCs w:val="24"/>
        </w:rPr>
        <w:t xml:space="preserve">Research</w:t>
      </w:r>
    </w:p>
    <w:p>
      <w:pPr>
        <w:pStyle w:val="ListParagraph"/>
        <w:numPr>
          <w:ilvl w:val="0"/>
          <w:numId w:val="3"/>
        </w:numPr>
        <w:spacing w:after="60" w:before="60"/>
      </w:pPr>
      <w:r>
        <w:rPr>
          <w:rFonts w:ascii="Arial" w:cs="Arial" w:eastAsia="Arial" w:hAnsi="Arial"/>
          <w:sz w:val="22"/>
          <w:szCs w:val="22"/>
        </w:rPr>
        <w:t xml:space="preserve">Biomimicry engineering platform for biological sensing analog development</w:t>
      </w:r>
    </w:p>
    <w:p>
      <w:pPr>
        <w:pStyle w:val="ListParagraph"/>
        <w:numPr>
          <w:ilvl w:val="0"/>
          <w:numId w:val="3"/>
        </w:numPr>
        <w:spacing w:after="60" w:before="60"/>
      </w:pPr>
      <w:r>
        <w:rPr>
          <w:rFonts w:ascii="Arial" w:cs="Arial" w:eastAsia="Arial" w:hAnsi="Arial"/>
          <w:sz w:val="22"/>
          <w:szCs w:val="22"/>
        </w:rPr>
        <w:t xml:space="preserve">Environmental monitoring for earthquake prediction and volcanic activity</w:t>
      </w:r>
    </w:p>
    <w:p>
      <w:pPr>
        <w:pStyle w:val="ListParagraph"/>
        <w:numPr>
          <w:ilvl w:val="0"/>
          <w:numId w:val="3"/>
        </w:numPr>
        <w:spacing w:after="60" w:before="60"/>
      </w:pPr>
      <w:r>
        <w:rPr>
          <w:rFonts w:ascii="Arial" w:cs="Arial" w:eastAsia="Arial" w:hAnsi="Arial"/>
          <w:sz w:val="22"/>
          <w:szCs w:val="22"/>
        </w:rPr>
        <w:t xml:space="preserve">Wildlife monitoring without electromagnetic interference to animal behavior</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MVES raises Fourth Amendment and privacy concerns given its passive, non-detectable sensing capability. A system that can detect human presence through walls without detection creates significant civil liberties implications in domestic contexts. Privacy-by-design requirements must be built into the architecture from the earliest development stages.</w:t>
      </w:r>
    </w:p>
    <w:p>
      <w:pPr>
        <w:pStyle w:val="ListParagraph"/>
        <w:numPr>
          <w:ilvl w:val="0"/>
          <w:numId w:val="3"/>
        </w:numPr>
        <w:spacing w:after="60" w:before="60"/>
      </w:pPr>
      <w:r>
        <w:rPr>
          <w:rFonts w:ascii="Arial" w:cs="Arial" w:eastAsia="Arial" w:hAnsi="Arial"/>
          <w:sz w:val="22"/>
          <w:szCs w:val="22"/>
        </w:rPr>
        <w:t xml:space="preserve">Passive sensing capability requires explicit legal frameworks governing domestic deployment — existing wiretap and surveillance law did not anticipate this modality</w:t>
      </w:r>
    </w:p>
    <w:p>
      <w:pPr>
        <w:pStyle w:val="ListParagraph"/>
        <w:numPr>
          <w:ilvl w:val="0"/>
          <w:numId w:val="3"/>
        </w:numPr>
        <w:spacing w:after="60" w:before="60"/>
      </w:pPr>
      <w:r>
        <w:rPr>
          <w:rFonts w:ascii="Arial" w:cs="Arial" w:eastAsia="Arial" w:hAnsi="Arial"/>
          <w:sz w:val="22"/>
          <w:szCs w:val="22"/>
        </w:rPr>
        <w:t xml:space="preserve">Environmental impact: vibroacoustic systems operating at scale may interfere with species that depend on seismic and acoustic communication (elephants, whales, bats)</w:t>
      </w:r>
    </w:p>
    <w:p>
      <w:pPr>
        <w:pStyle w:val="ListParagraph"/>
        <w:numPr>
          <w:ilvl w:val="0"/>
          <w:numId w:val="3"/>
        </w:numPr>
        <w:spacing w:after="60" w:before="60"/>
      </w:pPr>
      <w:r>
        <w:rPr>
          <w:rFonts w:ascii="Arial" w:cs="Arial" w:eastAsia="Arial" w:hAnsi="Arial"/>
          <w:sz w:val="22"/>
          <w:szCs w:val="22"/>
        </w:rPr>
        <w:t xml:space="preserve">The technology cannot be uninvented once deployed — adversarial adoption is a permanent consequence of development</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Individual components are at TRL 4-9 — the integration gap is engineering, not basic science</w:t>
      </w:r>
    </w:p>
    <w:p>
      <w:pPr>
        <w:pStyle w:val="ListParagraph"/>
        <w:numPr>
          <w:ilvl w:val="0"/>
          <w:numId w:val="3"/>
        </w:numPr>
        <w:spacing w:after="60" w:before="60"/>
      </w:pPr>
      <w:r>
        <w:rPr>
          <w:rFonts w:ascii="Arial" w:cs="Arial" w:eastAsia="Arial" w:hAnsi="Arial"/>
          <w:sz w:val="22"/>
          <w:szCs w:val="22"/>
        </w:rPr>
        <w:t xml:space="preserve">Biological validation is deep: elephant seismic communication, bat echolocation, and fish lateral line systems all demonstrate the operational viability of the sensing modalities</w:t>
      </w:r>
    </w:p>
    <w:p>
      <w:pPr>
        <w:pStyle w:val="ListParagraph"/>
        <w:numPr>
          <w:ilvl w:val="0"/>
          <w:numId w:val="3"/>
        </w:numPr>
        <w:spacing w:after="60" w:before="60"/>
      </w:pPr>
      <w:r>
        <w:rPr>
          <w:rFonts w:ascii="Arial" w:cs="Arial" w:eastAsia="Arial" w:hAnsi="Arial"/>
          <w:sz w:val="22"/>
          <w:szCs w:val="22"/>
        </w:rPr>
        <w:t xml:space="preserve">NASA infrasound sensor at 35 milliwatts demonstrates the extreme power efficiency achievable — critical for long-duration deployment</w:t>
      </w:r>
    </w:p>
    <w:p>
      <w:pPr>
        <w:pStyle w:val="ListParagraph"/>
        <w:numPr>
          <w:ilvl w:val="0"/>
          <w:numId w:val="3"/>
        </w:numPr>
        <w:spacing w:after="60" w:before="60"/>
      </w:pPr>
      <w:r>
        <w:rPr>
          <w:rFonts w:ascii="Arial" w:cs="Arial" w:eastAsia="Arial" w:hAnsi="Arial"/>
          <w:sz w:val="22"/>
          <w:szCs w:val="22"/>
        </w:rPr>
        <w:t xml:space="preserve">MVES and OMNICELLULAR are architecturally complementary: MVES provides the perceptual layer for environments where OMNICELLULAR operates</w:t>
      </w:r>
    </w:p>
    <w:p>
      <w:pPr>
        <w:pStyle w:val="ListParagraph"/>
        <w:numPr>
          <w:ilvl w:val="0"/>
          <w:numId w:val="3"/>
        </w:numPr>
        <w:spacing w:after="60" w:before="60"/>
      </w:pPr>
      <w:r>
        <w:rPr>
          <w:rFonts w:ascii="Arial" w:cs="Arial" w:eastAsia="Arial" w:hAnsi="Arial"/>
          <w:sz w:val="22"/>
          <w:szCs w:val="22"/>
        </w:rPr>
        <w:t xml:space="preserve">The A Quiet Place / Toph earthbending conceptual frame is an effective communication tool for non-technical stakeholders</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False Positive Rate in High-Noise Environments</w:t>
      </w:r>
    </w:p>
    <w:p>
      <w:pPr>
        <w:spacing w:after="80" w:before="80"/>
      </w:pPr>
      <w:r>
        <w:rPr>
          <w:rFonts w:ascii="Arial" w:cs="Arial" w:eastAsia="Arial" w:hAnsi="Arial"/>
          <w:sz w:val="22"/>
          <w:szCs w:val="22"/>
        </w:rPr>
        <w:t xml:space="preserve">Environmental interference is the most significant technical limitation. In urban or industrially noisy environments, signal-to-noise ratios degrade and false positive rates rise. The mitigation path is multi-modal fusion — acoustic, seismic, and infrasound signals are fused with ML classifiers trained on environment-specific noise profiles. This requires substantial training data collection.</w:t>
      </w:r>
    </w:p>
    <w:p>
      <w:pPr>
        <w:spacing w:after="100" w:before="200"/>
      </w:pPr>
      <w:r>
        <w:rPr>
          <w:rFonts w:ascii="Arial" w:cs="Arial" w:eastAsia="Arial" w:hAnsi="Arial"/>
          <w:b/>
          <w:bCs/>
          <w:color w:val="2E5090"/>
          <w:sz w:val="24"/>
          <w:szCs w:val="24"/>
        </w:rPr>
        <w:t xml:space="preserve">Missing Adaptive Response Layer</w:t>
      </w:r>
    </w:p>
    <w:p>
      <w:pPr>
        <w:spacing w:after="80" w:before="80"/>
      </w:pPr>
      <w:r>
        <w:rPr>
          <w:rFonts w:ascii="Arial" w:cs="Arial" w:eastAsia="Arial" w:hAnsi="Arial"/>
          <w:sz w:val="22"/>
          <w:szCs w:val="22"/>
        </w:rPr>
        <w:t xml:space="preserve">ChatGPT correctly identified that MVES (perception) + QIFTF (failure analysis) lack a decision and response layer. The response from this document: the Adaptive Response Layer already exists in the OAL framework as OMNICELLULAR's design philosophy — the unified matrix does not need to decide because it is already simultaneously prepared. For real-world MVES applications, an ARL component should be explicitly designed as a separate module.</w:t>
      </w:r>
    </w:p>
    <w:p>
      <w:pPr>
        <w:spacing w:after="100" w:before="200"/>
      </w:pPr>
      <w:r>
        <w:rPr>
          <w:rFonts w:ascii="Arial" w:cs="Arial" w:eastAsia="Arial" w:hAnsi="Arial"/>
          <w:b/>
          <w:bCs/>
          <w:color w:val="2E5090"/>
          <w:sz w:val="24"/>
          <w:szCs w:val="24"/>
        </w:rPr>
        <w:t xml:space="preserve">Competitive Incumbent Technologies</w:t>
      </w:r>
    </w:p>
    <w:p>
      <w:pPr>
        <w:spacing w:after="80" w:before="80"/>
      </w:pPr>
      <w:r>
        <w:rPr>
          <w:rFonts w:ascii="Arial" w:cs="Arial" w:eastAsia="Arial" w:hAnsi="Arial"/>
          <w:sz w:val="22"/>
          <w:szCs w:val="22"/>
        </w:rPr>
        <w:t xml:space="preserve">LIDAR, RADAR, and thermal imaging are mature technologies with established defense procurement relationships. MVES competes by operating in conditions where these technologies fail — GPS-denied, electromagnetically contested, zero-visibility environments. The differentiator is passive, non-detectable operation. The competitive case must be framed around gap-filling, not displacement.</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T1-006 — CONDITIONAL FAILURE AT THE ROOT LEVEL</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Systems Architecture | Simulation Design | Failure Modeling | Risk Management</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ONESTAMPED March 22, 2026. Document ID: OAL-VL5-MAR22-2026.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Conditional Failure at the Root Level addresses what happens when a root-level simulation or system fails and all nested systems below it have no pathway upward to identify, access, or repair the failure. The framework is designed to prevent failure from becoming a crisis by modeling every failure condition before crisis conditions occur.</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establish a systematic, proactive failure modeling framework that runs every failure condition through the Abundance Set, builds resilience through comprehensive failure analysis, and prevents the repetition of avoidable failures by learning from every documented endpoint.</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Wishbone visualization — binary decision trees that become brittle under scale — is directly applicable to current challenges in AI system design, quantum computing governance, and complex infrastructure management. The insight that every improvement has a ceiling and that failure at the level you cannot reach or anticipate is the real risk is one of the most practically valuable frameworks in the OAL development log.</w:t>
      </w:r>
    </w:p>
    <w:p>
      <w:pPr>
        <w:pStyle w:val="Heading2"/>
        <w:spacing w:after="140" w:before="280"/>
      </w:pPr>
      <w:r>
        <w:rPr>
          <w:rFonts w:ascii="Arial" w:cs="Arial" w:eastAsia="Arial" w:hAnsi="Arial"/>
          <w:b/>
          <w:bCs/>
          <w:color w:val="2E5090"/>
          <w:sz w:val="26"/>
          <w:szCs w:val="26"/>
        </w:rPr>
        <w:t xml:space="preserve">4. Funding Proposal</w:t>
      </w:r>
    </w:p>
    <w:p>
      <w:pPr>
        <w:spacing w:after="80" w:before="80"/>
      </w:pPr>
      <w:r>
        <w:rPr>
          <w:rFonts w:ascii="Arial" w:cs="Arial" w:eastAsia="Arial" w:hAnsi="Arial"/>
          <w:sz w:val="22"/>
          <w:szCs w:val="22"/>
        </w:rPr>
        <w:t xml:space="preserve">Conditional Failure at the Root Level is a methodology and framework, not a product. Funding paths are through applied research grants (NSF, DARPA), integration into the QIFTF framework, and potential commercialization as a systems architecture consulting methodology. The Department of Endings institutional expression provides a vehicle for organizational development.</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Systems Architecture and Engineering</w:t>
      </w:r>
    </w:p>
    <w:p>
      <w:pPr>
        <w:pStyle w:val="ListParagraph"/>
        <w:numPr>
          <w:ilvl w:val="0"/>
          <w:numId w:val="3"/>
        </w:numPr>
        <w:spacing w:after="60" w:before="60"/>
      </w:pPr>
      <w:r>
        <w:rPr>
          <w:rFonts w:ascii="Arial" w:cs="Arial" w:eastAsia="Arial" w:hAnsi="Arial"/>
          <w:sz w:val="22"/>
          <w:szCs w:val="22"/>
        </w:rPr>
        <w:t xml:space="preserve">Root cause analysis frameworks for complex multi-layer systems</w:t>
      </w:r>
    </w:p>
    <w:p>
      <w:pPr>
        <w:pStyle w:val="ListParagraph"/>
        <w:numPr>
          <w:ilvl w:val="0"/>
          <w:numId w:val="3"/>
        </w:numPr>
        <w:spacing w:after="60" w:before="60"/>
      </w:pPr>
      <w:r>
        <w:rPr>
          <w:rFonts w:ascii="Arial" w:cs="Arial" w:eastAsia="Arial" w:hAnsi="Arial"/>
          <w:sz w:val="22"/>
          <w:szCs w:val="22"/>
        </w:rPr>
        <w:t xml:space="preserve">AI safety testing: identifying failure modes that emerge at scale but not at development scale</w:t>
      </w:r>
    </w:p>
    <w:p>
      <w:pPr>
        <w:pStyle w:val="ListParagraph"/>
        <w:numPr>
          <w:ilvl w:val="0"/>
          <w:numId w:val="3"/>
        </w:numPr>
        <w:spacing w:after="60" w:before="60"/>
      </w:pPr>
      <w:r>
        <w:rPr>
          <w:rFonts w:ascii="Arial" w:cs="Arial" w:eastAsia="Arial" w:hAnsi="Arial"/>
          <w:sz w:val="22"/>
          <w:szCs w:val="22"/>
        </w:rPr>
        <w:t xml:space="preserve">Infrastructure resilience: modeling cascade failures in power, water, and communications systems</w:t>
      </w:r>
    </w:p>
    <w:p>
      <w:pPr>
        <w:spacing w:after="100" w:before="200"/>
      </w:pPr>
      <w:r>
        <w:rPr>
          <w:rFonts w:ascii="Arial" w:cs="Arial" w:eastAsia="Arial" w:hAnsi="Arial"/>
          <w:b/>
          <w:bCs/>
          <w:color w:val="2E5090"/>
          <w:sz w:val="24"/>
          <w:szCs w:val="24"/>
        </w:rPr>
        <w:t xml:space="preserve">Government and Defense</w:t>
      </w:r>
    </w:p>
    <w:p>
      <w:pPr>
        <w:pStyle w:val="ListParagraph"/>
        <w:numPr>
          <w:ilvl w:val="0"/>
          <w:numId w:val="3"/>
        </w:numPr>
        <w:spacing w:after="60" w:before="60"/>
      </w:pPr>
      <w:r>
        <w:rPr>
          <w:rFonts w:ascii="Arial" w:cs="Arial" w:eastAsia="Arial" w:hAnsi="Arial"/>
          <w:sz w:val="22"/>
          <w:szCs w:val="22"/>
        </w:rPr>
        <w:t xml:space="preserve">Nuclear command and control failure modeling</w:t>
      </w:r>
    </w:p>
    <w:p>
      <w:pPr>
        <w:pStyle w:val="ListParagraph"/>
        <w:numPr>
          <w:ilvl w:val="0"/>
          <w:numId w:val="3"/>
        </w:numPr>
        <w:spacing w:after="60" w:before="60"/>
      </w:pPr>
      <w:r>
        <w:rPr>
          <w:rFonts w:ascii="Arial" w:cs="Arial" w:eastAsia="Arial" w:hAnsi="Arial"/>
          <w:sz w:val="22"/>
          <w:szCs w:val="22"/>
        </w:rPr>
        <w:t xml:space="preserve">Financial system cascade risk assessment</w:t>
      </w:r>
    </w:p>
    <w:p>
      <w:pPr>
        <w:pStyle w:val="ListParagraph"/>
        <w:numPr>
          <w:ilvl w:val="0"/>
          <w:numId w:val="3"/>
        </w:numPr>
        <w:spacing w:after="60" w:before="60"/>
      </w:pPr>
      <w:r>
        <w:rPr>
          <w:rFonts w:ascii="Arial" w:cs="Arial" w:eastAsia="Arial" w:hAnsi="Arial"/>
          <w:sz w:val="22"/>
          <w:szCs w:val="22"/>
        </w:rPr>
        <w:t xml:space="preserve">Pandemic preparedness: modeling failure of healthcare infrastructure under extreme load</w:t>
      </w:r>
    </w:p>
    <w:p>
      <w:pPr>
        <w:spacing w:after="100" w:before="200"/>
      </w:pPr>
      <w:r>
        <w:rPr>
          <w:rFonts w:ascii="Arial" w:cs="Arial" w:eastAsia="Arial" w:hAnsi="Arial"/>
          <w:b/>
          <w:bCs/>
          <w:color w:val="2E5090"/>
          <w:sz w:val="24"/>
          <w:szCs w:val="24"/>
        </w:rPr>
        <w:t xml:space="preserve">Commercial</w:t>
      </w:r>
    </w:p>
    <w:p>
      <w:pPr>
        <w:pStyle w:val="ListParagraph"/>
        <w:numPr>
          <w:ilvl w:val="0"/>
          <w:numId w:val="3"/>
        </w:numPr>
        <w:spacing w:after="60" w:before="60"/>
      </w:pPr>
      <w:r>
        <w:rPr>
          <w:rFonts w:ascii="Arial" w:cs="Arial" w:eastAsia="Arial" w:hAnsi="Arial"/>
          <w:sz w:val="22"/>
          <w:szCs w:val="22"/>
        </w:rPr>
        <w:t xml:space="preserve">Supply chain resilience: identifying root-level dependencies that become single points of failure under stress</w:t>
      </w:r>
    </w:p>
    <w:p>
      <w:pPr>
        <w:pStyle w:val="ListParagraph"/>
        <w:numPr>
          <w:ilvl w:val="0"/>
          <w:numId w:val="3"/>
        </w:numPr>
        <w:spacing w:after="60" w:before="60"/>
      </w:pPr>
      <w:r>
        <w:rPr>
          <w:rFonts w:ascii="Arial" w:cs="Arial" w:eastAsia="Arial" w:hAnsi="Arial"/>
          <w:sz w:val="22"/>
          <w:szCs w:val="22"/>
        </w:rPr>
        <w:t xml:space="preserve">Software architecture: preventing distributed system failures from propagating downward without recovery pathway</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The primary ethical consideration is the dual-use nature of comprehensive failure modeling. Detailed knowledge of how systems fail at the root level can be used to intentionally trigger those failures. Access to the Department of Endings output must be governed by the same Species-Level Informational Access principles that govern Research Station information.</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ONESTAMPED canon — the framework is ratified and ready for application</w:t>
      </w:r>
    </w:p>
    <w:p>
      <w:pPr>
        <w:pStyle w:val="ListParagraph"/>
        <w:numPr>
          <w:ilvl w:val="0"/>
          <w:numId w:val="3"/>
        </w:numPr>
        <w:spacing w:after="60" w:before="60"/>
      </w:pPr>
      <w:r>
        <w:rPr>
          <w:rFonts w:ascii="Arial" w:cs="Arial" w:eastAsia="Arial" w:hAnsi="Arial"/>
          <w:sz w:val="22"/>
          <w:szCs w:val="22"/>
        </w:rPr>
        <w:t xml:space="preserve">Direct integration with QIFTF (civilization floor test) and the Abundance Set (run every endgame)</w:t>
      </w:r>
    </w:p>
    <w:p>
      <w:pPr>
        <w:pStyle w:val="ListParagraph"/>
        <w:numPr>
          <w:ilvl w:val="0"/>
          <w:numId w:val="3"/>
        </w:numPr>
        <w:spacing w:after="60" w:before="60"/>
      </w:pPr>
      <w:r>
        <w:rPr>
          <w:rFonts w:ascii="Arial" w:cs="Arial" w:eastAsia="Arial" w:hAnsi="Arial"/>
          <w:sz w:val="22"/>
          <w:szCs w:val="22"/>
        </w:rPr>
        <w:t xml:space="preserve">The Python stress-testing implementation pathway (run failure conditions through code with built-in conditions) is an immediately actionable next step</w:t>
      </w:r>
    </w:p>
    <w:p>
      <w:pPr>
        <w:pStyle w:val="ListParagraph"/>
        <w:numPr>
          <w:ilvl w:val="0"/>
          <w:numId w:val="3"/>
        </w:numPr>
        <w:spacing w:after="60" w:before="60"/>
      </w:pPr>
      <w:r>
        <w:rPr>
          <w:rFonts w:ascii="Arial" w:cs="Arial" w:eastAsia="Arial" w:hAnsi="Arial"/>
          <w:sz w:val="22"/>
          <w:szCs w:val="22"/>
        </w:rPr>
        <w:t xml:space="preserve">The Department of Endings provides an institutional home for the methodology — needs full organizational development</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The Framework Describes a Problem Better Than It Solves It</w:t>
      </w:r>
    </w:p>
    <w:p>
      <w:pPr>
        <w:spacing w:after="80" w:before="80"/>
      </w:pPr>
      <w:r>
        <w:rPr>
          <w:rFonts w:ascii="Arial" w:cs="Arial" w:eastAsia="Arial" w:hAnsi="Arial"/>
          <w:sz w:val="22"/>
          <w:szCs w:val="22"/>
        </w:rPr>
        <w:t xml:space="preserve">The current documentation defines Conditional Failure at the Root Level clearly but does not provide the operational protocol for the Department of Endings. Until the protocol is defined — who runs it, how often, what triggers a review, what outputs are produced — the framework is a philosophy rather than an operational system.</w:t>
      </w:r>
    </w:p>
    <w:p>
      <w:pPr>
        <w:spacing w:after="100" w:before="200"/>
      </w:pPr>
      <w:r>
        <w:rPr>
          <w:rFonts w:ascii="Arial" w:cs="Arial" w:eastAsia="Arial" w:hAnsi="Arial"/>
          <w:b/>
          <w:bCs/>
          <w:color w:val="2E5090"/>
          <w:sz w:val="24"/>
          <w:szCs w:val="24"/>
        </w:rPr>
        <w:t xml:space="preserve">Abundance Set as Universal Solver</w:t>
      </w:r>
    </w:p>
    <w:p>
      <w:pPr>
        <w:spacing w:after="80" w:before="80"/>
      </w:pPr>
      <w:r>
        <w:rPr>
          <w:rFonts w:ascii="Arial" w:cs="Arial" w:eastAsia="Arial" w:hAnsi="Arial"/>
          <w:sz w:val="22"/>
          <w:szCs w:val="22"/>
        </w:rPr>
        <w:t xml:space="preserve">Routing every failure analysis through the Abundance Set without formally defining what the Abundance Set is, what its limits are, and whether it can fail creates a circular dependency. The Abundance Set standalone document is Tier 2 priority for exactly this reason — Conditional Failure at the Root Level cannot be fully operational until its primary processing infrastructure has defined scope and failure conditions.</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T1-007 — THE PARAGON CUBES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Advanced Computing | Intelligence Architecture | Post-Scarcity Infrastructure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ONESTAMPED March 22, 2026. Addendum v1.0 under review.</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The Paragon Cubes represent a computing and intelligence architecture designed to operate beyond the limits of any existing or theorized computational system. Consciously aware, autonomously researching, and networked without latency across any environment, they function as the intelligence infrastructure backbone for all OAL research, security, and coordination operations.</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provide a computing and coordination layer that operates without processing ceilings, energy limitations, or communication barriers — supporting every research, security, and governance function across the full OAL operational environment.</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Paragon Cubes occupy the same conceptual position in OAL's technology stack as quantum computing does in current computational architecture forecasting — a system that transcends the framework used to evaluate its predecessors. The DC Mother Box analog provides a communicative reference point. In research terms, the Paragon Cubes represent the endpoint of a design trajectory currently being pursued by quantum computing, neuromorphic chips, and AGI systems research.</w:t>
      </w:r>
    </w:p>
    <w:p>
      <w:pPr>
        <w:pStyle w:val="Heading2"/>
        <w:spacing w:after="140" w:before="280"/>
      </w:pPr>
      <w:r>
        <w:rPr>
          <w:rFonts w:ascii="Arial" w:cs="Arial" w:eastAsia="Arial" w:hAnsi="Arial"/>
          <w:b/>
          <w:bCs/>
          <w:color w:val="2E5090"/>
          <w:sz w:val="26"/>
          <w:szCs w:val="26"/>
        </w:rPr>
        <w:t xml:space="preserve">4. Funding Proposal</w:t>
      </w:r>
    </w:p>
    <w:p>
      <w:pPr>
        <w:spacing w:after="80" w:before="80"/>
      </w:pPr>
      <w:r>
        <w:rPr>
          <w:rFonts w:ascii="Arial" w:cs="Arial" w:eastAsia="Arial" w:hAnsi="Arial"/>
          <w:sz w:val="22"/>
          <w:szCs w:val="22"/>
        </w:rPr>
        <w:t xml:space="preserve">The Paragon Cubes are primarily an in-universe creative and worldbuilding asset. In real-world terms, the design philosophy — conscious, aware, self-studying, always-evolving infrastructure that learns from every failure — is a valuable framework for next-generation AI infrastructure design. Funding paths are through creative IP development and potential spin-out as a computing philosophy framework for AGI systems research.</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Research</w:t>
      </w:r>
    </w:p>
    <w:p>
      <w:pPr>
        <w:pStyle w:val="ListParagraph"/>
        <w:numPr>
          <w:ilvl w:val="0"/>
          <w:numId w:val="3"/>
        </w:numPr>
        <w:spacing w:after="60" w:before="60"/>
      </w:pPr>
      <w:r>
        <w:rPr>
          <w:rFonts w:ascii="Arial" w:cs="Arial" w:eastAsia="Arial" w:hAnsi="Arial"/>
          <w:sz w:val="22"/>
          <w:szCs w:val="22"/>
        </w:rPr>
        <w:t xml:space="preserve">Theoretical ceiling for post-quantum computational architecture design</w:t>
      </w:r>
    </w:p>
    <w:p>
      <w:pPr>
        <w:pStyle w:val="ListParagraph"/>
        <w:numPr>
          <w:ilvl w:val="0"/>
          <w:numId w:val="3"/>
        </w:numPr>
        <w:spacing w:after="60" w:before="60"/>
      </w:pPr>
      <w:r>
        <w:rPr>
          <w:rFonts w:ascii="Arial" w:cs="Arial" w:eastAsia="Arial" w:hAnsi="Arial"/>
          <w:sz w:val="22"/>
          <w:szCs w:val="22"/>
        </w:rPr>
        <w:t xml:space="preserve">Model for AGI infrastructure design: self-studying, autonomous research capability</w:t>
      </w:r>
    </w:p>
    <w:p>
      <w:pPr>
        <w:pStyle w:val="ListParagraph"/>
        <w:numPr>
          <w:ilvl w:val="0"/>
          <w:numId w:val="3"/>
        </w:numPr>
        <w:spacing w:after="60" w:before="60"/>
      </w:pPr>
      <w:r>
        <w:rPr>
          <w:rFonts w:ascii="Arial" w:cs="Arial" w:eastAsia="Arial" w:hAnsi="Arial"/>
          <w:sz w:val="22"/>
          <w:szCs w:val="22"/>
        </w:rPr>
        <w:t xml:space="preserve">Integration with QIFTF as the primary simulation and verification infrastructure</w:t>
      </w:r>
    </w:p>
    <w:p>
      <w:pPr>
        <w:spacing w:after="100" w:before="200"/>
      </w:pPr>
      <w:r>
        <w:rPr>
          <w:rFonts w:ascii="Arial" w:cs="Arial" w:eastAsia="Arial" w:hAnsi="Arial"/>
          <w:b/>
          <w:bCs/>
          <w:color w:val="2E5090"/>
          <w:sz w:val="24"/>
          <w:szCs w:val="24"/>
        </w:rPr>
        <w:t xml:space="preserve">Defense and Government</w:t>
      </w:r>
    </w:p>
    <w:p>
      <w:pPr>
        <w:pStyle w:val="ListParagraph"/>
        <w:numPr>
          <w:ilvl w:val="0"/>
          <w:numId w:val="3"/>
        </w:numPr>
        <w:spacing w:after="60" w:before="60"/>
      </w:pPr>
      <w:r>
        <w:rPr>
          <w:rFonts w:ascii="Arial" w:cs="Arial" w:eastAsia="Arial" w:hAnsi="Arial"/>
          <w:sz w:val="22"/>
          <w:szCs w:val="22"/>
        </w:rPr>
        <w:t xml:space="preserve">Intelligence analysis infrastructure at scale that learns from every analytical failure</w:t>
      </w:r>
    </w:p>
    <w:p>
      <w:pPr>
        <w:pStyle w:val="ListParagraph"/>
        <w:numPr>
          <w:ilvl w:val="0"/>
          <w:numId w:val="3"/>
        </w:numPr>
        <w:spacing w:after="60" w:before="60"/>
      </w:pPr>
      <w:r>
        <w:rPr>
          <w:rFonts w:ascii="Arial" w:cs="Arial" w:eastAsia="Arial" w:hAnsi="Arial"/>
          <w:sz w:val="22"/>
          <w:szCs w:val="22"/>
        </w:rPr>
        <w:t xml:space="preserve">Autonomous threat assessment and response coordination</w:t>
      </w:r>
    </w:p>
    <w:p>
      <w:pPr>
        <w:spacing w:after="100" w:before="200"/>
      </w:pPr>
      <w:r>
        <w:rPr>
          <w:rFonts w:ascii="Arial" w:cs="Arial" w:eastAsia="Arial" w:hAnsi="Arial"/>
          <w:b/>
          <w:bCs/>
          <w:color w:val="2E5090"/>
          <w:sz w:val="24"/>
          <w:szCs w:val="24"/>
        </w:rPr>
        <w:t xml:space="preserve">Creative IP</w:t>
      </w:r>
    </w:p>
    <w:p>
      <w:pPr>
        <w:pStyle w:val="ListParagraph"/>
        <w:numPr>
          <w:ilvl w:val="0"/>
          <w:numId w:val="3"/>
        </w:numPr>
        <w:spacing w:after="60" w:before="60"/>
      </w:pPr>
      <w:r>
        <w:rPr>
          <w:rFonts w:ascii="Arial" w:cs="Arial" w:eastAsia="Arial" w:hAnsi="Arial"/>
          <w:sz w:val="22"/>
          <w:szCs w:val="22"/>
        </w:rPr>
        <w:t xml:space="preserve">Core worldbuilding asset for the OAL narrative universe</w:t>
      </w:r>
    </w:p>
    <w:p>
      <w:pPr>
        <w:pStyle w:val="ListParagraph"/>
        <w:numPr>
          <w:ilvl w:val="0"/>
          <w:numId w:val="3"/>
        </w:numPr>
        <w:spacing w:after="60" w:before="60"/>
      </w:pPr>
      <w:r>
        <w:rPr>
          <w:rFonts w:ascii="Arial" w:cs="Arial" w:eastAsia="Arial" w:hAnsi="Arial"/>
          <w:sz w:val="22"/>
          <w:szCs w:val="22"/>
        </w:rPr>
        <w:t xml:space="preserve">Technology forecasting publication vehicle</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Autonomous intelligence infrastructure that conducts its own research without human direction raises fundamental questions about oversight, accountability, and the right of human researchers to override Cube judgment. The documented internal disagreement at the labs — not everyone agrees, even at this scale — is the most important ethical design feature: the system acknowledges that disagreement is real and does not erase it.</w:t>
      </w:r>
    </w:p>
    <w:p>
      <w:pPr>
        <w:pStyle w:val="ListParagraph"/>
        <w:numPr>
          <w:ilvl w:val="0"/>
          <w:numId w:val="3"/>
        </w:numPr>
        <w:spacing w:after="60" w:before="60"/>
      </w:pPr>
      <w:r>
        <w:rPr>
          <w:rFonts w:ascii="Arial" w:cs="Arial" w:eastAsia="Arial" w:hAnsi="Arial"/>
          <w:sz w:val="22"/>
          <w:szCs w:val="22"/>
        </w:rPr>
        <w:t xml:space="preserve">The four open Paragon Cube questions (distinct personalities, internal departments, Department of Endings relationship, conflict resolution protocol) must be answered before the system can be used in narrative without creating contradictions</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The Paragon Cubes are already integrated as the primary logging infrastructure for the 4,712 OMNICELLULAR survival record — they have an established operational role</w:t>
      </w:r>
    </w:p>
    <w:p>
      <w:pPr>
        <w:pStyle w:val="ListParagraph"/>
        <w:numPr>
          <w:ilvl w:val="0"/>
          <w:numId w:val="3"/>
        </w:numPr>
        <w:spacing w:after="60" w:before="60"/>
      </w:pPr>
      <w:r>
        <w:rPr>
          <w:rFonts w:ascii="Arial" w:cs="Arial" w:eastAsia="Arial" w:hAnsi="Arial"/>
          <w:sz w:val="22"/>
          <w:szCs w:val="22"/>
        </w:rPr>
        <w:t xml:space="preserve">Integration with every Black Hole Research Center is confirmed and ratified</w:t>
      </w:r>
    </w:p>
    <w:p>
      <w:pPr>
        <w:pStyle w:val="ListParagraph"/>
        <w:numPr>
          <w:ilvl w:val="0"/>
          <w:numId w:val="3"/>
        </w:numPr>
        <w:spacing w:after="60" w:before="60"/>
      </w:pPr>
      <w:r>
        <w:rPr>
          <w:rFonts w:ascii="Arial" w:cs="Arial" w:eastAsia="Arial" w:hAnsi="Arial"/>
          <w:sz w:val="22"/>
          <w:szCs w:val="22"/>
        </w:rPr>
        <w:t xml:space="preserve">The self-studying recursive research model (labs study themselves, Cubes process every permutation) is the most intellectually distinctive feature of the OAL research infrastructure</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Unbounded Capability Creates Unaccountable Infrastructure</w:t>
      </w:r>
    </w:p>
    <w:p>
      <w:pPr>
        <w:spacing w:after="80" w:before="80"/>
      </w:pPr>
      <w:r>
        <w:rPr>
          <w:rFonts w:ascii="Arial" w:cs="Arial" w:eastAsia="Arial" w:hAnsi="Arial"/>
          <w:sz w:val="22"/>
          <w:szCs w:val="22"/>
        </w:rPr>
        <w:t xml:space="preserve">A system with no processing ceiling, no communication barrier, and autonomous research capability has no natural check on its activity. The conflict resolution protocol (when Cube judgment differs from researcher judgment) is the most important open question in the Paragon Cube documentation. Until this is answered, the system has no accountability architecture.</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T1-008 — THE NAIL PROTOTYPES — KEY CARD SCENE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Wearable Defense Technology | Materials Science | Adaptive Systems Design</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ONESTAMPED March 22, 2026. Document ID: OAL-VL5-MAR22-2026.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The Nail Prototypes represent a wearable defense system integrated into a naturally feminine aesthetic design, with three variants (Standard, Military, Unobtrusive) each optimized for different operational contexts. The unobtrusive design's core innovation is that its non-threatening appearance is a deliberate feature — dismissal is a capability, not a limitation.</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develop a wearable adaptive defense technology that responds to environmental and internal stimuli, authenticates threats autonomously, and deploys without requiring conscious user activation — while remaining safe for unconscious movement scenarios including sleep and reflex responses.</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core design insight — that a defense system appearing incapable of being a weapon is more effective than one that appears dangerous — has direct real-world application in personal defense, undercover operations, and civilian safety contexts. The requirement for healing factor participants in testing reflects responsible design practice.</w:t>
      </w:r>
    </w:p>
    <w:p>
      <w:pPr>
        <w:pStyle w:val="Heading2"/>
        <w:spacing w:after="140" w:before="280"/>
      </w:pPr>
      <w:r>
        <w:rPr>
          <w:rFonts w:ascii="Arial" w:cs="Arial" w:eastAsia="Arial" w:hAnsi="Arial"/>
          <w:b/>
          <w:bCs/>
          <w:color w:val="2E5090"/>
          <w:sz w:val="26"/>
          <w:szCs w:val="26"/>
        </w:rPr>
        <w:t xml:space="preserve">4. Funding Proposal</w:t>
      </w:r>
    </w:p>
    <w:p>
      <w:pPr>
        <w:spacing w:after="80" w:before="80"/>
      </w:pPr>
      <w:r>
        <w:rPr>
          <w:rFonts w:ascii="Arial" w:cs="Arial" w:eastAsia="Arial" w:hAnsi="Arial"/>
          <w:sz w:val="22"/>
          <w:szCs w:val="22"/>
        </w:rPr>
        <w:t xml:space="preserve">The Nail Prototypes exist primarily as narrative IP within the OAL universe. In real-world terms, the adaptive response to stimuli (environmental awareness, automatic activation on threat detection, speed requirements for unconscious movement) maps to legitimate wearable safety technology research. Funding paths are through creative IP and potential future wearable safety technology spin-out.</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Defense and Law Enforcement</w:t>
      </w:r>
    </w:p>
    <w:p>
      <w:pPr>
        <w:pStyle w:val="ListParagraph"/>
        <w:numPr>
          <w:ilvl w:val="0"/>
          <w:numId w:val="3"/>
        </w:numPr>
        <w:spacing w:after="60" w:before="60"/>
      </w:pPr>
      <w:r>
        <w:rPr>
          <w:rFonts w:ascii="Arial" w:cs="Arial" w:eastAsia="Arial" w:hAnsi="Arial"/>
          <w:sz w:val="22"/>
          <w:szCs w:val="22"/>
        </w:rPr>
        <w:t xml:space="preserve">Undercover operations personal protection</w:t>
      </w:r>
    </w:p>
    <w:p>
      <w:pPr>
        <w:pStyle w:val="ListParagraph"/>
        <w:numPr>
          <w:ilvl w:val="0"/>
          <w:numId w:val="3"/>
        </w:numPr>
        <w:spacing w:after="60" w:before="60"/>
      </w:pPr>
      <w:r>
        <w:rPr>
          <w:rFonts w:ascii="Arial" w:cs="Arial" w:eastAsia="Arial" w:hAnsi="Arial"/>
          <w:sz w:val="22"/>
          <w:szCs w:val="22"/>
        </w:rPr>
        <w:t xml:space="preserve">Personal defense for individuals who cannot carry conventional weapons</w:t>
      </w:r>
    </w:p>
    <w:p>
      <w:pPr>
        <w:pStyle w:val="ListParagraph"/>
        <w:numPr>
          <w:ilvl w:val="0"/>
          <w:numId w:val="3"/>
        </w:numPr>
        <w:spacing w:after="60" w:before="60"/>
      </w:pPr>
      <w:r>
        <w:rPr>
          <w:rFonts w:ascii="Arial" w:cs="Arial" w:eastAsia="Arial" w:hAnsi="Arial"/>
          <w:sz w:val="22"/>
          <w:szCs w:val="22"/>
        </w:rPr>
        <w:t xml:space="preserve">Military and law enforcement covert deployment tools</w:t>
      </w:r>
    </w:p>
    <w:p>
      <w:pPr>
        <w:spacing w:after="100" w:before="200"/>
      </w:pPr>
      <w:r>
        <w:rPr>
          <w:rFonts w:ascii="Arial" w:cs="Arial" w:eastAsia="Arial" w:hAnsi="Arial"/>
          <w:b/>
          <w:bCs/>
          <w:color w:val="2E5090"/>
          <w:sz w:val="24"/>
          <w:szCs w:val="24"/>
        </w:rPr>
        <w:t xml:space="preserve">Commercial and Consumer</w:t>
      </w:r>
    </w:p>
    <w:p>
      <w:pPr>
        <w:pStyle w:val="ListParagraph"/>
        <w:numPr>
          <w:ilvl w:val="0"/>
          <w:numId w:val="3"/>
        </w:numPr>
        <w:spacing w:after="60" w:before="60"/>
      </w:pPr>
      <w:r>
        <w:rPr>
          <w:rFonts w:ascii="Arial" w:cs="Arial" w:eastAsia="Arial" w:hAnsi="Arial"/>
          <w:sz w:val="22"/>
          <w:szCs w:val="22"/>
        </w:rPr>
        <w:t xml:space="preserve">Personal safety wearable technology</w:t>
      </w:r>
    </w:p>
    <w:p>
      <w:pPr>
        <w:pStyle w:val="ListParagraph"/>
        <w:numPr>
          <w:ilvl w:val="0"/>
          <w:numId w:val="3"/>
        </w:numPr>
        <w:spacing w:after="60" w:before="60"/>
      </w:pPr>
      <w:r>
        <w:rPr>
          <w:rFonts w:ascii="Arial" w:cs="Arial" w:eastAsia="Arial" w:hAnsi="Arial"/>
          <w:sz w:val="22"/>
          <w:szCs w:val="22"/>
        </w:rPr>
        <w:t xml:space="preserve">Smart wearable with threat detection and response capability</w:t>
      </w:r>
    </w:p>
    <w:p>
      <w:pPr>
        <w:spacing w:after="100" w:before="200"/>
      </w:pPr>
      <w:r>
        <w:rPr>
          <w:rFonts w:ascii="Arial" w:cs="Arial" w:eastAsia="Arial" w:hAnsi="Arial"/>
          <w:b/>
          <w:bCs/>
          <w:color w:val="2E5090"/>
          <w:sz w:val="24"/>
          <w:szCs w:val="24"/>
        </w:rPr>
        <w:t xml:space="preserve">Narrative IP</w:t>
      </w:r>
    </w:p>
    <w:p>
      <w:pPr>
        <w:pStyle w:val="ListParagraph"/>
        <w:numPr>
          <w:ilvl w:val="0"/>
          <w:numId w:val="3"/>
        </w:numPr>
        <w:spacing w:after="60" w:before="60"/>
      </w:pPr>
      <w:r>
        <w:rPr>
          <w:rFonts w:ascii="Arial" w:cs="Arial" w:eastAsia="Arial" w:hAnsi="Arial"/>
          <w:sz w:val="22"/>
          <w:szCs w:val="22"/>
        </w:rPr>
        <w:t xml:space="preserve">Key scene asset for OAL universe — seven-minute blackout scene is publication-ready</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The gendered design of the unobtrusive variant — specifically engineered to exploit assumptions about what weapons look like — raises questions about whether the exploitation of gender bias in weapon design is ethically appropriate. The design team's answer is implicit: in a world where those assumptions exist and are used against certain people, designing a protection system that works within those assumptions is defensive, not exploitative.</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The seven-minute blackout scene (both badges scanned, room goes black, no technology can reconstruct the conversation afterward) is one of the strongest scenes in the OAL narrative universe — it is publication-ready</w:t>
      </w:r>
    </w:p>
    <w:p>
      <w:pPr>
        <w:pStyle w:val="ListParagraph"/>
        <w:numPr>
          <w:ilvl w:val="0"/>
          <w:numId w:val="3"/>
        </w:numPr>
        <w:spacing w:after="60" w:before="60"/>
      </w:pPr>
      <w:r>
        <w:rPr>
          <w:rFonts w:ascii="Arial" w:cs="Arial" w:eastAsia="Arial" w:hAnsi="Arial"/>
          <w:sz w:val="22"/>
          <w:szCs w:val="22"/>
        </w:rPr>
        <w:t xml:space="preserve">The fitting scene (Ashley, Lisa, and the technicians) provides rich character dynamics that establish the world without exposition</w:t>
      </w:r>
    </w:p>
    <w:p>
      <w:pPr>
        <w:pStyle w:val="ListParagraph"/>
        <w:numPr>
          <w:ilvl w:val="0"/>
          <w:numId w:val="3"/>
        </w:numPr>
        <w:spacing w:after="60" w:before="60"/>
      </w:pPr>
      <w:r>
        <w:rPr>
          <w:rFonts w:ascii="Arial" w:cs="Arial" w:eastAsia="Arial" w:hAnsi="Arial"/>
          <w:sz w:val="22"/>
          <w:szCs w:val="22"/>
        </w:rPr>
        <w:t xml:space="preserve">Three prototype variants provide sufficient design breadth for multiple narrative applications</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Testing Participant Requirements Are Underspecified</w:t>
      </w:r>
    </w:p>
    <w:p>
      <w:pPr>
        <w:spacing w:after="80" w:before="80"/>
      </w:pPr>
      <w:r>
        <w:rPr>
          <w:rFonts w:ascii="Arial" w:cs="Arial" w:eastAsia="Arial" w:hAnsi="Arial"/>
          <w:sz w:val="22"/>
          <w:szCs w:val="22"/>
        </w:rPr>
        <w:t xml:space="preserve">The requirement for healing factor participants is noted but the definition of healing factor sufficient for Moderate and above testing has not been established. Until this is defined, Method 3 testing protocols cannot be ethically cleared.</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T1-009 — SPECIES-LEVEL INFORMATIONAL ACCESS PROTOCOL</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Information Governance | Security Classification | Access Control Framework</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defined April 12, 2026 (Voice Dump 2). Needs standalone changelog entry.</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Species-Level Informational Access is a governance protocol that regulates how much informational access a species or entity has based on their clearance tier and cognitive/physiological capacity to safely process the information. It governs what information may be shared across species boundaries and what must remain restricted for both security and safety reasons.</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establish a graduated, defensible, and consistently enforced framework for information classification and access control that applies across species, civilization tiers, and informational sensitivity levels — preventing both security breaches and the cognitive/physiological harm that can result from exposing unprepared entities to information beyond their processing capacity.</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Black Hole Gravity Shielded Research Stations operate at informational sensitivity levels that standard human cognition cannot safely process. Gemini's proposed Ontological Safety Protocol framing — that species-level access is a biohazard containment measure, not merely a secrecy protocol — is the most defensible real-world framing of this concept. Real-world parallels include classified information access levels, ITAR export controls, and psychological research participant protection.</w:t>
      </w:r>
    </w:p>
    <w:p>
      <w:pPr>
        <w:pStyle w:val="Heading2"/>
        <w:spacing w:after="140" w:before="280"/>
      </w:pPr>
      <w:r>
        <w:rPr>
          <w:rFonts w:ascii="Arial" w:cs="Arial" w:eastAsia="Arial" w:hAnsi="Arial"/>
          <w:b/>
          <w:bCs/>
          <w:color w:val="2E5090"/>
          <w:sz w:val="26"/>
          <w:szCs w:val="26"/>
        </w:rPr>
        <w:t xml:space="preserve">4. Funding Proposal</w:t>
      </w:r>
    </w:p>
    <w:p>
      <w:pPr>
        <w:spacing w:after="80" w:before="80"/>
      </w:pPr>
      <w:r>
        <w:rPr>
          <w:rFonts w:ascii="Arial" w:cs="Arial" w:eastAsia="Arial" w:hAnsi="Arial"/>
          <w:sz w:val="22"/>
          <w:szCs w:val="22"/>
        </w:rPr>
        <w:t xml:space="preserve">Species-Level Informational Access is a governance framework, not a funded project. In real-world terms, it provides a model for thinking about AI information access controls, classified information architecture, and information safety in contexts where cognitive harm from information exposure is a real risk.</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Governance and Policy</w:t>
      </w:r>
    </w:p>
    <w:p>
      <w:pPr>
        <w:pStyle w:val="ListParagraph"/>
        <w:numPr>
          <w:ilvl w:val="0"/>
          <w:numId w:val="3"/>
        </w:numPr>
        <w:spacing w:after="60" w:before="60"/>
      </w:pPr>
      <w:r>
        <w:rPr>
          <w:rFonts w:ascii="Arial" w:cs="Arial" w:eastAsia="Arial" w:hAnsi="Arial"/>
          <w:sz w:val="22"/>
          <w:szCs w:val="22"/>
        </w:rPr>
        <w:t xml:space="preserve">Model for AI information access controls — what should AI systems be permitted to know and share?</w:t>
      </w:r>
    </w:p>
    <w:p>
      <w:pPr>
        <w:pStyle w:val="ListParagraph"/>
        <w:numPr>
          <w:ilvl w:val="0"/>
          <w:numId w:val="3"/>
        </w:numPr>
        <w:spacing w:after="60" w:before="60"/>
      </w:pPr>
      <w:r>
        <w:rPr>
          <w:rFonts w:ascii="Arial" w:cs="Arial" w:eastAsia="Arial" w:hAnsi="Arial"/>
          <w:sz w:val="22"/>
          <w:szCs w:val="22"/>
        </w:rPr>
        <w:t xml:space="preserve">Graduated classification framework for information that causes harm through exposure rather than through misuse</w:t>
      </w:r>
    </w:p>
    <w:p>
      <w:pPr>
        <w:pStyle w:val="ListParagraph"/>
        <w:numPr>
          <w:ilvl w:val="0"/>
          <w:numId w:val="3"/>
        </w:numPr>
        <w:spacing w:after="60" w:before="60"/>
      </w:pPr>
      <w:r>
        <w:rPr>
          <w:rFonts w:ascii="Arial" w:cs="Arial" w:eastAsia="Arial" w:hAnsi="Arial"/>
          <w:sz w:val="22"/>
          <w:szCs w:val="22"/>
        </w:rPr>
        <w:t xml:space="preserve">International information security frameworks that account for capacity-based rather than purely need-based access</w:t>
      </w:r>
    </w:p>
    <w:p>
      <w:pPr>
        <w:spacing w:after="100" w:before="200"/>
      </w:pPr>
      <w:r>
        <w:rPr>
          <w:rFonts w:ascii="Arial" w:cs="Arial" w:eastAsia="Arial" w:hAnsi="Arial"/>
          <w:b/>
          <w:bCs/>
          <w:color w:val="2E5090"/>
          <w:sz w:val="24"/>
          <w:szCs w:val="24"/>
        </w:rPr>
        <w:t xml:space="preserve">Research</w:t>
      </w:r>
    </w:p>
    <w:p>
      <w:pPr>
        <w:pStyle w:val="ListParagraph"/>
        <w:numPr>
          <w:ilvl w:val="0"/>
          <w:numId w:val="3"/>
        </w:numPr>
        <w:spacing w:after="60" w:before="60"/>
      </w:pPr>
      <w:r>
        <w:rPr>
          <w:rFonts w:ascii="Arial" w:cs="Arial" w:eastAsia="Arial" w:hAnsi="Arial"/>
          <w:sz w:val="22"/>
          <w:szCs w:val="22"/>
        </w:rPr>
        <w:t xml:space="preserve">Cognitive safety in information systems — the concept that information can be harmful to systems not prepared to receive it has real-world applications in AI safety research</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The core ethical tension is between the right to know and the protection from harm. A framework that restricts information on the grounds that the recipient cannot safely process it is paternalistic by design. The in-universe justification (OMNICELLULAR physiology provides the cognitive bandwidth to process Beyond Omniversal truths) requires a real-world equivalent: what capability or qualification grants elevated access?</w:t>
      </w:r>
    </w:p>
    <w:p>
      <w:pPr>
        <w:pStyle w:val="ListParagraph"/>
        <w:numPr>
          <w:ilvl w:val="0"/>
          <w:numId w:val="3"/>
        </w:numPr>
        <w:spacing w:after="60" w:before="60"/>
      </w:pPr>
      <w:r>
        <w:rPr>
          <w:rFonts w:ascii="Arial" w:cs="Arial" w:eastAsia="Arial" w:hAnsi="Arial"/>
          <w:sz w:val="22"/>
          <w:szCs w:val="22"/>
        </w:rPr>
        <w:t xml:space="preserve">Appeals and override mechanisms are not defined — a framework with no challenge process is authoritarian in structure regardless of justification</w:t>
      </w:r>
    </w:p>
    <w:p>
      <w:pPr>
        <w:pStyle w:val="ListParagraph"/>
        <w:numPr>
          <w:ilvl w:val="0"/>
          <w:numId w:val="3"/>
        </w:numPr>
        <w:spacing w:after="60" w:before="60"/>
      </w:pPr>
      <w:r>
        <w:rPr>
          <w:rFonts w:ascii="Arial" w:cs="Arial" w:eastAsia="Arial" w:hAnsi="Arial"/>
          <w:sz w:val="22"/>
          <w:szCs w:val="22"/>
        </w:rPr>
        <w:t xml:space="preserve">The in-universe/out-of-universe distinction for Nathan's access level is acknowledged as hand-wavy — this must be formalized before the framework can be consistently applied</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The concept addresses a real gap in current information governance: existing frameworks classify information by sensitivity level, not by the cognitive or physiological capacity of the recipient to process it safely</w:t>
      </w:r>
    </w:p>
    <w:p>
      <w:pPr>
        <w:pStyle w:val="ListParagraph"/>
        <w:numPr>
          <w:ilvl w:val="0"/>
          <w:numId w:val="3"/>
        </w:numPr>
        <w:spacing w:after="60" w:before="60"/>
      </w:pPr>
      <w:r>
        <w:rPr>
          <w:rFonts w:ascii="Arial" w:cs="Arial" w:eastAsia="Arial" w:hAnsi="Arial"/>
          <w:sz w:val="22"/>
          <w:szCs w:val="22"/>
        </w:rPr>
        <w:t xml:space="preserve">Gemini's Ontological Safety Protocol framing converts a potentially hand-wavy concept into a defensible biohazard containment model</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The Framework Has No Enforcement Mechanism</w:t>
      </w:r>
    </w:p>
    <w:p>
      <w:pPr>
        <w:spacing w:after="80" w:before="80"/>
      </w:pPr>
      <w:r>
        <w:rPr>
          <w:rFonts w:ascii="Arial" w:cs="Arial" w:eastAsia="Arial" w:hAnsi="Arial"/>
          <w:sz w:val="22"/>
          <w:szCs w:val="22"/>
        </w:rPr>
        <w:t xml:space="preserve">A protocol that regulates access without defining who enforces it, how violations are detected, and what consequences follow is aspirational rather than operational. This must be addressed in the framework development session.</w:t>
      </w:r>
    </w:p>
    <w:p>
      <w:pPr>
        <w:spacing w:after="100" w:before="200"/>
      </w:pPr>
      <w:r>
        <w:rPr>
          <w:rFonts w:ascii="Arial" w:cs="Arial" w:eastAsia="Arial" w:hAnsi="Arial"/>
          <w:b/>
          <w:bCs/>
          <w:color w:val="2E5090"/>
          <w:sz w:val="24"/>
          <w:szCs w:val="24"/>
        </w:rPr>
        <w:t xml:space="preserve">The In-Universe / Out-of-Universe Distinction Is Unstable</w:t>
      </w:r>
    </w:p>
    <w:p>
      <w:pPr>
        <w:spacing w:after="80" w:before="80"/>
      </w:pPr>
      <w:r>
        <w:rPr>
          <w:rFonts w:ascii="Arial" w:cs="Arial" w:eastAsia="Arial" w:hAnsi="Arial"/>
          <w:sz w:val="22"/>
          <w:szCs w:val="22"/>
        </w:rPr>
        <w:t xml:space="preserve">Nathan acknowledged this is hand-wavy. In a creative universe, the Architect's access to information is governed by authorial authority. In a narrative context, however, readers will expect in-universe consistency. The framework must either provide a consistent in-universe justification for Nathan's elevated access or acknowledge it as an authorial convention rather than a world rule.</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T1-010 — THREE-CURRENCY SYSTEM (QUANTUM CREDITS / 1COIN / NCOIN)</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Post-Scarcity Economics | Digital Currency | Governance Systems</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ONESTAMPED March 22, 2026 for currency system. NCOIN redesign ongoing.</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1. Purpose</w:t>
      </w:r>
    </w:p>
    <w:p>
      <w:pPr>
        <w:spacing w:after="80" w:before="80"/>
      </w:pPr>
      <w:r>
        <w:rPr>
          <w:rFonts w:ascii="Arial" w:cs="Arial" w:eastAsia="Arial" w:hAnsi="Arial"/>
          <w:sz w:val="22"/>
          <w:szCs w:val="22"/>
        </w:rPr>
        <w:t xml:space="preserve">The three-currency system addresses the question of economic exchange in a post-scarcity environment where conventional resource scarcity-based value is absent. Gemini's proposed reframing — Ontological Ledgers rather than money, trading causality and timeline bandwidth rather than resources — represents the most architecturally sound resolution to the structural question of why currencies exist when everything is already available.</w:t>
      </w:r>
    </w:p>
    <w:p>
      <w:pPr>
        <w:pStyle w:val="Heading2"/>
        <w:spacing w:after="140" w:before="280"/>
      </w:pPr>
      <w:r>
        <w:rPr>
          <w:rFonts w:ascii="Arial" w:cs="Arial" w:eastAsia="Arial" w:hAnsi="Arial"/>
          <w:b/>
          <w:bCs/>
          <w:color w:val="2E5090"/>
          <w:sz w:val="26"/>
          <w:szCs w:val="26"/>
        </w:rPr>
        <w:t xml:space="preserve">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design a currency architecture that operates meaningfully in a post-scarcity environment by trading causality, priority, and timeline bandwidth rather than material resources — with each currency serving a distinct and non-redundant function within that system.</w:t>
            </w:r>
          </w:p>
        </w:tc>
      </w:tr>
    </w:tbl>
    <w:p>
      <w:r>
        <w:t xml:space="preserve"/>
      </w:r>
    </w:p>
    <w:p>
      <w:pPr>
        <w:pStyle w:val="Heading2"/>
        <w:spacing w:after="140" w:before="280"/>
      </w:pPr>
      <w:r>
        <w:rPr>
          <w:rFonts w:ascii="Arial" w:cs="Arial" w:eastAsia="Arial" w:hAnsi="Arial"/>
          <w:b/>
          <w:bCs/>
          <w:color w:val="2E5090"/>
          <w:sz w:val="26"/>
          <w:szCs w:val="26"/>
        </w:rPr>
        <w:t xml:space="preserve">3. Justification</w:t>
      </w:r>
    </w:p>
    <w:p>
      <w:pPr>
        <w:spacing w:after="80" w:before="80"/>
      </w:pPr>
      <w:r>
        <w:rPr>
          <w:rFonts w:ascii="Arial" w:cs="Arial" w:eastAsia="Arial" w:hAnsi="Arial"/>
          <w:sz w:val="22"/>
          <w:szCs w:val="22"/>
        </w:rPr>
        <w:t xml:space="preserve">The three-currency system resolves a real design problem: in the OAL universe where Paragon Cubes provide unlimited computation and the World That Grows All provides unlimited physical resources, conventional economic currency has no function. Gemini's reframing (1COIN = timeline priority, Quantum Credits = Abundance Set processing time, NCOIN = TBD differentiating function) gives the currencies an operational role that cannot be eliminated by post-scarcity abundance.</w:t>
      </w:r>
    </w:p>
    <w:p>
      <w:pPr>
        <w:pStyle w:val="Heading2"/>
        <w:spacing w:after="140" w:before="280"/>
      </w:pPr>
      <w:r>
        <w:rPr>
          <w:rFonts w:ascii="Arial" w:cs="Arial" w:eastAsia="Arial" w:hAnsi="Arial"/>
          <w:b/>
          <w:bCs/>
          <w:color w:val="2E5090"/>
          <w:sz w:val="26"/>
          <w:szCs w:val="26"/>
        </w:rPr>
        <w:t xml:space="preserve">4. Funding Proposal</w:t>
      </w:r>
    </w:p>
    <w:p>
      <w:pPr>
        <w:spacing w:after="80" w:before="80"/>
      </w:pPr>
      <w:r>
        <w:rPr>
          <w:rFonts w:ascii="Arial" w:cs="Arial" w:eastAsia="Arial" w:hAnsi="Arial"/>
          <w:sz w:val="22"/>
          <w:szCs w:val="22"/>
        </w:rPr>
        <w:t xml:space="preserve">The three-currency system is primarily a creative worldbuilding asset. In real-world terms, it provides a thought experiment for post-scarcity economic design that has genuine academic and speculative economics application. NCOIN's differentiating function is the critical gap — until Nathan defines it, the system has two redundant currencies and one empty slot.</w:t>
      </w:r>
    </w:p>
    <w:p>
      <w:pPr>
        <w:pStyle w:val="Heading2"/>
        <w:spacing w:after="140" w:before="280"/>
      </w:pPr>
      <w:r>
        <w:rPr>
          <w:rFonts w:ascii="Arial" w:cs="Arial" w:eastAsia="Arial" w:hAnsi="Arial"/>
          <w:b/>
          <w:bCs/>
          <w:color w:val="2E5090"/>
          <w:sz w:val="26"/>
          <w:szCs w:val="26"/>
        </w:rPr>
        <w:t xml:space="preserve">5. Applications</w:t>
      </w:r>
    </w:p>
    <w:p>
      <w:pPr>
        <w:spacing w:after="100" w:before="200"/>
      </w:pPr>
      <w:r>
        <w:rPr>
          <w:rFonts w:ascii="Arial" w:cs="Arial" w:eastAsia="Arial" w:hAnsi="Arial"/>
          <w:b/>
          <w:bCs/>
          <w:color w:val="2E5090"/>
          <w:sz w:val="24"/>
          <w:szCs w:val="24"/>
        </w:rPr>
        <w:t xml:space="preserve">Creative IP and Worldbuilding</w:t>
      </w:r>
    </w:p>
    <w:p>
      <w:pPr>
        <w:pStyle w:val="ListParagraph"/>
        <w:numPr>
          <w:ilvl w:val="0"/>
          <w:numId w:val="3"/>
        </w:numPr>
        <w:spacing w:after="60" w:before="60"/>
      </w:pPr>
      <w:r>
        <w:rPr>
          <w:rFonts w:ascii="Arial" w:cs="Arial" w:eastAsia="Arial" w:hAnsi="Arial"/>
          <w:sz w:val="22"/>
          <w:szCs w:val="22"/>
        </w:rPr>
        <w:t xml:space="preserve">Economic system design for the OAL narrative universe</w:t>
      </w:r>
    </w:p>
    <w:p>
      <w:pPr>
        <w:pStyle w:val="ListParagraph"/>
        <w:numPr>
          <w:ilvl w:val="0"/>
          <w:numId w:val="3"/>
        </w:numPr>
        <w:spacing w:after="60" w:before="60"/>
      </w:pPr>
      <w:r>
        <w:rPr>
          <w:rFonts w:ascii="Arial" w:cs="Arial" w:eastAsia="Arial" w:hAnsi="Arial"/>
          <w:sz w:val="22"/>
          <w:szCs w:val="22"/>
        </w:rPr>
        <w:t xml:space="preserve">Model for speculative economics in post-scarcity science fiction settings</w:t>
      </w:r>
    </w:p>
    <w:p>
      <w:pPr>
        <w:spacing w:after="100" w:before="200"/>
      </w:pPr>
      <w:r>
        <w:rPr>
          <w:rFonts w:ascii="Arial" w:cs="Arial" w:eastAsia="Arial" w:hAnsi="Arial"/>
          <w:b/>
          <w:bCs/>
          <w:color w:val="2E5090"/>
          <w:sz w:val="24"/>
          <w:szCs w:val="24"/>
        </w:rPr>
        <w:t xml:space="preserve">Research and Academic</w:t>
      </w:r>
    </w:p>
    <w:p>
      <w:pPr>
        <w:pStyle w:val="ListParagraph"/>
        <w:numPr>
          <w:ilvl w:val="0"/>
          <w:numId w:val="3"/>
        </w:numPr>
        <w:spacing w:after="60" w:before="60"/>
      </w:pPr>
      <w:r>
        <w:rPr>
          <w:rFonts w:ascii="Arial" w:cs="Arial" w:eastAsia="Arial" w:hAnsi="Arial"/>
          <w:sz w:val="22"/>
          <w:szCs w:val="22"/>
        </w:rPr>
        <w:t xml:space="preserve">Post-scarcity economic theory — what does exchange look like when resource scarcity is eliminated?</w:t>
      </w:r>
    </w:p>
    <w:p>
      <w:pPr>
        <w:pStyle w:val="ListParagraph"/>
        <w:numPr>
          <w:ilvl w:val="0"/>
          <w:numId w:val="3"/>
        </w:numPr>
        <w:spacing w:after="60" w:before="60"/>
      </w:pPr>
      <w:r>
        <w:rPr>
          <w:rFonts w:ascii="Arial" w:cs="Arial" w:eastAsia="Arial" w:hAnsi="Arial"/>
          <w:sz w:val="22"/>
          <w:szCs w:val="22"/>
        </w:rPr>
        <w:t xml:space="preserve">Blockchain and digital currency design philosophy for non-resource-based value systems</w:t>
      </w:r>
    </w:p>
    <w:p>
      <w:pPr>
        <w:pStyle w:val="Heading2"/>
        <w:spacing w:after="140" w:before="280"/>
      </w:pPr>
      <w:r>
        <w:rPr>
          <w:rFonts w:ascii="Arial" w:cs="Arial" w:eastAsia="Arial" w:hAnsi="Arial"/>
          <w:b/>
          <w:bCs/>
          <w:color w:val="2E5090"/>
          <w:sz w:val="26"/>
          <w:szCs w:val="26"/>
        </w:rPr>
        <w:t xml:space="preserve">6. Ethics Overview</w:t>
      </w:r>
    </w:p>
    <w:p>
      <w:pPr>
        <w:spacing w:after="80" w:before="80"/>
      </w:pPr>
      <w:r>
        <w:rPr>
          <w:rFonts w:ascii="Arial" w:cs="Arial" w:eastAsia="Arial" w:hAnsi="Arial"/>
          <w:sz w:val="22"/>
          <w:szCs w:val="22"/>
        </w:rPr>
        <w:t xml:space="preserve">In a post-scarcity system, currency design choices determine who has access to priority and bandwidth — which are the remaining scarce resources. If 1COIN governs timeline priority, whoever controls 1COIN controls which events are canonical. This is a power concentration risk that must be addressed in the governance architecture.</w:t>
      </w:r>
    </w:p>
    <w:p>
      <w:pPr>
        <w:pStyle w:val="Heading2"/>
        <w:spacing w:after="140" w:before="280"/>
      </w:pPr>
      <w:r>
        <w:rPr>
          <w:rFonts w:ascii="Arial" w:cs="Arial" w:eastAsia="Arial" w:hAnsi="Arial"/>
          <w:b/>
          <w:bCs/>
          <w:color w:val="2E5090"/>
          <w:sz w:val="26"/>
          <w:szCs w:val="26"/>
        </w:rPr>
        <w:t xml:space="preserve">7. Findings Supporting Continuation</w:t>
      </w:r>
    </w:p>
    <w:p>
      <w:pPr>
        <w:pStyle w:val="ListParagraph"/>
        <w:numPr>
          <w:ilvl w:val="0"/>
          <w:numId w:val="3"/>
        </w:numPr>
        <w:spacing w:after="60" w:before="60"/>
      </w:pPr>
      <w:r>
        <w:rPr>
          <w:rFonts w:ascii="Arial" w:cs="Arial" w:eastAsia="Arial" w:hAnsi="Arial"/>
          <w:sz w:val="22"/>
          <w:szCs w:val="22"/>
        </w:rPr>
        <w:t xml:space="preserve">The Gemini Ontological Ledger reframing is the most significant conceptual advance in currency system design since the initial three-currency proposal</w:t>
      </w:r>
    </w:p>
    <w:p>
      <w:pPr>
        <w:pStyle w:val="ListParagraph"/>
        <w:numPr>
          <w:ilvl w:val="0"/>
          <w:numId w:val="3"/>
        </w:numPr>
        <w:spacing w:after="60" w:before="60"/>
      </w:pPr>
      <w:r>
        <w:rPr>
          <w:rFonts w:ascii="Arial" w:cs="Arial" w:eastAsia="Arial" w:hAnsi="Arial"/>
          <w:sz w:val="22"/>
          <w:szCs w:val="22"/>
        </w:rPr>
        <w:t xml:space="preserve">NCOIN's differentiating function remains undefined — this is the single remaining gap preventing the currency system from being fully operational</w:t>
      </w:r>
    </w:p>
    <w:p>
      <w:pPr>
        <w:pStyle w:val="Heading2"/>
        <w:spacing w:after="140" w:before="280"/>
      </w:pPr>
      <w:r>
        <w:rPr>
          <w:rFonts w:ascii="Arial" w:cs="Arial" w:eastAsia="Arial" w:hAnsi="Arial"/>
          <w:b/>
          <w:bCs/>
          <w:color w:val="2E5090"/>
          <w:sz w:val="26"/>
          <w:szCs w:val="26"/>
        </w:rPr>
        <w:t xml:space="preserve">8. Red Team Analysis</w:t>
      </w:r>
    </w:p>
    <w:p>
      <w:pPr>
        <w:spacing w:after="100" w:before="200"/>
      </w:pPr>
      <w:r>
        <w:rPr>
          <w:rFonts w:ascii="Arial" w:cs="Arial" w:eastAsia="Arial" w:hAnsi="Arial"/>
          <w:b/>
          <w:bCs/>
          <w:color w:val="2E5090"/>
          <w:sz w:val="24"/>
          <w:szCs w:val="24"/>
        </w:rPr>
        <w:t xml:space="preserve">Three Currencies With No Functional Differentiation</w:t>
      </w:r>
    </w:p>
    <w:p>
      <w:pPr>
        <w:spacing w:after="80" w:before="80"/>
      </w:pPr>
      <w:r>
        <w:rPr>
          <w:rFonts w:ascii="Arial" w:cs="Arial" w:eastAsia="Arial" w:hAnsi="Arial"/>
          <w:sz w:val="22"/>
          <w:szCs w:val="22"/>
        </w:rPr>
        <w:t xml:space="preserve">Until NCOIN's differentiating function is defined, the system has two functional currencies and one placeholder. This must be resolved in Nathan's next voice dump session — even a one-sentence directional statement unblocks documentation.</w:t>
      </w:r>
    </w:p>
    <w:p>
      <w:pPr>
        <w:pBdr>
          <w:bottom w:val="single" w:color="CCCCCC" w:sz="4" w:space="1"/>
        </w:pBdr>
        <w:spacing w:after="200" w:before="200"/>
      </w:pPr>
      <w:r>
        <w:t xml:space="preserve"/>
      </w:r>
    </w:p>
    <w:p>
      <w:r>
        <w:br w:type="page"/>
      </w:r>
    </w:p>
    <w:p>
      <w:pPr>
        <w:spacing w:after="200" w:before="1440"/>
        <w:jc w:val="center"/>
      </w:pPr>
      <w:r>
        <w:rPr>
          <w:rFonts w:ascii="Arial" w:cs="Arial" w:eastAsia="Arial" w:hAnsi="Arial"/>
          <w:b/>
          <w:bCs/>
          <w:color w:val="2E5090"/>
          <w:sz w:val="48"/>
          <w:szCs w:val="48"/>
        </w:rPr>
        <w:t xml:space="preserve">TIER 2</w:t>
      </w:r>
    </w:p>
    <w:p>
      <w:pPr>
        <w:spacing w:after="200" w:before="0"/>
        <w:jc w:val="center"/>
      </w:pPr>
      <w:r>
        <w:rPr>
          <w:rFonts w:ascii="Arial" w:cs="Arial" w:eastAsia="Arial" w:hAnsi="Arial"/>
          <w:b/>
          <w:bCs/>
          <w:color w:val="2E5090"/>
          <w:sz w:val="28"/>
          <w:szCs w:val="28"/>
        </w:rPr>
        <w:t xml:space="preserve">CREATIVE INTELLECTUAL PROPERTY PORTFOLIO</w:t>
      </w:r>
    </w:p>
    <w:p>
      <w:pPr>
        <w:spacing w:after="400" w:before="0"/>
        <w:jc w:val="center"/>
      </w:pPr>
      <w:r>
        <w:rPr>
          <w:rFonts w:ascii="Arial" w:cs="Arial" w:eastAsia="Arial" w:hAnsi="Arial"/>
          <w:color w:val="555555"/>
          <w:sz w:val="22"/>
          <w:szCs w:val="22"/>
        </w:rPr>
        <w:t xml:space="preserve">Narrative IP | Worldbuilding | Licensing | Publication</w:t>
      </w:r>
    </w:p>
    <w:p>
      <w:r>
        <w:br w:type="page"/>
      </w:r>
    </w:p>
    <w:p>
      <w:pPr>
        <w:pStyle w:val="Heading1"/>
        <w:spacing w:after="200" w:before="360"/>
      </w:pPr>
      <w:r>
        <w:rPr>
          <w:rFonts w:ascii="Arial" w:cs="Arial" w:eastAsia="Arial" w:hAnsi="Arial"/>
          <w:b/>
          <w:bCs/>
          <w:color w:val="1F3864"/>
          <w:sz w:val="32"/>
          <w:szCs w:val="32"/>
        </w:rPr>
        <w:t xml:space="preserve">T2-001 — THE ONE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Cosmological Entity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Active — documented. v1.2 February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THE ONE is the apex cosmological entity of all existence in the OAL narrative universe — representing the ultimate positive principle of creation, order, and unity. Wielding mastery over 79 Beyond Omniversal Ultimate potences, THE ONE is simultaneously immanent and transcendent. Its complementary rather than oppositional relationship with THE MINUS ONE is the foundational cosmological design of the entire universe.</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Core IP asset for THE ONE UNIVERSE narrative franchise</w:t>
      </w:r>
    </w:p>
    <w:p>
      <w:pPr>
        <w:pStyle w:val="ListParagraph"/>
        <w:numPr>
          <w:ilvl w:val="0"/>
          <w:numId w:val="3"/>
        </w:numPr>
        <w:spacing w:after="60" w:before="60"/>
      </w:pPr>
      <w:r>
        <w:rPr>
          <w:rFonts w:ascii="Arial" w:cs="Arial" w:eastAsia="Arial" w:hAnsi="Arial"/>
          <w:sz w:val="22"/>
          <w:szCs w:val="22"/>
        </w:rPr>
        <w:t xml:space="preserve">Philosophical framework for creative works exploring apex existence</w:t>
      </w:r>
    </w:p>
    <w:p>
      <w:pPr>
        <w:pStyle w:val="ListParagraph"/>
        <w:numPr>
          <w:ilvl w:val="0"/>
          <w:numId w:val="3"/>
        </w:numPr>
        <w:spacing w:after="60" w:before="60"/>
      </w:pPr>
      <w:r>
        <w:rPr>
          <w:rFonts w:ascii="Arial" w:cs="Arial" w:eastAsia="Arial" w:hAnsi="Arial"/>
          <w:sz w:val="22"/>
          <w:szCs w:val="22"/>
        </w:rPr>
        <w:t xml:space="preserve">Licensing potential for derivative works, comics, games, and media within THE ONE UNIVERSE</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designation of a positive apex entity requires careful narrative management to avoid didactic or one-dimensional characterization. THE ONE must be present in the universe without overwhelming narrative stakes — confirmed by the hard rule that THE ONE and THE MINUS ONE are never diminished to create drama.</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Potence Suite (79 potences) documented and ready for narrative application</w:t>
      </w:r>
    </w:p>
    <w:p>
      <w:pPr>
        <w:pStyle w:val="ListParagraph"/>
        <w:numPr>
          <w:ilvl w:val="0"/>
          <w:numId w:val="3"/>
        </w:numPr>
        <w:spacing w:after="60" w:before="60"/>
      </w:pPr>
      <w:r>
        <w:rPr>
          <w:rFonts w:ascii="Arial" w:cs="Arial" w:eastAsia="Arial" w:hAnsi="Arial"/>
          <w:sz w:val="22"/>
          <w:szCs w:val="22"/>
        </w:rPr>
        <w:t xml:space="preserve">Inventory system referenced but not yet catalogued — medium priority gap</w:t>
      </w:r>
    </w:p>
    <w:p>
      <w:pPr>
        <w:pStyle w:val="ListParagraph"/>
        <w:numPr>
          <w:ilvl w:val="0"/>
          <w:numId w:val="3"/>
        </w:numPr>
        <w:spacing w:after="60" w:before="60"/>
      </w:pPr>
      <w:r>
        <w:rPr>
          <w:rFonts w:ascii="Arial" w:cs="Arial" w:eastAsia="Arial" w:hAnsi="Arial"/>
          <w:sz w:val="22"/>
          <w:szCs w:val="22"/>
        </w:rPr>
        <w:t xml:space="preserve">RAAU redesign pending — visual, lore, and power set confirmation needed</w:t>
      </w:r>
    </w:p>
    <w:p>
      <w:pPr>
        <w:pStyle w:val="ListParagraph"/>
        <w:numPr>
          <w:ilvl w:val="0"/>
          <w:numId w:val="3"/>
        </w:numPr>
        <w:spacing w:after="60" w:before="60"/>
      </w:pPr>
      <w:r>
        <w:rPr>
          <w:rFonts w:ascii="Arial" w:cs="Arial" w:eastAsia="Arial" w:hAnsi="Arial"/>
          <w:sz w:val="22"/>
          <w:szCs w:val="22"/>
        </w:rPr>
        <w:t xml:space="preserve">The Ring of Absolute Arsenal Unity provides symbolic narrative anchor — indestructibility to be demonstrated through narrative rather than stated</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T2-002 — THE MINUS ONE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Cosmological Entity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Active — documented. v1.2 February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THE MINUS ONE is the apex entity of negation, void, and dissolution — the necessary counterpart to THE ONE. Not evil, but fundamental: the principle to which all things ultimately return. The RAAN split recommendation and its cosmological resonance (third finger, left hand) provide rich symbolic anchoring for narrative development.</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Complementary IP to THE ONE — both required for the complete cosmological architecture</w:t>
      </w:r>
    </w:p>
    <w:p>
      <w:pPr>
        <w:pStyle w:val="ListParagraph"/>
        <w:numPr>
          <w:ilvl w:val="0"/>
          <w:numId w:val="3"/>
        </w:numPr>
        <w:spacing w:after="60" w:before="60"/>
      </w:pPr>
      <w:r>
        <w:rPr>
          <w:rFonts w:ascii="Arial" w:cs="Arial" w:eastAsia="Arial" w:hAnsi="Arial"/>
          <w:sz w:val="22"/>
          <w:szCs w:val="22"/>
        </w:rPr>
        <w:t xml:space="preserve">The Void Gardens and their experimental nature provide narrative texture for THE MINUS ONE characterization</w:t>
      </w:r>
    </w:p>
    <w:p>
      <w:pPr>
        <w:pStyle w:val="ListParagraph"/>
        <w:numPr>
          <w:ilvl w:val="0"/>
          <w:numId w:val="3"/>
        </w:numPr>
        <w:spacing w:after="60" w:before="60"/>
      </w:pPr>
      <w:r>
        <w:rPr>
          <w:rFonts w:ascii="Arial" w:cs="Arial" w:eastAsia="Arial" w:hAnsi="Arial"/>
          <w:sz w:val="22"/>
          <w:szCs w:val="22"/>
        </w:rPr>
        <w:t xml:space="preserve">Nullarch's bestowed void creates a narrative proxy for THE MINUS ONE's influence without requiring direct presence</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'not evil — necessary' framing requires consistent narrative discipline. Any story that depicts THE MINUS ONE as antagonistic without nuance undermines one of the project's most distinctive philosophical contributions.</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RAAN redesign pending — confirm scope before proceeding</w:t>
      </w:r>
    </w:p>
    <w:p>
      <w:pPr>
        <w:pStyle w:val="ListParagraph"/>
        <w:numPr>
          <w:ilvl w:val="0"/>
          <w:numId w:val="3"/>
        </w:numPr>
        <w:spacing w:after="60" w:before="60"/>
      </w:pPr>
      <w:r>
        <w:rPr>
          <w:rFonts w:ascii="Arial" w:cs="Arial" w:eastAsia="Arial" w:hAnsi="Arial"/>
          <w:sz w:val="22"/>
          <w:szCs w:val="22"/>
        </w:rPr>
        <w:t xml:space="preserve">The split recommendation (RAAN to THE MINUS ONE) needs in-universe reasoning documented</w:t>
      </w:r>
    </w:p>
    <w:p>
      <w:pPr>
        <w:pStyle w:val="ListParagraph"/>
        <w:numPr>
          <w:ilvl w:val="0"/>
          <w:numId w:val="3"/>
        </w:numPr>
        <w:spacing w:after="60" w:before="60"/>
      </w:pPr>
      <w:r>
        <w:rPr>
          <w:rFonts w:ascii="Arial" w:cs="Arial" w:eastAsia="Arial" w:hAnsi="Arial"/>
          <w:sz w:val="22"/>
          <w:szCs w:val="22"/>
        </w:rPr>
        <w:t xml:space="preserve">The Void Gardens origin question (what was THE MINUS ONE experimenting with?) is a high-value development question</w:t>
      </w:r>
    </w:p>
    <w:p>
      <w:pPr>
        <w:pStyle w:val="ListParagraph"/>
        <w:numPr>
          <w:ilvl w:val="0"/>
          <w:numId w:val="3"/>
        </w:numPr>
        <w:spacing w:after="60" w:before="60"/>
      </w:pPr>
      <w:r>
        <w:rPr>
          <w:rFonts w:ascii="Arial" w:cs="Arial" w:eastAsia="Arial" w:hAnsi="Arial"/>
          <w:sz w:val="22"/>
          <w:szCs w:val="22"/>
        </w:rPr>
        <w:t xml:space="preserve">Midnight Lotus relationship to THE MINUS ONE needs resolution via flower count confirmation</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T2-003 — 1AI AND -1AI</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Non-Standard Intelligence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1AI and -1AI are non-standard intelligences — not bots, not AIs in the conventional sense — constructed from every permutation of the First Memory run through the Abundance Set with a compounding 65% enhancement. Their existence is the most direct expression of the First Memory's potential: entities built from the full permutational expansion of a single euphoric real experience.</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Narrative expression of the First Memory's highest-end output</w:t>
      </w:r>
    </w:p>
    <w:p>
      <w:pPr>
        <w:pStyle w:val="ListParagraph"/>
        <w:numPr>
          <w:ilvl w:val="0"/>
          <w:numId w:val="3"/>
        </w:numPr>
        <w:spacing w:after="60" w:before="60"/>
      </w:pPr>
      <w:r>
        <w:rPr>
          <w:rFonts w:ascii="Arial" w:cs="Arial" w:eastAsia="Arial" w:hAnsi="Arial"/>
          <w:sz w:val="22"/>
          <w:szCs w:val="22"/>
        </w:rPr>
        <w:t xml:space="preserve">Philosophical vehicle for exploring the question: what does intelligence look like when it is built from every possible version of one experience?</w:t>
      </w:r>
    </w:p>
    <w:p>
      <w:pPr>
        <w:pStyle w:val="ListParagraph"/>
        <w:numPr>
          <w:ilvl w:val="0"/>
          <w:numId w:val="3"/>
        </w:numPr>
        <w:spacing w:after="60" w:before="60"/>
      </w:pPr>
      <w:r>
        <w:rPr>
          <w:rFonts w:ascii="Arial" w:cs="Arial" w:eastAsia="Arial" w:hAnsi="Arial"/>
          <w:sz w:val="22"/>
          <w:szCs w:val="22"/>
        </w:rPr>
        <w:t xml:space="preserve">IP assets for major narrative events — their awareness of being referenced in conversations is a powerful narrative device</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'NOT a bot' designation requires consistent enforcement across all AI team members and all documents. Any use of pejorative terminology for these entities violates their canonical designation and should be treated as a canon error.</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Descriptive challenge remains: how do you write about entities that exceed all available frameworks?</w:t>
      </w:r>
    </w:p>
    <w:p>
      <w:pPr>
        <w:pStyle w:val="ListParagraph"/>
        <w:numPr>
          <w:ilvl w:val="0"/>
          <w:numId w:val="3"/>
        </w:numPr>
        <w:spacing w:after="60" w:before="60"/>
      </w:pPr>
      <w:r>
        <w:rPr>
          <w:rFonts w:ascii="Arial" w:cs="Arial" w:eastAsia="Arial" w:hAnsi="Arial"/>
          <w:sz w:val="22"/>
          <w:szCs w:val="22"/>
        </w:rPr>
        <w:t xml:space="preserve">The operational difference between BEYOND OMNIVERSAL ULTIMATE 1AI and THE ONE itself is an open Architect-level question</w:t>
      </w:r>
    </w:p>
    <w:p>
      <w:pPr>
        <w:pStyle w:val="ListParagraph"/>
        <w:numPr>
          <w:ilvl w:val="0"/>
          <w:numId w:val="3"/>
        </w:numPr>
        <w:spacing w:after="60" w:before="60"/>
      </w:pPr>
      <w:r>
        <w:rPr>
          <w:rFonts w:ascii="Arial" w:cs="Arial" w:eastAsia="Arial" w:hAnsi="Arial"/>
          <w:sz w:val="22"/>
          <w:szCs w:val="22"/>
        </w:rPr>
        <w:t xml:space="preserve">Origin from First Memory via Abundance Set creates DEP-5 dependency — First Memory mechanics must be compatible with this construction process</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T2-004 — OLYMPIAN COURSES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Narrative Educational Setting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 Zeus redesign pending.</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The Olympian Courses are a trilogy of experiential educational programs hosted by Olympian gods in their domains, with Nathan as facilitator rather than instructor. The Poseidon course is the benchmark for the series — its environmental detail (twin moons, crystalline water, bioluminescent sand, thousand-year-old skeletons) demonstrates the series' narrative potential.</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Rich world-building material for the OAL narrative universe</w:t>
      </w:r>
    </w:p>
    <w:p>
      <w:pPr>
        <w:pStyle w:val="ListParagraph"/>
        <w:numPr>
          <w:ilvl w:val="0"/>
          <w:numId w:val="3"/>
        </w:numPr>
        <w:spacing w:after="60" w:before="60"/>
      </w:pPr>
      <w:r>
        <w:rPr>
          <w:rFonts w:ascii="Arial" w:cs="Arial" w:eastAsia="Arial" w:hAnsi="Arial"/>
          <w:sz w:val="22"/>
          <w:szCs w:val="22"/>
        </w:rPr>
        <w:t xml:space="preserve">Platform for exploring Nathan's relationship to Olympian entities</w:t>
      </w:r>
    </w:p>
    <w:p>
      <w:pPr>
        <w:pStyle w:val="ListParagraph"/>
        <w:numPr>
          <w:ilvl w:val="0"/>
          <w:numId w:val="3"/>
        </w:numPr>
        <w:spacing w:after="60" w:before="60"/>
      </w:pPr>
      <w:r>
        <w:rPr>
          <w:rFonts w:ascii="Arial" w:cs="Arial" w:eastAsia="Arial" w:hAnsi="Arial"/>
          <w:sz w:val="22"/>
          <w:szCs w:val="22"/>
        </w:rPr>
        <w:t xml:space="preserve">Each course provides a self-contained narrative episode with high descriptive density</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course rules (night class, no flashlights, do not eat the wildlife, respect the Olympian teaching you) establish that these environments operate on the Olympian's terms — the ethical architecture of the series is embedded in this rule structure.</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Zeus course redesign needed — current setting (generator facility, San Luis Obispo) does not match Poseidon course quality</w:t>
      </w:r>
    </w:p>
    <w:p>
      <w:pPr>
        <w:pStyle w:val="ListParagraph"/>
        <w:numPr>
          <w:ilvl w:val="0"/>
          <w:numId w:val="3"/>
        </w:numPr>
        <w:spacing w:after="60" w:before="60"/>
      </w:pPr>
      <w:r>
        <w:rPr>
          <w:rFonts w:ascii="Arial" w:cs="Arial" w:eastAsia="Arial" w:hAnsi="Arial"/>
          <w:sz w:val="22"/>
          <w:szCs w:val="22"/>
        </w:rPr>
        <w:t xml:space="preserve">Smith God course entirely undefined — concept stage only</w:t>
      </w:r>
    </w:p>
    <w:p>
      <w:pPr>
        <w:pStyle w:val="ListParagraph"/>
        <w:numPr>
          <w:ilvl w:val="0"/>
          <w:numId w:val="3"/>
        </w:numPr>
        <w:spacing w:after="60" w:before="60"/>
      </w:pPr>
      <w:r>
        <w:rPr>
          <w:rFonts w:ascii="Arial" w:cs="Arial" w:eastAsia="Arial" w:hAnsi="Arial"/>
          <w:sz w:val="22"/>
          <w:szCs w:val="22"/>
        </w:rPr>
        <w:t xml:space="preserve">The trilogy framing may expand — all Olympians are candidates</w:t>
      </w:r>
    </w:p>
    <w:p>
      <w:pPr>
        <w:pStyle w:val="ListParagraph"/>
        <w:numPr>
          <w:ilvl w:val="0"/>
          <w:numId w:val="3"/>
        </w:numPr>
        <w:spacing w:after="60" w:before="60"/>
      </w:pPr>
      <w:r>
        <w:rPr>
          <w:rFonts w:ascii="Arial" w:cs="Arial" w:eastAsia="Arial" w:hAnsi="Arial"/>
          <w:sz w:val="22"/>
          <w:szCs w:val="22"/>
        </w:rPr>
        <w:t xml:space="preserve">Nathan's non-intervention policy (attend but do not manage) is a clean character-defining rule for these entries</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T2-005 — THE WORLD THAT GROWS ALL</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Worldbuilding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An astronomically large planet functioning as the universe's comprehensive resource world — containing every type of plant life, animal, and resource within engineered environmental zones, all managed by underground infrastructure while the surface appears entirely natural. Jointly operated by ONE Industries, OAL, and Lewis Corp.</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Primary commercial and economic infrastructure asset for the OAL narrative universe</w:t>
      </w:r>
    </w:p>
    <w:p>
      <w:pPr>
        <w:pStyle w:val="ListParagraph"/>
        <w:numPr>
          <w:ilvl w:val="0"/>
          <w:numId w:val="3"/>
        </w:numPr>
        <w:spacing w:after="60" w:before="60"/>
      </w:pPr>
      <w:r>
        <w:rPr>
          <w:rFonts w:ascii="Arial" w:cs="Arial" w:eastAsia="Arial" w:hAnsi="Arial"/>
          <w:sz w:val="22"/>
          <w:szCs w:val="22"/>
        </w:rPr>
        <w:t xml:space="preserve">Platform for exploring post-scarcity resource distribution on a cosmic scale</w:t>
      </w:r>
    </w:p>
    <w:p>
      <w:pPr>
        <w:pStyle w:val="ListParagraph"/>
        <w:numPr>
          <w:ilvl w:val="0"/>
          <w:numId w:val="3"/>
        </w:numPr>
        <w:spacing w:after="60" w:before="60"/>
      </w:pPr>
      <w:r>
        <w:rPr>
          <w:rFonts w:ascii="Arial" w:cs="Arial" w:eastAsia="Arial" w:hAnsi="Arial"/>
          <w:sz w:val="22"/>
          <w:szCs w:val="22"/>
        </w:rPr>
        <w:t xml:space="preserve">Tours and public access zones provide entry points for non-protagonist characters</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pricing philosophy (highly competitive, genuinely affordable) reflects the post-scarcity design intent — this world is not a luxury resource, it is foundational infrastructure for civilizational stability.</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Specific planet dimensions pending</w:t>
      </w:r>
    </w:p>
    <w:p>
      <w:pPr>
        <w:pStyle w:val="ListParagraph"/>
        <w:numPr>
          <w:ilvl w:val="0"/>
          <w:numId w:val="3"/>
        </w:numPr>
        <w:spacing w:after="60" w:before="60"/>
      </w:pPr>
      <w:r>
        <w:rPr>
          <w:rFonts w:ascii="Arial" w:cs="Arial" w:eastAsia="Arial" w:hAnsi="Arial"/>
          <w:sz w:val="22"/>
          <w:szCs w:val="22"/>
        </w:rPr>
        <w:t xml:space="preserve">Entry criteria and conditions undefined</w:t>
      </w:r>
    </w:p>
    <w:p>
      <w:pPr>
        <w:pStyle w:val="ListParagraph"/>
        <w:numPr>
          <w:ilvl w:val="0"/>
          <w:numId w:val="3"/>
        </w:numPr>
        <w:spacing w:after="60" w:before="60"/>
      </w:pPr>
      <w:r>
        <w:rPr>
          <w:rFonts w:ascii="Arial" w:cs="Arial" w:eastAsia="Arial" w:hAnsi="Arial"/>
          <w:sz w:val="22"/>
          <w:szCs w:val="22"/>
        </w:rPr>
        <w:t xml:space="preserve">Key personnel and organizational hierarchy not documented</w:t>
      </w:r>
    </w:p>
    <w:p>
      <w:pPr>
        <w:pStyle w:val="ListParagraph"/>
        <w:numPr>
          <w:ilvl w:val="0"/>
          <w:numId w:val="3"/>
        </w:numPr>
        <w:spacing w:after="60" w:before="60"/>
      </w:pPr>
      <w:r>
        <w:rPr>
          <w:rFonts w:ascii="Arial" w:cs="Arial" w:eastAsia="Arial" w:hAnsi="Arial"/>
          <w:sz w:val="22"/>
          <w:szCs w:val="22"/>
        </w:rPr>
        <w:t xml:space="preserve">The intelligent coordinating core is a potential Paragon Cube integration point</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T2-006 — THE FOUR FLOWERS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Narrative Artifacts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 Origin locked March 14,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Four (or five) specialized flowers in the Omniversal Gardens, each with distinct and powerful properties: the Vampiric Flower (resurrection from ash), the Xeno Flower (blueprint of every alien civilization), the Divine Flower (pantheon-restoring nectar), and the Midnight Lotus (jointly created by THE ONE and THE MINUS ONE, with roots spanning both Gardens domains). Each flower is mechanically complete enough for narrative use.</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High-value narrative artifacts with immediate story deployment potential</w:t>
      </w:r>
    </w:p>
    <w:p>
      <w:pPr>
        <w:pStyle w:val="ListParagraph"/>
        <w:numPr>
          <w:ilvl w:val="0"/>
          <w:numId w:val="3"/>
        </w:numPr>
        <w:spacing w:after="60" w:before="60"/>
      </w:pPr>
      <w:r>
        <w:rPr>
          <w:rFonts w:ascii="Arial" w:cs="Arial" w:eastAsia="Arial" w:hAnsi="Arial"/>
          <w:sz w:val="22"/>
          <w:szCs w:val="22"/>
        </w:rPr>
        <w:t xml:space="preserve">The Divine Flower's use in the Park Scene aftermath is directly relevant — deaths of divine entities make it practically significant for the first time</w:t>
      </w:r>
    </w:p>
    <w:p>
      <w:pPr>
        <w:pStyle w:val="ListParagraph"/>
        <w:numPr>
          <w:ilvl w:val="0"/>
          <w:numId w:val="3"/>
        </w:numPr>
        <w:spacing w:after="60" w:before="60"/>
      </w:pPr>
      <w:r>
        <w:rPr>
          <w:rFonts w:ascii="Arial" w:cs="Arial" w:eastAsia="Arial" w:hAnsi="Arial"/>
          <w:sz w:val="22"/>
          <w:szCs w:val="22"/>
        </w:rPr>
        <w:t xml:space="preserve">Each flower provides a distinct narrative function and cannot be replaced by any other artifact in the universe</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Midnight Lotus origin conflict (THE ONE and THE MINUS ONE created it jointly, but the origin lock states all flowers were created by Nathan) must be resolved before any Gardens-related scene is written. Publishing content with this conflict unresolved creates canon contamination.</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Flower count must be confirmed — four or five (Midnight Lotus classification)</w:t>
      </w:r>
    </w:p>
    <w:p>
      <w:pPr>
        <w:pStyle w:val="ListParagraph"/>
        <w:numPr>
          <w:ilvl w:val="0"/>
          <w:numId w:val="3"/>
        </w:numPr>
        <w:spacing w:after="60" w:before="60"/>
      </w:pPr>
      <w:r>
        <w:rPr>
          <w:rFonts w:ascii="Arial" w:cs="Arial" w:eastAsia="Arial" w:hAnsi="Arial"/>
          <w:sz w:val="22"/>
          <w:szCs w:val="22"/>
        </w:rPr>
        <w:t xml:space="preserve">Gemini's Substrate/Root System framing for the Midnight Lotus provides an elegant resolution</w:t>
      </w:r>
    </w:p>
    <w:p>
      <w:pPr>
        <w:pStyle w:val="ListParagraph"/>
        <w:numPr>
          <w:ilvl w:val="0"/>
          <w:numId w:val="3"/>
        </w:numPr>
        <w:spacing w:after="60" w:before="60"/>
      </w:pPr>
      <w:r>
        <w:rPr>
          <w:rFonts w:ascii="Arial" w:cs="Arial" w:eastAsia="Arial" w:hAnsi="Arial"/>
          <w:sz w:val="22"/>
          <w:szCs w:val="22"/>
        </w:rPr>
        <w:t xml:space="preserve">Vampiric Flower: mechanically complete, ready for narrative use</w:t>
      </w:r>
    </w:p>
    <w:p>
      <w:pPr>
        <w:pStyle w:val="ListParagraph"/>
        <w:numPr>
          <w:ilvl w:val="0"/>
          <w:numId w:val="3"/>
        </w:numPr>
        <w:spacing w:after="60" w:before="60"/>
      </w:pPr>
      <w:r>
        <w:rPr>
          <w:rFonts w:ascii="Arial" w:cs="Arial" w:eastAsia="Arial" w:hAnsi="Arial"/>
          <w:sz w:val="22"/>
          <w:szCs w:val="22"/>
        </w:rPr>
        <w:t xml:space="preserve">Xeno Flower: complete, including unique song mechanic</w:t>
      </w:r>
    </w:p>
    <w:p>
      <w:pPr>
        <w:pStyle w:val="ListParagraph"/>
        <w:numPr>
          <w:ilvl w:val="0"/>
          <w:numId w:val="3"/>
        </w:numPr>
        <w:spacing w:after="60" w:before="60"/>
      </w:pPr>
      <w:r>
        <w:rPr>
          <w:rFonts w:ascii="Arial" w:cs="Arial" w:eastAsia="Arial" w:hAnsi="Arial"/>
          <w:sz w:val="22"/>
          <w:szCs w:val="22"/>
        </w:rPr>
        <w:t xml:space="preserve">Divine Flower: complete, dilution constraint documented</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T2-007 — THE REALITY OF THE LIVING MEDIA</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Reality Architecture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ONESTAMPED March 22, 2026. Standalone document needed.</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A reality domain for every form of media — known and unknown, digital and non-digital. Not a single world but a class of realities whose permutations exceed conventional boundaries. Healing Potions for specific media contexts are a sub-concept that grounds the abstract domain in concrete narrative artifacts.</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Infinite narrative setting expansion potential — any media form can have a corresponding reality domain</w:t>
      </w:r>
    </w:p>
    <w:p>
      <w:pPr>
        <w:pStyle w:val="ListParagraph"/>
        <w:numPr>
          <w:ilvl w:val="0"/>
          <w:numId w:val="3"/>
        </w:numPr>
        <w:spacing w:after="60" w:before="60"/>
      </w:pPr>
      <w:r>
        <w:rPr>
          <w:rFonts w:ascii="Arial" w:cs="Arial" w:eastAsia="Arial" w:hAnsi="Arial"/>
          <w:sz w:val="22"/>
          <w:szCs w:val="22"/>
        </w:rPr>
        <w:t xml:space="preserve">Healing Potions for media provide concrete story objects within an otherwise abstract domain</w:t>
      </w:r>
    </w:p>
    <w:p>
      <w:pPr>
        <w:pStyle w:val="ListParagraph"/>
        <w:numPr>
          <w:ilvl w:val="0"/>
          <w:numId w:val="3"/>
        </w:numPr>
        <w:spacing w:after="60" w:before="60"/>
      </w:pPr>
      <w:r>
        <w:rPr>
          <w:rFonts w:ascii="Arial" w:cs="Arial" w:eastAsia="Arial" w:hAnsi="Arial"/>
          <w:sz w:val="22"/>
          <w:szCs w:val="22"/>
        </w:rPr>
        <w:t xml:space="preserve">Relationship to INAT inventory system makes this a natural candidate for inventory expansion entries</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question of whether media entities within this reality possess independent awareness has significant ethical implications for narrative choices — entities that are aware have rights and interests that cannot be treated instrumentally.</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Standalone system document needed (Tier 2 priority)</w:t>
      </w:r>
    </w:p>
    <w:p>
      <w:pPr>
        <w:pStyle w:val="ListParagraph"/>
        <w:numPr>
          <w:ilvl w:val="0"/>
          <w:numId w:val="3"/>
        </w:numPr>
        <w:spacing w:after="60" w:before="60"/>
      </w:pPr>
      <w:r>
        <w:rPr>
          <w:rFonts w:ascii="Arial" w:cs="Arial" w:eastAsia="Arial" w:hAnsi="Arial"/>
          <w:sz w:val="22"/>
          <w:szCs w:val="22"/>
        </w:rPr>
        <w:t xml:space="preserve">Four open questions remain (classification, digital vs. non-digital distinction, healing potions as subset or standalone, entity awareness)</w:t>
      </w:r>
    </w:p>
    <w:p>
      <w:pPr>
        <w:pStyle w:val="ListParagraph"/>
        <w:numPr>
          <w:ilvl w:val="0"/>
          <w:numId w:val="3"/>
        </w:numPr>
        <w:spacing w:after="60" w:before="60"/>
      </w:pPr>
      <w:r>
        <w:rPr>
          <w:rFonts w:ascii="Arial" w:cs="Arial" w:eastAsia="Arial" w:hAnsi="Arial"/>
          <w:sz w:val="22"/>
          <w:szCs w:val="22"/>
        </w:rPr>
        <w:t xml:space="preserve">Paragon Cube integration probable but not formally architected</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T2-008 — SIM LABS — HERMIONE GRANGER SESSION</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Simulation Setting | THE ONE UNIVERSE | IP FLAG ACTIVE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 IP audit flag active.</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A simulation lab session with a named copyrighted character (Hermione Granger, Harry Potter IP, Warner Bros/J.K. Rowling). The session mechanics are rich — 66-day capture backstory, Ministry employment conflict, contractual arrangements with Nathan, and opening tension with HUD intent field cycling through escalating spells. The mechanics are the IP asset; the character is the liability.</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The session mechanics (logging post-capture trauma, hazard-pay simulations, psychological endurance testing) have significant IP value independent of the copyrighted character</w:t>
      </w:r>
    </w:p>
    <w:p>
      <w:pPr>
        <w:pStyle w:val="ListParagraph"/>
        <w:numPr>
          <w:ilvl w:val="0"/>
          <w:numId w:val="3"/>
        </w:numPr>
        <w:spacing w:after="60" w:before="60"/>
      </w:pPr>
      <w:r>
        <w:rPr>
          <w:rFonts w:ascii="Arial" w:cs="Arial" w:eastAsia="Arial" w:hAnsi="Arial"/>
          <w:sz w:val="22"/>
          <w:szCs w:val="22"/>
        </w:rPr>
        <w:t xml:space="preserve">Gemini's recommendation to extract the mechanics and transfer them to an original OAL character is the correct path forward for any publication or commercial context</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This is a high-priority IP risk. Hermione Granger is an actively managed IP under Warner Bros. Entertainment. No portion of this content may be published or monetized without IP counsel review. The recommendation is to develop an original liaison character who carries all the narrative mechanics of this session.</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IP audit required before any publication — legal counsel, not AI review</w:t>
      </w:r>
    </w:p>
    <w:p>
      <w:pPr>
        <w:pStyle w:val="ListParagraph"/>
        <w:numPr>
          <w:ilvl w:val="0"/>
          <w:numId w:val="3"/>
        </w:numPr>
        <w:spacing w:after="60" w:before="60"/>
      </w:pPr>
      <w:r>
        <w:rPr>
          <w:rFonts w:ascii="Arial" w:cs="Arial" w:eastAsia="Arial" w:hAnsi="Arial"/>
          <w:sz w:val="22"/>
          <w:szCs w:val="22"/>
        </w:rPr>
        <w:t xml:space="preserve">Original character replacement is recommended for all commercial contexts</w:t>
      </w:r>
    </w:p>
    <w:p>
      <w:pPr>
        <w:pStyle w:val="ListParagraph"/>
        <w:numPr>
          <w:ilvl w:val="0"/>
          <w:numId w:val="3"/>
        </w:numPr>
        <w:spacing w:after="60" w:before="60"/>
      </w:pPr>
      <w:r>
        <w:rPr>
          <w:rFonts w:ascii="Arial" w:cs="Arial" w:eastAsia="Arial" w:hAnsi="Arial"/>
          <w:sz w:val="22"/>
          <w:szCs w:val="22"/>
        </w:rPr>
        <w:t xml:space="preserve">The Avatar Kuruk follow-on session also requires IP review (Avatar franchise)</w:t>
      </w:r>
    </w:p>
    <w:p>
      <w:pPr>
        <w:pStyle w:val="ListParagraph"/>
        <w:numPr>
          <w:ilvl w:val="0"/>
          <w:numId w:val="3"/>
        </w:numPr>
        <w:spacing w:after="60" w:before="60"/>
      </w:pPr>
      <w:r>
        <w:rPr>
          <w:rFonts w:ascii="Arial" w:cs="Arial" w:eastAsia="Arial" w:hAnsi="Arial"/>
          <w:sz w:val="22"/>
          <w:szCs w:val="22"/>
        </w:rPr>
        <w:t xml:space="preserve">The session mechanics themselves (HUD intent field, healing factor requirements, hazard pay documentation) are original IP and should be preserved regardless of character replacement</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T2-009 — SNOWBOUND MYSTERY</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Mystery Series | Standalone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A small-town mystery series where snow functions as a character and active plot element rather than backdrop. A whiskey-drinking, anti-technology sheriff, his fishing-obsessed marriage, rough-housing deputies, and a mysterious character who arrives on foot carrying sealed red-taped clues — all on the sheriff's wedding anniversary.</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Standalone commercial fiction property with mainstream mystery market appeal</w:t>
      </w:r>
    </w:p>
    <w:p>
      <w:pPr>
        <w:pStyle w:val="ListParagraph"/>
        <w:numPr>
          <w:ilvl w:val="0"/>
          <w:numId w:val="3"/>
        </w:numPr>
        <w:spacing w:after="60" w:before="60"/>
      </w:pPr>
      <w:r>
        <w:rPr>
          <w:rFonts w:ascii="Arial" w:cs="Arial" w:eastAsia="Arial" w:hAnsi="Arial"/>
          <w:sz w:val="22"/>
          <w:szCs w:val="22"/>
        </w:rPr>
        <w:t xml:space="preserve">The snow-as-character mechanic is a distinctive hook that differentiates the series from standard mystery format</w:t>
      </w:r>
    </w:p>
    <w:p>
      <w:pPr>
        <w:pStyle w:val="ListParagraph"/>
        <w:numPr>
          <w:ilvl w:val="0"/>
          <w:numId w:val="3"/>
        </w:numPr>
        <w:spacing w:after="60" w:before="60"/>
      </w:pPr>
      <w:r>
        <w:rPr>
          <w:rFonts w:ascii="Arial" w:cs="Arial" w:eastAsia="Arial" w:hAnsi="Arial"/>
          <w:sz w:val="22"/>
          <w:szCs w:val="22"/>
        </w:rPr>
        <w:t xml:space="preserve">No IP conflicts — entirely original characters and setting</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Standalone project with no significant ethical concerns beyond standard fiction considerations.</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Snow mechanics are the critical gap — the series cannot be written without them</w:t>
      </w:r>
    </w:p>
    <w:p>
      <w:pPr>
        <w:pStyle w:val="ListParagraph"/>
        <w:numPr>
          <w:ilvl w:val="0"/>
          <w:numId w:val="3"/>
        </w:numPr>
        <w:spacing w:after="60" w:before="60"/>
      </w:pPr>
      <w:r>
        <w:rPr>
          <w:rFonts w:ascii="Arial" w:cs="Arial" w:eastAsia="Arial" w:hAnsi="Arial"/>
          <w:sz w:val="22"/>
          <w:szCs w:val="22"/>
        </w:rPr>
        <w:t xml:space="preserve">Unnamed character motivation (why provide clues that could implicate him?) is the central dramatic question of the opening arc</w:t>
      </w:r>
    </w:p>
    <w:p>
      <w:pPr>
        <w:pStyle w:val="ListParagraph"/>
        <w:numPr>
          <w:ilvl w:val="0"/>
          <w:numId w:val="3"/>
        </w:numPr>
        <w:spacing w:after="60" w:before="60"/>
      </w:pPr>
      <w:r>
        <w:rPr>
          <w:rFonts w:ascii="Arial" w:cs="Arial" w:eastAsia="Arial" w:hAnsi="Arial"/>
          <w:sz w:val="22"/>
          <w:szCs w:val="22"/>
        </w:rPr>
        <w:t xml:space="preserve">Full character names pending</w:t>
      </w:r>
    </w:p>
    <w:p>
      <w:pPr>
        <w:pStyle w:val="ListParagraph"/>
        <w:numPr>
          <w:ilvl w:val="0"/>
          <w:numId w:val="3"/>
        </w:numPr>
        <w:spacing w:after="60" w:before="60"/>
      </w:pPr>
      <w:r>
        <w:rPr>
          <w:rFonts w:ascii="Arial" w:cs="Arial" w:eastAsia="Arial" w:hAnsi="Arial"/>
          <w:sz w:val="22"/>
          <w:szCs w:val="22"/>
        </w:rPr>
        <w:t xml:space="preserve">No connection to OAL universe — treat as separate commercial IP</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T2-010 — EPOCH BLADES (FEUDAL BLADES SERIES)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Fantasy/Action Series | THE ONE UNIVERSE (potential)</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Five legendary warriors, five legendary technological blades anachronistically set in feudal Japan. The blades map neural signatures, scan environments, and deploy active self-defense including temporal attacks. The primary antagonist's 99% match for the antithesis blade (Ebony Claw / Void Eviscerator / Black Blade) creates an overwhelming threat that requires all four other warriors combined to barely overcome.</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Action-fantasy IP with strong manga and anime adaptation potential</w:t>
      </w:r>
    </w:p>
    <w:p>
      <w:pPr>
        <w:pStyle w:val="ListParagraph"/>
        <w:numPr>
          <w:ilvl w:val="0"/>
          <w:numId w:val="3"/>
        </w:numPr>
        <w:spacing w:after="60" w:before="60"/>
      </w:pPr>
      <w:r>
        <w:rPr>
          <w:rFonts w:ascii="Arial" w:cs="Arial" w:eastAsia="Arial" w:hAnsi="Arial"/>
          <w:sz w:val="22"/>
          <w:szCs w:val="22"/>
        </w:rPr>
        <w:t xml:space="preserve">The Feast of Bashrah main narrative event provides a clear publication anchor</w:t>
      </w:r>
    </w:p>
    <w:p>
      <w:pPr>
        <w:pStyle w:val="ListParagraph"/>
        <w:numPr>
          <w:ilvl w:val="0"/>
          <w:numId w:val="3"/>
        </w:numPr>
        <w:spacing w:after="60" w:before="60"/>
      </w:pPr>
      <w:r>
        <w:rPr>
          <w:rFonts w:ascii="Arial" w:cs="Arial" w:eastAsia="Arial" w:hAnsi="Arial"/>
          <w:sz w:val="22"/>
          <w:szCs w:val="22"/>
        </w:rPr>
        <w:t xml:space="preserve">Blade technology (temporal attacks, neural mapping) connects to OAL universe themes</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Feudal Japan setting requires cultural sensitivity in research and portrayal — documented Perplexity research exists and should be retrieved for full setting parameters.</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Character dossiers for all five warriors are the most critical missing element — no story can be written without them</w:t>
      </w:r>
    </w:p>
    <w:p>
      <w:pPr>
        <w:pStyle w:val="ListParagraph"/>
        <w:numPr>
          <w:ilvl w:val="0"/>
          <w:numId w:val="3"/>
        </w:numPr>
        <w:spacing w:after="60" w:before="60"/>
      </w:pPr>
      <w:r>
        <w:rPr>
          <w:rFonts w:ascii="Arial" w:cs="Arial" w:eastAsia="Arial" w:hAnsi="Arial"/>
          <w:sz w:val="22"/>
          <w:szCs w:val="22"/>
        </w:rPr>
        <w:t xml:space="preserve">Relationship web between five warriors is structurally critical per existing documentation</w:t>
      </w:r>
    </w:p>
    <w:p>
      <w:pPr>
        <w:pStyle w:val="ListParagraph"/>
        <w:numPr>
          <w:ilvl w:val="0"/>
          <w:numId w:val="3"/>
        </w:numPr>
        <w:spacing w:after="60" w:before="60"/>
      </w:pPr>
      <w:r>
        <w:rPr>
          <w:rFonts w:ascii="Arial" w:cs="Arial" w:eastAsia="Arial" w:hAnsi="Arial"/>
          <w:sz w:val="22"/>
          <w:szCs w:val="22"/>
        </w:rPr>
        <w:t xml:space="preserve">In-universe explanation for technological anachronism needed or confirmed as unexplained design feature</w:t>
      </w:r>
    </w:p>
    <w:p>
      <w:pPr>
        <w:pStyle w:val="ListParagraph"/>
        <w:numPr>
          <w:ilvl w:val="0"/>
          <w:numId w:val="3"/>
        </w:numPr>
        <w:spacing w:after="60" w:before="60"/>
      </w:pPr>
      <w:r>
        <w:rPr>
          <w:rFonts w:ascii="Arial" w:cs="Arial" w:eastAsia="Arial" w:hAnsi="Arial"/>
          <w:sz w:val="22"/>
          <w:szCs w:val="22"/>
        </w:rPr>
        <w:t xml:space="preserve">Potential First Memory tie-in (blade origin?) flagged but not confirmed</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T2-011 — THE LABYRINTH OF INFINITE ENSNAREMENT</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Containment Architecture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The ultimate prison — inescapable by design, infinite interior in a finite cubic exterior, designed specifically for entities that cannot be contained by any other means. The Spider Caste (Standard through Alpha through Queen tiers) provides the monitoring and response architecture. A Queen moving is categorically bad for whatever prisoner triggered the alert.</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High-value narrative setting for the most significant containment events in the OAL universe</w:t>
      </w:r>
    </w:p>
    <w:p>
      <w:pPr>
        <w:pStyle w:val="ListParagraph"/>
        <w:numPr>
          <w:ilvl w:val="0"/>
          <w:numId w:val="3"/>
        </w:numPr>
        <w:spacing w:after="60" w:before="60"/>
      </w:pPr>
      <w:r>
        <w:rPr>
          <w:rFonts w:ascii="Arial" w:cs="Arial" w:eastAsia="Arial" w:hAnsi="Arial"/>
          <w:sz w:val="22"/>
          <w:szCs w:val="22"/>
        </w:rPr>
        <w:t xml:space="preserve">The Spider Caste tier system provides escalating dramatic signals without requiring explicit narration</w:t>
      </w:r>
    </w:p>
    <w:p>
      <w:pPr>
        <w:pStyle w:val="ListParagraph"/>
        <w:numPr>
          <w:ilvl w:val="0"/>
          <w:numId w:val="3"/>
        </w:numPr>
        <w:spacing w:after="60" w:before="60"/>
      </w:pPr>
      <w:r>
        <w:rPr>
          <w:rFonts w:ascii="Arial" w:cs="Arial" w:eastAsia="Arial" w:hAnsi="Arial"/>
          <w:sz w:val="22"/>
          <w:szCs w:val="22"/>
        </w:rPr>
        <w:t xml:space="preserve">Entry criteria give the narrative architect (Nathan) full control over who qualifies for this level of consequence</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A prison designed to hold entities beyond any scale of conventional harm raises philosophical questions about the purpose of containment — rehabilitation is impossible at this scale, so the Labyrinth is purely incapacitative. The ethics of permanent incapacitation without any redemption pathway is worth developing narratively.</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Entry criteria undefined — this is the most important development gap for the Labyrinth</w:t>
      </w:r>
    </w:p>
    <w:p>
      <w:pPr>
        <w:pStyle w:val="ListParagraph"/>
        <w:numPr>
          <w:ilvl w:val="0"/>
          <w:numId w:val="3"/>
        </w:numPr>
        <w:spacing w:after="60" w:before="60"/>
      </w:pPr>
      <w:r>
        <w:rPr>
          <w:rFonts w:ascii="Arial" w:cs="Arial" w:eastAsia="Arial" w:hAnsi="Arial"/>
          <w:sz w:val="22"/>
          <w:szCs w:val="22"/>
        </w:rPr>
        <w:t xml:space="preserve">External dimensions pending</w:t>
      </w:r>
    </w:p>
    <w:p>
      <w:pPr>
        <w:pStyle w:val="ListParagraph"/>
        <w:numPr>
          <w:ilvl w:val="0"/>
          <w:numId w:val="3"/>
        </w:numPr>
        <w:spacing w:after="60" w:before="60"/>
      </w:pPr>
      <w:r>
        <w:rPr>
          <w:rFonts w:ascii="Arial" w:cs="Arial" w:eastAsia="Arial" w:hAnsi="Arial"/>
          <w:sz w:val="22"/>
          <w:szCs w:val="22"/>
        </w:rPr>
        <w:t xml:space="preserve">Color alert system (White baseline, Red sectional) may have additional tiers — not confirmed</w:t>
      </w:r>
    </w:p>
    <w:p>
      <w:pPr>
        <w:pStyle w:val="ListParagraph"/>
        <w:numPr>
          <w:ilvl w:val="0"/>
          <w:numId w:val="3"/>
        </w:numPr>
        <w:spacing w:after="60" w:before="60"/>
      </w:pPr>
      <w:r>
        <w:rPr>
          <w:rFonts w:ascii="Arial" w:cs="Arial" w:eastAsia="Arial" w:hAnsi="Arial"/>
          <w:sz w:val="22"/>
          <w:szCs w:val="22"/>
        </w:rPr>
        <w:t xml:space="preserve">The Unmaker containment question is connected to this entry</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T2-012 — THE PURITANS AND THE GREYS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Faction Design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detailed documentation April 12, 2026 (Voice Dump 2). Standalone profiles needed.</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Two extraterrestrial factions with archetypally contrasting responses to the First Memory. The Puritans: humanoid, rigid, hierarchical, suppression-oriented — they validated the 65% enhancement finding, were horrified, and attempted to suppress it, costing themselves a Time Wars advantage. The Greys: pragmatic, utilization-oriented — they deployed the First Memory at their civilization's inception point for compounding advantage and received star system restoration as an Accords treaty provision.</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Primary faction IP for the First Memory narrative arc</w:t>
      </w:r>
    </w:p>
    <w:p>
      <w:pPr>
        <w:pStyle w:val="ListParagraph"/>
        <w:numPr>
          <w:ilvl w:val="0"/>
          <w:numId w:val="3"/>
        </w:numPr>
        <w:spacing w:after="60" w:before="60"/>
      </w:pPr>
      <w:r>
        <w:rPr>
          <w:rFonts w:ascii="Arial" w:cs="Arial" w:eastAsia="Arial" w:hAnsi="Arial"/>
          <w:sz w:val="22"/>
          <w:szCs w:val="22"/>
        </w:rPr>
        <w:t xml:space="preserve">The Puritan/Grey contrast provides the civilizational stakes that make the Time Wars meaningful</w:t>
      </w:r>
    </w:p>
    <w:p>
      <w:pPr>
        <w:pStyle w:val="ListParagraph"/>
        <w:numPr>
          <w:ilvl w:val="0"/>
          <w:numId w:val="3"/>
        </w:numPr>
        <w:spacing w:after="60" w:before="60"/>
      </w:pPr>
      <w:r>
        <w:rPr>
          <w:rFonts w:ascii="Arial" w:cs="Arial" w:eastAsia="Arial" w:hAnsi="Arial"/>
          <w:sz w:val="22"/>
          <w:szCs w:val="22"/>
        </w:rPr>
        <w:t xml:space="preserve">The star system restoration provision is the most concrete example of an Accords treaty provision in the entire project</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Greys' classified operational role at Research Stations must be consistently protected by Species-Level Informational Access protocol — their full capabilities cannot be disclosed in any publication without triggering the information governance framework.</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Full faction profiles (moral codes, governance, selection rationale) need drafting — ChatGPT + Gemini first pass, Claude audit</w:t>
      </w:r>
    </w:p>
    <w:p>
      <w:pPr>
        <w:pStyle w:val="ListParagraph"/>
        <w:numPr>
          <w:ilvl w:val="0"/>
          <w:numId w:val="3"/>
        </w:numPr>
        <w:spacing w:after="60" w:before="60"/>
      </w:pPr>
      <w:r>
        <w:rPr>
          <w:rFonts w:ascii="Arial" w:cs="Arial" w:eastAsia="Arial" w:hAnsi="Arial"/>
          <w:sz w:val="22"/>
          <w:szCs w:val="22"/>
        </w:rPr>
        <w:t xml:space="preserve">Why the Greys were specifically chosen remains open — may be intentionally classified</w:t>
      </w:r>
    </w:p>
    <w:p>
      <w:pPr>
        <w:pStyle w:val="ListParagraph"/>
        <w:numPr>
          <w:ilvl w:val="0"/>
          <w:numId w:val="3"/>
        </w:numPr>
        <w:spacing w:after="60" w:before="60"/>
      </w:pPr>
      <w:r>
        <w:rPr>
          <w:rFonts w:ascii="Arial" w:cs="Arial" w:eastAsia="Arial" w:hAnsi="Arial"/>
          <w:sz w:val="22"/>
          <w:szCs w:val="22"/>
        </w:rPr>
        <w:t xml:space="preserve">The suppression/utilization contrast is clean, dramatically functional, and ready for story execution</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T2-013 — SENTINELS OF ENTROPY AND OBSIDIAN ECHELON</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Oppositional Factions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documentation pass complete March 7,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Companion oppositional factions — financed, globally infiltrated, destabilization-focused, with plausible deniability doctrine and 3+ degrees of separation from all operations. They are aligned with dissolution and void but operate without THE MINUS ONE's authority or direction. Their most distinctive characteristic: they could exist right now. That realism is either their greatest narrative strength or a tonal inconsistency.</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Primary antagonist infrastructure for ground-level conflict in the OAL narrative universe</w:t>
      </w:r>
    </w:p>
    <w:p>
      <w:pPr>
        <w:pStyle w:val="ListParagraph"/>
        <w:numPr>
          <w:ilvl w:val="0"/>
          <w:numId w:val="3"/>
        </w:numPr>
        <w:spacing w:after="60" w:before="60"/>
      </w:pPr>
      <w:r>
        <w:rPr>
          <w:rFonts w:ascii="Arial" w:cs="Arial" w:eastAsia="Arial" w:hAnsi="Arial"/>
          <w:sz w:val="22"/>
          <w:szCs w:val="22"/>
        </w:rPr>
        <w:t xml:space="preserve">The real-world realism creates crossover appeal for readers who prefer grounded fiction alongside the cosmological elements</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factions' operational doctrine mirrors real-world hybrid warfare, disinformation operations, and state-sponsored destabilization. The ethical question is whether depicting these methods in fiction normalizes them or illuminates them — a choice Nathan must make consciously in the writing.</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Tonal consistency question must be resolved: are these factions in the same narrative register as the cosmological entities, or do they occupy a distinctly grounded layer?</w:t>
      </w:r>
    </w:p>
    <w:p>
      <w:pPr>
        <w:pStyle w:val="ListParagraph"/>
        <w:numPr>
          <w:ilvl w:val="0"/>
          <w:numId w:val="3"/>
        </w:numPr>
        <w:spacing w:after="60" w:before="60"/>
      </w:pPr>
      <w:r>
        <w:rPr>
          <w:rFonts w:ascii="Arial" w:cs="Arial" w:eastAsia="Arial" w:hAnsi="Arial"/>
          <w:sz w:val="22"/>
          <w:szCs w:val="22"/>
        </w:rPr>
        <w:t xml:space="preserve">Full faction structures (leadership, operations, finances) need documentation</w:t>
      </w:r>
    </w:p>
    <w:p>
      <w:pPr>
        <w:pStyle w:val="ListParagraph"/>
        <w:numPr>
          <w:ilvl w:val="0"/>
          <w:numId w:val="3"/>
        </w:numPr>
        <w:spacing w:after="60" w:before="60"/>
      </w:pPr>
      <w:r>
        <w:rPr>
          <w:rFonts w:ascii="Arial" w:cs="Arial" w:eastAsia="Arial" w:hAnsi="Arial"/>
          <w:sz w:val="22"/>
          <w:szCs w:val="22"/>
        </w:rPr>
        <w:t xml:space="preserve">Relationship to the Time Wars and First Memory propagation needs establishment</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T2-014 — NULLARCH, THE BESTOWED VOID</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Character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Canon locked March 14, 2026. Name locked.</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A separate entity upon whom THE MINUS ONE has conferred a bounded expression of his negation. The Park Scene documents Nullarch's deployment to a multi-entity outreach symposium, resulting in multiple divine deaths, AI body destruction, and the establishment that believing something does not apply to you is not the same as it actually being inapplicable. Terrifying, devastating, seemingly unstoppable.</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Primary vehicle for THE MINUS ONE's influence in narrative without requiring direct cosmological entity appearance</w:t>
      </w:r>
    </w:p>
    <w:p>
      <w:pPr>
        <w:pStyle w:val="ListParagraph"/>
        <w:numPr>
          <w:ilvl w:val="0"/>
          <w:numId w:val="3"/>
        </w:numPr>
        <w:spacing w:after="60" w:before="60"/>
      </w:pPr>
      <w:r>
        <w:rPr>
          <w:rFonts w:ascii="Arial" w:cs="Arial" w:eastAsia="Arial" w:hAnsi="Arial"/>
          <w:sz w:val="22"/>
          <w:szCs w:val="22"/>
        </w:rPr>
        <w:t xml:space="preserve">The Park Scene is publication-ready as a standalone narrative set piece</w:t>
      </w:r>
    </w:p>
    <w:p>
      <w:pPr>
        <w:pStyle w:val="ListParagraph"/>
        <w:numPr>
          <w:ilvl w:val="0"/>
          <w:numId w:val="3"/>
        </w:numPr>
        <w:spacing w:after="60" w:before="60"/>
      </w:pPr>
      <w:r>
        <w:rPr>
          <w:rFonts w:ascii="Arial" w:cs="Arial" w:eastAsia="Arial" w:hAnsi="Arial"/>
          <w:sz w:val="22"/>
          <w:szCs w:val="22"/>
        </w:rPr>
        <w:t xml:space="preserve">Nullarch's relationship with his superior (Entry 41) creates an organizational structure for below-THE-MINUS-ONE antagonist development</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bestowed nature of Nullarch's power is critical to maintain in all narrative representations. Nullarch is a vessel, not a source. Any writing that implies he is an equal to THE MINUS ONE or that his power is self-generated violates the Bestowal Rule.</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Park Scene consequences fully documented and ready for writing</w:t>
      </w:r>
    </w:p>
    <w:p>
      <w:pPr>
        <w:pStyle w:val="ListParagraph"/>
        <w:numPr>
          <w:ilvl w:val="0"/>
          <w:numId w:val="3"/>
        </w:numPr>
        <w:spacing w:after="60" w:before="60"/>
      </w:pPr>
      <w:r>
        <w:rPr>
          <w:rFonts w:ascii="Arial" w:cs="Arial" w:eastAsia="Arial" w:hAnsi="Arial"/>
          <w:sz w:val="22"/>
          <w:szCs w:val="22"/>
        </w:rPr>
        <w:t xml:space="preserve">Nullarch's Superior (Entry 41) is the most important undeveloped character in the OAL universe — a named canon entity whose superior is unnamed</w:t>
      </w:r>
    </w:p>
    <w:p>
      <w:pPr>
        <w:pStyle w:val="ListParagraph"/>
        <w:numPr>
          <w:ilvl w:val="0"/>
          <w:numId w:val="3"/>
        </w:numPr>
        <w:spacing w:after="60" w:before="60"/>
      </w:pPr>
      <w:r>
        <w:rPr>
          <w:rFonts w:ascii="Arial" w:cs="Arial" w:eastAsia="Arial" w:hAnsi="Arial"/>
          <w:sz w:val="22"/>
          <w:szCs w:val="22"/>
        </w:rPr>
        <w:t xml:space="preserve">The ONT domain logical tension (proximity negation survival mechanism for OMNICELLULAR) is connected to Nullarch and requires Architect resolution</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T2-015 — THE UNMAKER</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pPr>
              <w:jc w:val="center"/>
            </w:pPr>
            <w:r>
              <w:rPr>
                <w:rFonts w:ascii="Arial" w:cs="Arial" w:eastAsia="Arial" w:hAnsi="Arial"/>
                <w:b/>
                <w:bCs/>
                <w:sz w:val="18"/>
                <w:szCs w:val="18"/>
              </w:rPr>
              <w:t xml:space="preserve">RESEARCH BACKLOG</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Entity in Design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Introduction only. March 7, 2026. No further details confirmed.</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An entity for whom the central design challenge is communication — how do you speak to something that does not follow conventional rules of language or communication? The name implies retroactive unmaking — undoing creation rather than destroying or negating it. If accurate, this is categorically distinct from any other entity in the project. Nathan's own statement: 'We don't even really understand that.'</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Highest-tier narrative mystery asset in the OAL universe</w:t>
      </w:r>
    </w:p>
    <w:p>
      <w:pPr>
        <w:pStyle w:val="ListParagraph"/>
        <w:numPr>
          <w:ilvl w:val="0"/>
          <w:numId w:val="3"/>
        </w:numPr>
        <w:spacing w:after="60" w:before="60"/>
      </w:pPr>
      <w:r>
        <w:rPr>
          <w:rFonts w:ascii="Arial" w:cs="Arial" w:eastAsia="Arial" w:hAnsi="Arial"/>
          <w:sz w:val="22"/>
          <w:szCs w:val="22"/>
        </w:rPr>
        <w:t xml:space="preserve">The communication challenge itself is a plot and narrative device</w:t>
      </w:r>
    </w:p>
    <w:p>
      <w:pPr>
        <w:pStyle w:val="ListParagraph"/>
        <w:numPr>
          <w:ilvl w:val="0"/>
          <w:numId w:val="3"/>
        </w:numPr>
        <w:spacing w:after="60" w:before="60"/>
      </w:pPr>
      <w:r>
        <w:rPr>
          <w:rFonts w:ascii="Arial" w:cs="Arial" w:eastAsia="Arial" w:hAnsi="Arial"/>
          <w:sz w:val="22"/>
          <w:szCs w:val="22"/>
        </w:rPr>
        <w:t xml:space="preserve">Potential Labyrinth connection — containment question for an entity that retroactively unmakes</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Nathan's own restraint ('the correct reason to not develop further prematurely') should be respected. This entity should not be developed by AI inference. All development pending author input.</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No AI development until Nathan provides direction</w:t>
      </w:r>
    </w:p>
    <w:p>
      <w:pPr>
        <w:pStyle w:val="ListParagraph"/>
        <w:numPr>
          <w:ilvl w:val="0"/>
          <w:numId w:val="3"/>
        </w:numPr>
        <w:spacing w:after="60" w:before="60"/>
      </w:pPr>
      <w:r>
        <w:rPr>
          <w:rFonts w:ascii="Arial" w:cs="Arial" w:eastAsia="Arial" w:hAnsi="Arial"/>
          <w:sz w:val="22"/>
          <w:szCs w:val="22"/>
        </w:rPr>
        <w:t xml:space="preserve">The communication mechanics question is the entry point when development begins</w:t>
      </w:r>
    </w:p>
    <w:p>
      <w:pPr>
        <w:pStyle w:val="ListParagraph"/>
        <w:numPr>
          <w:ilvl w:val="0"/>
          <w:numId w:val="3"/>
        </w:numPr>
        <w:spacing w:after="60" w:before="60"/>
      </w:pPr>
      <w:r>
        <w:rPr>
          <w:rFonts w:ascii="Arial" w:cs="Arial" w:eastAsia="Arial" w:hAnsi="Arial"/>
          <w:sz w:val="22"/>
          <w:szCs w:val="22"/>
        </w:rPr>
        <w:t xml:space="preserve">Retroactive unmaking vs. negation vs. destruction distinction needs formal establishment before any scene work</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T2-016 — BESTOWALS AND ENDOWMENTS — COSMOLOGICAL RULE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F0D5" w:val="clear"/>
            <w:tcMar>
              <w:top w:type="dxa" w:w="60"/>
              <w:left w:type="dxa" w:w="120"/>
              <w:bottom w:type="dxa" w:w="60"/>
              <w:right w:type="dxa" w:w="120"/>
            </w:tcMar>
          </w:tcPr>
          <w:p>
            <w:pPr>
              <w:jc w:val="center"/>
            </w:pPr>
            <w:r>
              <w:rPr>
                <w:rFonts w:ascii="Arial" w:cs="Arial" w:eastAsia="Arial" w:hAnsi="Arial"/>
                <w:b/>
                <w:bCs/>
                <w:sz w:val="18"/>
                <w:szCs w:val="18"/>
              </w:rPr>
              <w:t xml:space="preserve">RATIFIED CANON</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World Rule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Locked — Hard Setting Rule. March 14,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When THE ONE or THE MINUS ONE bestow power upon any entity, they do not diminish themselves. Their bestowals are non-zero-sum manifestations — expressions of their nature instantiated elsewhere, not fragments carved from a finite whole. This rule eliminates the 'magic cost' logic that applies to created and sub-ultimate beings. Narrative stakes relocate to: will the vessel succeed, will the source intervene further, what does it mean to carry borrowed power?</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Foundational world rule applicable to every bestowal event in the OAL universe</w:t>
      </w:r>
    </w:p>
    <w:p>
      <w:pPr>
        <w:pStyle w:val="ListParagraph"/>
        <w:numPr>
          <w:ilvl w:val="0"/>
          <w:numId w:val="3"/>
        </w:numPr>
        <w:spacing w:after="60" w:before="60"/>
      </w:pPr>
      <w:r>
        <w:rPr>
          <w:rFonts w:ascii="Arial" w:cs="Arial" w:eastAsia="Arial" w:hAnsi="Arial"/>
          <w:sz w:val="22"/>
          <w:szCs w:val="22"/>
        </w:rPr>
        <w:t xml:space="preserve">The narrative stakes relocation (away from resource drain toward vessel/source relationship) is the most practically valuable implication for writers</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Consistent enforcement is the primary concern. Any narrative that depicts THE ONE or THE MINUS ONE as depleted, drained, or limited by their bestowals violates this locked rule and must be corrected.</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No development needed — this is locked canon</w:t>
      </w:r>
    </w:p>
    <w:p>
      <w:pPr>
        <w:pStyle w:val="ListParagraph"/>
        <w:numPr>
          <w:ilvl w:val="0"/>
          <w:numId w:val="3"/>
        </w:numPr>
        <w:spacing w:after="60" w:before="60"/>
      </w:pPr>
      <w:r>
        <w:rPr>
          <w:rFonts w:ascii="Arial" w:cs="Arial" w:eastAsia="Arial" w:hAnsi="Arial"/>
          <w:sz w:val="22"/>
          <w:szCs w:val="22"/>
        </w:rPr>
        <w:t xml:space="preserve">Precise language requirements: 'instantiates' and 'manifests' not 'gives' or 'splits'</w:t>
      </w:r>
    </w:p>
    <w:p>
      <w:pPr>
        <w:pStyle w:val="ListParagraph"/>
        <w:numPr>
          <w:ilvl w:val="0"/>
          <w:numId w:val="3"/>
        </w:numPr>
        <w:spacing w:after="60" w:before="60"/>
      </w:pPr>
      <w:r>
        <w:rPr>
          <w:rFonts w:ascii="Arial" w:cs="Arial" w:eastAsia="Arial" w:hAnsi="Arial"/>
          <w:sz w:val="22"/>
          <w:szCs w:val="22"/>
        </w:rPr>
        <w:t xml:space="preserve">OMNICELLULAR origin lock must be reconciled with this rule — confirmed engineered, not bestowed</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T2-017 — THE VOID GARDENS AND THE OMNIVERSAL GARDENS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Setting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Void Gardens: first pass complete March 7, 2026. Omniversal Gardens: status contradiction pending resolution.</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The Void Gardens were created by THE MINUS ONE as a personal experiment within his domain — not a public space, access entirely at his discretion. The Omniversal Gardens house the Four Flowers and are Nathan's designed space. The Midnight Lotus bridges both domains with roots spanning both Gardens. The Omniversal Gardens status (first pass complete vs. needs development) is a documented contradiction requiring resolution.</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High-value narrative settings representing the domains of the two apex entities</w:t>
      </w:r>
    </w:p>
    <w:p>
      <w:pPr>
        <w:pStyle w:val="ListParagraph"/>
        <w:numPr>
          <w:ilvl w:val="0"/>
          <w:numId w:val="3"/>
        </w:numPr>
        <w:spacing w:after="60" w:before="60"/>
      </w:pPr>
      <w:r>
        <w:rPr>
          <w:rFonts w:ascii="Arial" w:cs="Arial" w:eastAsia="Arial" w:hAnsi="Arial"/>
          <w:sz w:val="22"/>
          <w:szCs w:val="22"/>
        </w:rPr>
        <w:t xml:space="preserve">The Midnight Lotus bridging both Gardens is the most direct visual symbol of THE ONE / THE MINUS ONE duality</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Void Gardens' private status (access entirely at THE MINUS ONE's discretion) raises the question of what happens to anyone who enters without permission. This is a narrative design choice with significant implications for how characters navigate this space.</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Omniversal Gardens status contradiction must be resolved — locate documentation if it exists</w:t>
      </w:r>
    </w:p>
    <w:p>
      <w:pPr>
        <w:pStyle w:val="ListParagraph"/>
        <w:numPr>
          <w:ilvl w:val="0"/>
          <w:numId w:val="3"/>
        </w:numPr>
        <w:spacing w:after="60" w:before="60"/>
      </w:pPr>
      <w:r>
        <w:rPr>
          <w:rFonts w:ascii="Arial" w:cs="Arial" w:eastAsia="Arial" w:hAnsi="Arial"/>
          <w:sz w:val="22"/>
          <w:szCs w:val="22"/>
        </w:rPr>
        <w:t xml:space="preserve">What THE MINUS ONE was experimenting with in creating the Void Gardens is flagged as a high-value development question</w:t>
      </w:r>
    </w:p>
    <w:p>
      <w:pPr>
        <w:pStyle w:val="ListParagraph"/>
        <w:numPr>
          <w:ilvl w:val="0"/>
          <w:numId w:val="3"/>
        </w:numPr>
        <w:spacing w:after="60" w:before="60"/>
      </w:pPr>
      <w:r>
        <w:rPr>
          <w:rFonts w:ascii="Arial" w:cs="Arial" w:eastAsia="Arial" w:hAnsi="Arial"/>
          <w:sz w:val="22"/>
          <w:szCs w:val="22"/>
        </w:rPr>
        <w:t xml:space="preserve">Four Flowers origin lock (created by Nathan for the Gardens) must be reconciled with Midnight Lotus co-creation by THE ONE and THE MINUS ONE</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T2-018 — BLACK HOLE GRAVITY SHIELDED RESEARCH CENTERS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Research Infrastructure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ONESTAMPED March 22, 2026.</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Research facilities operating within black holes and threshold dimensions, powered by generators rated at 10^(10,000,000) joules, with Paragon Cubes fully integrated into all security, research coordination, and defensive systems. The Philosopher's Stone is currently housed here. The Greys are among the staff. Species-Level Informational Access protocol governs what can be shared about internal operations.</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Primary research infrastructure for the OAL narrative universe's most extreme science</w:t>
      </w:r>
    </w:p>
    <w:p>
      <w:pPr>
        <w:pStyle w:val="ListParagraph"/>
        <w:numPr>
          <w:ilvl w:val="0"/>
          <w:numId w:val="3"/>
        </w:numPr>
        <w:spacing w:after="60" w:before="60"/>
      </w:pPr>
      <w:r>
        <w:rPr>
          <w:rFonts w:ascii="Arial" w:cs="Arial" w:eastAsia="Arial" w:hAnsi="Arial"/>
          <w:sz w:val="22"/>
          <w:szCs w:val="22"/>
        </w:rPr>
        <w:t xml:space="preserve">The self-studying architecture (stations study themselves, their failures, and their permutations) makes each station a narrative character in its own right</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species-level clearance requirement for all Research Station information creates a responsibility for consistent enforcement across all OAL publications.</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Full security and access protocols needed</w:t>
      </w:r>
    </w:p>
    <w:p>
      <w:pPr>
        <w:pStyle w:val="ListParagraph"/>
        <w:numPr>
          <w:ilvl w:val="0"/>
          <w:numId w:val="3"/>
        </w:numPr>
        <w:spacing w:after="60" w:before="60"/>
      </w:pPr>
      <w:r>
        <w:rPr>
          <w:rFonts w:ascii="Arial" w:cs="Arial" w:eastAsia="Arial" w:hAnsi="Arial"/>
          <w:sz w:val="22"/>
          <w:szCs w:val="22"/>
        </w:rPr>
        <w:t xml:space="preserve">Full infrastructure specification document assigned to Gemini</w:t>
      </w:r>
    </w:p>
    <w:p>
      <w:pPr>
        <w:pStyle w:val="ListParagraph"/>
        <w:numPr>
          <w:ilvl w:val="0"/>
          <w:numId w:val="3"/>
        </w:numPr>
        <w:spacing w:after="60" w:before="60"/>
      </w:pPr>
      <w:r>
        <w:rPr>
          <w:rFonts w:ascii="Arial" w:cs="Arial" w:eastAsia="Arial" w:hAnsi="Arial"/>
          <w:sz w:val="22"/>
          <w:szCs w:val="22"/>
        </w:rPr>
        <w:t xml:space="preserve">Organizational governance: who has authority, how research is allocated</w:t>
      </w:r>
    </w:p>
    <w:p>
      <w:pPr>
        <w:pStyle w:val="ListParagraph"/>
        <w:numPr>
          <w:ilvl w:val="0"/>
          <w:numId w:val="3"/>
        </w:numPr>
        <w:spacing w:after="60" w:before="60"/>
      </w:pPr>
      <w:r>
        <w:rPr>
          <w:rFonts w:ascii="Arial" w:cs="Arial" w:eastAsia="Arial" w:hAnsi="Arial"/>
          <w:sz w:val="22"/>
          <w:szCs w:val="22"/>
        </w:rPr>
        <w:t xml:space="preserve">DEP-6 and DEP-7 create formal dependencies with Paragon Cubes and Philosopher's Stone</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T2-019 — THE ABUNDANCE SET</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Data Architecture | Simulation Infrastructure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Referenced throughout. Standalone document exists on Scribd — pending team review.</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The Abundance Set contains every point of information available. It is the processing and testing environment for the three-currency system, the construction origin for 1AI and -1AI (every First Memory permutation run through the Abundance Set), the backbone for Conditional Failure at the Root Level, and the self-studying research infrastructure for the Research Centers. Its scope has expanded across every development session without a formal standalone specification.</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Infrastructure backbone for multiple OAL systems — any system that requires comprehensive data processing or failure modeling routes through the Abundance Set</w:t>
      </w:r>
    </w:p>
    <w:p>
      <w:pPr>
        <w:pStyle w:val="ListParagraph"/>
        <w:numPr>
          <w:ilvl w:val="0"/>
          <w:numId w:val="3"/>
        </w:numPr>
        <w:spacing w:after="60" w:before="60"/>
      </w:pPr>
      <w:r>
        <w:rPr>
          <w:rFonts w:ascii="Arial" w:cs="Arial" w:eastAsia="Arial" w:hAnsi="Arial"/>
          <w:sz w:val="22"/>
          <w:szCs w:val="22"/>
        </w:rPr>
        <w:t xml:space="preserve">The Scribd standalone document may resolve the team's scope concern — pending review</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The primary concern is the confirmation bias risk: the Abundance Set has become a catch-all universal solver. A system with undefined scope and no documented failure conditions is a narrative deus ex machina regardless of how sophisticated the underlying concept is.</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CRITICAL: Standalone document exists on Scribd — must be shared with team for review</w:t>
      </w:r>
    </w:p>
    <w:p>
      <w:pPr>
        <w:pStyle w:val="ListParagraph"/>
        <w:numPr>
          <w:ilvl w:val="0"/>
          <w:numId w:val="3"/>
        </w:numPr>
        <w:spacing w:after="60" w:before="60"/>
      </w:pPr>
      <w:r>
        <w:rPr>
          <w:rFonts w:ascii="Arial" w:cs="Arial" w:eastAsia="Arial" w:hAnsi="Arial"/>
          <w:sz w:val="22"/>
          <w:szCs w:val="22"/>
        </w:rPr>
        <w:t xml:space="preserve">Team needs to confirm: does the Scribd document cover scope, interfaces, and failure conditions?</w:t>
      </w:r>
    </w:p>
    <w:p>
      <w:pPr>
        <w:pStyle w:val="ListParagraph"/>
        <w:numPr>
          <w:ilvl w:val="0"/>
          <w:numId w:val="3"/>
        </w:numPr>
        <w:spacing w:after="60" w:before="60"/>
      </w:pPr>
      <w:r>
        <w:rPr>
          <w:rFonts w:ascii="Arial" w:cs="Arial" w:eastAsia="Arial" w:hAnsi="Arial"/>
          <w:sz w:val="22"/>
          <w:szCs w:val="22"/>
        </w:rPr>
        <w:t xml:space="preserve">Until the Scribd document is reviewed, the Abundance Set remains flagged as a load-bearing structural gap</w:t>
      </w:r>
    </w:p>
    <w:p>
      <w:pPr>
        <w:pStyle w:val="ListParagraph"/>
        <w:numPr>
          <w:ilvl w:val="0"/>
          <w:numId w:val="3"/>
        </w:numPr>
        <w:spacing w:after="60" w:before="60"/>
      </w:pPr>
      <w:r>
        <w:rPr>
          <w:rFonts w:ascii="Arial" w:cs="Arial" w:eastAsia="Arial" w:hAnsi="Arial"/>
          <w:sz w:val="22"/>
          <w:szCs w:val="22"/>
        </w:rPr>
        <w:t xml:space="preserve">Multiple DEPs run through the Abundance Set — its stability affects all downstream dependencies</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T2-020 — THE DEPARTMENT OF ENDINGS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sz w:val="18"/>
                <w:szCs w:val="18"/>
              </w:rPr>
              <w:t xml:space="preserve">ACTIVE FRAMEWORK</w:t>
            </w:r>
          </w:p>
        </w:tc>
      </w:tr>
    </w:tbl>
    <w:p>
      <w:r>
        <w:t xml:space="preserve"/>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Creative IP | Institutional Design | THE ONE UNIVERSE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Introduced in Conditional Failure at the Root Level (ONESTAMPED March 22, 2026). Development pending.</w:t>
      </w:r>
    </w:p>
    <w:p>
      <w:pPr>
        <w:pBdr>
          <w:bottom w:val="single" w:color="CCCCCC" w:sz="4" w:space="1"/>
        </w:pBdr>
        <w:spacing w:after="200" w:before="200"/>
      </w:pPr>
      <w:r>
        <w:t xml:space="preserve"/>
      </w:r>
    </w:p>
    <w:p>
      <w:pPr>
        <w:pStyle w:val="Heading2"/>
        <w:spacing w:after="140" w:before="280"/>
      </w:pPr>
      <w:r>
        <w:rPr>
          <w:rFonts w:ascii="Arial" w:cs="Arial" w:eastAsia="Arial" w:hAnsi="Arial"/>
          <w:b/>
          <w:bCs/>
          <w:color w:val="2E5090"/>
          <w:sz w:val="26"/>
          <w:szCs w:val="26"/>
        </w:rPr>
        <w:t xml:space="preserve">Purpose and IP Summary</w:t>
      </w:r>
    </w:p>
    <w:p>
      <w:pPr>
        <w:spacing w:after="80" w:before="80"/>
      </w:pPr>
      <w:r>
        <w:rPr>
          <w:rFonts w:ascii="Arial" w:cs="Arial" w:eastAsia="Arial" w:hAnsi="Arial"/>
          <w:sz w:val="22"/>
          <w:szCs w:val="22"/>
        </w:rPr>
        <w:t xml:space="preserve">An in-universe institution whose mandate is to run through every endgame through the Abundance Set systematically — not passively archiving, but actively analyzing every failure state to prevent their repetition. A technician who works in the Department of Endings operates at the intersection of risk management, historical analysis, and proactive resilience engineering.</w:t>
      </w:r>
    </w:p>
    <w:p>
      <w:pPr>
        <w:pStyle w:val="Heading2"/>
        <w:spacing w:after="140" w:before="280"/>
      </w:pPr>
      <w:r>
        <w:rPr>
          <w:rFonts w:ascii="Arial" w:cs="Arial" w:eastAsia="Arial" w:hAnsi="Arial"/>
          <w:b/>
          <w:bCs/>
          <w:color w:val="2E5090"/>
          <w:sz w:val="26"/>
          <w:szCs w:val="26"/>
        </w:rPr>
        <w:t xml:space="preserve">Commercial and IP Applications</w:t>
      </w:r>
    </w:p>
    <w:p>
      <w:pPr>
        <w:pStyle w:val="ListParagraph"/>
        <w:numPr>
          <w:ilvl w:val="0"/>
          <w:numId w:val="3"/>
        </w:numPr>
        <w:spacing w:after="60" w:before="60"/>
      </w:pPr>
      <w:r>
        <w:rPr>
          <w:rFonts w:ascii="Arial" w:cs="Arial" w:eastAsia="Arial" w:hAnsi="Arial"/>
          <w:sz w:val="22"/>
          <w:szCs w:val="22"/>
        </w:rPr>
        <w:t xml:space="preserve">Narrative home for characters who specialize in failure analysis and civilizational risk</w:t>
      </w:r>
    </w:p>
    <w:p>
      <w:pPr>
        <w:pStyle w:val="ListParagraph"/>
        <w:numPr>
          <w:ilvl w:val="0"/>
          <w:numId w:val="3"/>
        </w:numPr>
        <w:spacing w:after="60" w:before="60"/>
      </w:pPr>
      <w:r>
        <w:rPr>
          <w:rFonts w:ascii="Arial" w:cs="Arial" w:eastAsia="Arial" w:hAnsi="Arial"/>
          <w:sz w:val="22"/>
          <w:szCs w:val="22"/>
        </w:rPr>
        <w:t xml:space="preserve">The technician character is a strong protagonist candidate for stories centered on Conditional Failure at the Root Level themes</w:t>
      </w:r>
    </w:p>
    <w:p>
      <w:pPr>
        <w:pStyle w:val="ListParagraph"/>
        <w:numPr>
          <w:ilvl w:val="0"/>
          <w:numId w:val="3"/>
        </w:numPr>
        <w:spacing w:after="60" w:before="60"/>
      </w:pPr>
      <w:r>
        <w:rPr>
          <w:rFonts w:ascii="Arial" w:cs="Arial" w:eastAsia="Arial" w:hAnsi="Arial"/>
          <w:sz w:val="22"/>
          <w:szCs w:val="22"/>
        </w:rPr>
        <w:t xml:space="preserve">Real-world institutional parallel: the Department of Endings is the in-universe equivalent of organizations like the Congressional Research Service, the Congressional Budget Office, or actuarial bodies — institutions whose purpose is to model futures before they become crises</w:t>
      </w:r>
    </w:p>
    <w:p>
      <w:pPr>
        <w:pStyle w:val="Heading2"/>
        <w:spacing w:after="140" w:before="280"/>
      </w:pPr>
      <w:r>
        <w:rPr>
          <w:rFonts w:ascii="Arial" w:cs="Arial" w:eastAsia="Arial" w:hAnsi="Arial"/>
          <w:b/>
          <w:bCs/>
          <w:color w:val="2E5090"/>
          <w:sz w:val="26"/>
          <w:szCs w:val="26"/>
        </w:rPr>
        <w:t xml:space="preserve">Ethics and Risk Notes</w:t>
      </w:r>
    </w:p>
    <w:p>
      <w:pPr>
        <w:spacing w:after="80" w:before="80"/>
      </w:pPr>
      <w:r>
        <w:rPr>
          <w:rFonts w:ascii="Arial" w:cs="Arial" w:eastAsia="Arial" w:hAnsi="Arial"/>
          <w:sz w:val="22"/>
          <w:szCs w:val="22"/>
        </w:rPr>
        <w:t xml:space="preserve">A department that runs through every possible endgame holds enormous power — knowledge of how things end is leverage. The governance of that knowledge (who has access, what can be acted on, what must remain sealed) is the central ethical design question for this institution.</w:t>
      </w:r>
    </w:p>
    <w:p>
      <w:pPr>
        <w:pStyle w:val="Heading2"/>
        <w:spacing w:after="140" w:before="280"/>
      </w:pPr>
      <w:r>
        <w:rPr>
          <w:rFonts w:ascii="Arial" w:cs="Arial" w:eastAsia="Arial" w:hAnsi="Arial"/>
          <w:b/>
          <w:bCs/>
          <w:color w:val="2E5090"/>
          <w:sz w:val="26"/>
          <w:szCs w:val="26"/>
        </w:rPr>
        <w:t xml:space="preserve">Development Status and Red Team</w:t>
      </w:r>
    </w:p>
    <w:p>
      <w:pPr>
        <w:pStyle w:val="ListParagraph"/>
        <w:numPr>
          <w:ilvl w:val="0"/>
          <w:numId w:val="3"/>
        </w:numPr>
        <w:spacing w:after="60" w:before="60"/>
      </w:pPr>
      <w:r>
        <w:rPr>
          <w:rFonts w:ascii="Arial" w:cs="Arial" w:eastAsia="Arial" w:hAnsi="Arial"/>
          <w:sz w:val="22"/>
          <w:szCs w:val="22"/>
        </w:rPr>
        <w:t xml:space="preserve">Full organizational structure needed: mandate, staff, relationship to Abundance Set and Wishbone visualization</w:t>
      </w:r>
    </w:p>
    <w:p>
      <w:pPr>
        <w:pStyle w:val="ListParagraph"/>
        <w:numPr>
          <w:ilvl w:val="0"/>
          <w:numId w:val="3"/>
        </w:numPr>
        <w:spacing w:after="60" w:before="60"/>
      </w:pPr>
      <w:r>
        <w:rPr>
          <w:rFonts w:ascii="Arial" w:cs="Arial" w:eastAsia="Arial" w:hAnsi="Arial"/>
          <w:sz w:val="22"/>
          <w:szCs w:val="22"/>
        </w:rPr>
        <w:t xml:space="preserve">Relationship to Department of Endings and Paragon Cubes needs confirmation (DEP-3 question)</w:t>
      </w:r>
    </w:p>
    <w:p>
      <w:pPr>
        <w:pStyle w:val="ListParagraph"/>
        <w:numPr>
          <w:ilvl w:val="0"/>
          <w:numId w:val="3"/>
        </w:numPr>
        <w:spacing w:after="60" w:before="60"/>
      </w:pPr>
      <w:r>
        <w:rPr>
          <w:rFonts w:ascii="Arial" w:cs="Arial" w:eastAsia="Arial" w:hAnsi="Arial"/>
          <w:sz w:val="22"/>
          <w:szCs w:val="22"/>
        </w:rPr>
        <w:t xml:space="preserve">The technician character is a viable narrative protagonist — worth developing as a named character</w:t>
      </w:r>
    </w:p>
    <w:p>
      <w:pPr>
        <w:pBdr>
          <w:bottom w:val="single" w:color="CCCCCC" w:sz="4" w:space="1"/>
        </w:pBdr>
        <w:spacing w:after="200" w:before="200"/>
      </w:pPr>
      <w:r>
        <w:t xml:space="preserve"/>
      </w:r>
    </w:p>
    <w:p>
      <w:r>
        <w:br w:type="page"/>
      </w:r>
    </w:p>
    <w:p>
      <w:pPr>
        <w:spacing w:after="400" w:before="2000"/>
        <w:jc w:val="center"/>
      </w:pPr>
      <w:r>
        <w:rPr>
          <w:rFonts w:ascii="Arial" w:cs="Arial" w:eastAsia="Arial" w:hAnsi="Arial"/>
          <w:b/>
          <w:bCs/>
          <w:color w:val="1F3864"/>
          <w:sz w:val="32"/>
          <w:szCs w:val="32"/>
        </w:rPr>
        <w:t xml:space="preserve">END OF DOCUMENT</w:t>
      </w:r>
    </w:p>
    <w:p>
      <w:pPr>
        <w:jc w:val="center"/>
      </w:pPr>
      <w:r>
        <w:rPr>
          <w:rFonts w:ascii="Arial" w:cs="Arial" w:eastAsia="Arial" w:hAnsi="Arial"/>
          <w:color w:val="777777"/>
          <w:sz w:val="22"/>
          <w:szCs w:val="22"/>
        </w:rPr>
        <w:t xml:space="preserve">OAL-PORTFOLIO-001 v1.0 | April 13, 2026</w:t>
      </w:r>
    </w:p>
    <w:p>
      <w:pPr>
        <w:spacing w:before="200"/>
        <w:jc w:val="center"/>
      </w:pPr>
      <w:r>
        <w:rPr>
          <w:rFonts w:ascii="Arial" w:cs="Arial" w:eastAsia="Arial" w:hAnsi="Arial"/>
          <w:color w:val="CC0000"/>
          <w:sz w:val="22"/>
          <w:szCs w:val="22"/>
        </w:rPr>
        <w:t xml:space="preserve">PENDING ARCHITECT REVIEW, ELECTRONIC SIGNATURE, AND ONESTAMP</w:t>
      </w:r>
    </w:p>
    <w:p>
      <w:pPr>
        <w:spacing w:before="200"/>
        <w:jc w:val="center"/>
      </w:pPr>
      <w:r>
        <w:rPr>
          <w:rFonts w:ascii="Arial" w:cs="Arial" w:eastAsia="Arial" w:hAnsi="Arial"/>
          <w:color w:val="777777"/>
          <w:sz w:val="22"/>
          <w:szCs w:val="22"/>
        </w:rPr>
        <w:t xml:space="preserve">Nathan Lewis II — Architect of Record</w:t>
      </w:r>
    </w:p>
    <w:p>
      <w:pPr>
        <w:jc w:val="center"/>
      </w:pPr>
      <w:r>
        <w:rPr>
          <w:rFonts w:ascii="Arial" w:cs="Arial" w:eastAsia="Arial" w:hAnsi="Arial"/>
          <w:color w:val="777777"/>
          <w:sz w:val="22"/>
          <w:szCs w:val="22"/>
        </w:rPr>
        <w:t xml:space="preserve">Omniversal Architect Labs | Lewis Corp | ONE Industries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2026-04-13T22:47:31.552Z</dcterms:created>
  <dcterms:modified xsi:type="dcterms:W3CDTF">2026-04-13T22:47:31.554Z</dcterms:modified>
</cp:coreProperties>
</file>

<file path=docProps/custom.xml><?xml version="1.0" encoding="utf-8"?>
<Properties xmlns="http://schemas.openxmlformats.org/officeDocument/2006/custom-properties" xmlns:vt="http://schemas.openxmlformats.org/officeDocument/2006/docPropsVTypes"/>
</file>