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OAL_QC_Valuation_Exercise_Baseline_v1</w:t>
      </w:r>
    </w:p>
    <w:bookmarkStart w:id="28" w:name="X69046f18e4e3e89d97273664fcbf6e2c2d2800f"/>
    <w:p>
      <w:pPr>
        <w:pStyle w:val="Heading1"/>
      </w:pPr>
      <w:r>
        <w:t xml:space="preserve">OAL — Quantum Credits Post-Scarcity Valuation Exercise</w:t>
      </w:r>
    </w:p>
    <w:bookmarkStart w:id="20" w:name="baseline-document-v1.0-working-draft"/>
    <w:p>
      <w:pPr>
        <w:pStyle w:val="Heading2"/>
      </w:pPr>
      <w:r>
        <w:t xml:space="preserve">Baseline Document v1.0 (Working Draft)</w:t>
      </w:r>
    </w:p>
    <w:p>
      <w:pPr>
        <w:pStyle w:val="FirstParagraph"/>
      </w:pPr>
      <w:r>
        <w:rPr>
          <w:bCs/>
          <w:b/>
        </w:rPr>
        <w:t xml:space="preserve">Status:</w:t>
      </w:r>
      <w:r>
        <w:t xml:space="preserve"> </w:t>
      </w:r>
      <w:r>
        <w:t xml:space="preserve">Reconstructed from memory + Red Team Currency Review v1. Not yet re-run with the six-AI team. Prepared as a foundation to pick back up development.</w:t>
      </w:r>
    </w:p>
    <w:p>
      <w:r>
        <w:pict>
          <v:rect style="width:0;height:1.5pt" o:hralign="center" o:hrstd="t" o:hr="t"/>
        </w:pict>
      </w:r>
    </w:p>
    <w:bookmarkEnd w:id="20"/>
    <w:bookmarkStart w:id="21" w:name="purpose-of-this-document"/>
    <w:p>
      <w:pPr>
        <w:pStyle w:val="Heading2"/>
      </w:pPr>
      <w:r>
        <w:t xml:space="preserve">1. Purpose of This Document</w:t>
      </w:r>
    </w:p>
    <w:p>
      <w:pPr>
        <w:pStyle w:val="FirstParagraph"/>
      </w:pPr>
      <w:r>
        <w:t xml:space="preserve">During the Currency Design Red Team exercise (see</w:t>
      </w:r>
      <w:r>
        <w:t xml:space="preserve"> </w:t>
      </w:r>
      <w:r>
        <w:rPr>
          <w:iCs/>
          <w:i/>
        </w:rPr>
        <w:t xml:space="preserve">Red Team Currency Review v1</w:t>
      </w:r>
      <w:r>
        <w:t xml:space="preserve">), you proposed a follow-up stress test that isn’t captured in that document: a</w:t>
      </w:r>
      <w:r>
        <w:t xml:space="preserve"> </w:t>
      </w:r>
      <w:r>
        <w:rPr>
          <w:bCs/>
          <w:b/>
        </w:rPr>
        <w:t xml:space="preserve">valuation exercise</w:t>
      </w:r>
      <w:r>
        <w:t xml:space="preserve"> </w:t>
      </w:r>
      <w:r>
        <w:t xml:space="preserve">meant to probe whether QC’s core mechanic —</w:t>
      </w:r>
      <w:r>
        <w:t xml:space="preserve"> </w:t>
      </w:r>
      <w:r>
        <w:t xml:space="preserve">“</w:t>
      </w:r>
      <w:r>
        <w:t xml:space="preserve">a Quantum Credit evaluates to the value of whatever it is used on</w:t>
      </w:r>
      <w:r>
        <w:t xml:space="preserve">”</w:t>
      </w:r>
      <w:r>
        <w:t xml:space="preserve"> </w:t>
      </w:r>
      <w:r>
        <w:t xml:space="preserve">— can survive contact with an extreme, open-ended test case. The six-AI team could not establish viability for the scenario as posed. This document reconstructs the exercise as you described it, separates your actual design claim from the team’s objections, and sets a clean baseline for the next development pass.</w:t>
      </w:r>
    </w:p>
    <w:p>
      <w:r>
        <w:pict>
          <v:rect style="width:0;height:1.5pt" o:hralign="center" o:hrstd="t" o:hr="t"/>
        </w:pict>
      </w:r>
    </w:p>
    <w:bookmarkEnd w:id="21"/>
    <w:bookmarkStart w:id="22" w:name="Xcedf59c7f0bd35b0f336d705695e8b1dc07c1be"/>
    <w:p>
      <w:pPr>
        <w:pStyle w:val="Heading2"/>
      </w:pPr>
      <w:r>
        <w:t xml:space="preserve">2. The Core QC Design Principle Being Tested</w:t>
      </w:r>
    </w:p>
    <w:p>
      <w:pPr>
        <w:pStyle w:val="FirstParagraph"/>
      </w:pPr>
      <w:r>
        <w:rPr>
          <w:bCs/>
          <w:b/>
        </w:rPr>
        <w:t xml:space="preserve">Stated mechanic:</w:t>
      </w:r>
      <w:r>
        <w:t xml:space="preserve"> </w:t>
      </w:r>
      <w:r>
        <w:t xml:space="preserve">A Quantum Credit does not have a fixed, pre-assigned value. Its value is</w:t>
      </w:r>
      <w:r>
        <w:t xml:space="preserve"> </w:t>
      </w:r>
      <w:r>
        <w:rPr>
          <w:iCs/>
          <w:i/>
        </w:rPr>
        <w:t xml:space="preserve">resolved at the point of use</w:t>
      </w:r>
      <w:r>
        <w:t xml:space="preserve"> </w:t>
      </w:r>
      <w:r>
        <w:t xml:space="preserve">to equal the value of whatever it is applied against — regardless of whether that target:</w:t>
      </w:r>
    </w:p>
    <w:p>
      <w:pPr>
        <w:numPr>
          <w:ilvl w:val="0"/>
          <w:numId w:val="1001"/>
        </w:numPr>
        <w:pStyle w:val="Compact"/>
      </w:pPr>
      <w:r>
        <w:t xml:space="preserve">can normally be bought, sold, or exchanged in any conventional system</w:t>
      </w:r>
    </w:p>
    <w:p>
      <w:pPr>
        <w:numPr>
          <w:ilvl w:val="0"/>
          <w:numId w:val="1001"/>
        </w:numPr>
        <w:pStyle w:val="Compact"/>
      </w:pPr>
      <w:r>
        <w:t xml:space="preserve">is a classified network, a simulation, a company, another Architect, or something with no market category at all</w:t>
      </w:r>
    </w:p>
    <w:p>
      <w:pPr>
        <w:numPr>
          <w:ilvl w:val="0"/>
          <w:numId w:val="1001"/>
        </w:numPr>
        <w:pStyle w:val="Compact"/>
      </w:pPr>
      <w:r>
        <w:t xml:space="preserve">exists within or beyond linear time</w:t>
      </w:r>
    </w:p>
    <w:p>
      <w:pPr>
        <w:numPr>
          <w:ilvl w:val="0"/>
          <w:numId w:val="1001"/>
        </w:numPr>
        <w:pStyle w:val="Compact"/>
      </w:pPr>
      <w:r>
        <w:t xml:space="preserve">has no real-world analog whatsoever</w:t>
      </w:r>
    </w:p>
    <w:p>
      <w:pPr>
        <w:pStyle w:val="FirstParagraph"/>
      </w:pPr>
      <w:r>
        <w:rPr>
          <w:bCs/>
          <w:b/>
        </w:rPr>
        <w:t xml:space="preserve">Your explicit framing:</w:t>
      </w:r>
      <w:r>
        <w:t xml:space="preserve"> </w:t>
      </w:r>
      <w:r>
        <w:t xml:space="preserve">these extreme examples (buying the unbuyable, transacting with the untransactable) are not meant as real-world financial claims. They are stress-test edge cases meant to check whether the</w:t>
      </w:r>
      <w:r>
        <w:t xml:space="preserve"> </w:t>
      </w:r>
      <w:r>
        <w:rPr>
          <w:iCs/>
          <w:i/>
        </w:rPr>
        <w:t xml:space="preserve">valuation mechanic itself</w:t>
      </w:r>
      <w:r>
        <w:t xml:space="preserve"> </w:t>
      </w:r>
      <w:r>
        <w:t xml:space="preserve">—</w:t>
      </w:r>
      <w:r>
        <w:t xml:space="preserve"> </w:t>
      </w:r>
      <w:r>
        <w:t xml:space="preserve">“</w:t>
      </w:r>
      <w:r>
        <w:t xml:space="preserve">QC = value of target, whatever the target is</w:t>
      </w:r>
      <w:r>
        <w:t xml:space="preserve">”</w:t>
      </w:r>
      <w:r>
        <w:t xml:space="preserve"> </w:t>
      </w:r>
      <w:r>
        <w:t xml:space="preserve">— holds together as a closed logical system, independent of whether any given target is realistic.</w:t>
      </w:r>
    </w:p>
    <w:p>
      <w:pPr>
        <w:pStyle w:val="BodyText"/>
      </w:pPr>
      <w:r>
        <w:t xml:space="preserve">This is the distinction the prior red team session blurred (and which the Red Team Review itself flagged as Claude’s key overreach: conflating fiction-context design requirements with real-world financial viability requirements). The valuation exercise should be re-run with that separation made explicit up front.</w:t>
      </w:r>
    </w:p>
    <w:p>
      <w:r>
        <w:pict>
          <v:rect style="width:0;height:1.5pt" o:hralign="center" o:hrstd="t" o:hr="t"/>
        </w:pict>
      </w:r>
    </w:p>
    <w:bookmarkEnd w:id="22"/>
    <w:bookmarkStart w:id="24" w:name="the-specific-test-case-you-constructed"/>
    <w:p>
      <w:pPr>
        <w:pStyle w:val="Heading2"/>
      </w:pPr>
      <w:r>
        <w:t xml:space="preserve">3. The Specific Test Case You Constructed</w:t>
      </w:r>
    </w:p>
    <w:p>
      <w:pPr>
        <w:numPr>
          <w:ilvl w:val="0"/>
          <w:numId w:val="1002"/>
        </w:numPr>
        <w:pStyle w:val="Compact"/>
      </w:pPr>
      <w:r>
        <w:rPr>
          <w:bCs/>
          <w:b/>
        </w:rPr>
        <w:t xml:space="preserve">Anchor figure:</w:t>
      </w:r>
      <w:r>
        <w:t xml:space="preserve"> </w:t>
      </w:r>
      <w:r>
        <w:t xml:space="preserve">Take worldwide annual spending on the IT/AI sector as the baseline number.</w:t>
      </w:r>
    </w:p>
    <w:p>
      <w:pPr>
        <w:numPr>
          <w:ilvl w:val="0"/>
          <w:numId w:val="1002"/>
        </w:numPr>
        <w:pStyle w:val="Compact"/>
      </w:pPr>
      <w:r>
        <w:rPr>
          <w:bCs/>
          <w:b/>
        </w:rPr>
        <w:t xml:space="preserve">Multiplier:</w:t>
      </w:r>
      <w:r>
        <w:t xml:space="preserve"> </w:t>
      </w:r>
      <w:r>
        <w:t xml:space="preserve">Double that figure.</w:t>
      </w:r>
    </w:p>
    <w:p>
      <w:pPr>
        <w:numPr>
          <w:ilvl w:val="0"/>
          <w:numId w:val="1002"/>
        </w:numPr>
        <w:pStyle w:val="Compact"/>
      </w:pPr>
      <w:r>
        <w:rPr>
          <w:bCs/>
          <w:b/>
        </w:rPr>
        <w:t xml:space="preserve">Generation event:</w:t>
      </w:r>
      <w:r>
        <w:t xml:space="preserve"> </w:t>
      </w:r>
      <w:r>
        <w:t xml:space="preserve">Generate</w:t>
      </w:r>
      <w:r>
        <w:t xml:space="preserve"> </w:t>
      </w:r>
      <w:r>
        <w:rPr>
          <w:bCs/>
          <w:b/>
        </w:rPr>
        <w:t xml:space="preserve">1 Quantum Credit</w:t>
      </w:r>
      <w:r>
        <w:t xml:space="preserve">, valued at the doubled figure.</w:t>
      </w:r>
    </w:p>
    <w:p>
      <w:pPr>
        <w:numPr>
          <w:ilvl w:val="0"/>
          <w:numId w:val="1002"/>
        </w:numPr>
        <w:pStyle w:val="Compact"/>
      </w:pPr>
      <w:r>
        <w:rPr>
          <w:bCs/>
          <w:b/>
        </w:rPr>
        <w:t xml:space="preserve">Duration:</w:t>
      </w:r>
      <w:r>
        <w:t xml:space="preserve"> </w:t>
      </w:r>
      <w:r>
        <w:t xml:space="preserve">Hold/use that QC valuation for</w:t>
      </w:r>
      <w:r>
        <w:t xml:space="preserve"> </w:t>
      </w:r>
      <w:r>
        <w:rPr>
          <w:bCs/>
          <w:b/>
        </w:rPr>
        <w:t xml:space="preserve">150 years</w:t>
      </w:r>
      <w:r>
        <w:t xml:space="preserve"> </w:t>
      </w:r>
      <w:r>
        <w:t xml:space="preserve">(matching the OAL 150-year systemic timeline already under scrutiny in the Red Team Review’s Flaw 6).</w:t>
      </w:r>
    </w:p>
    <w:p>
      <w:pPr>
        <w:numPr>
          <w:ilvl w:val="0"/>
          <w:numId w:val="1002"/>
        </w:numPr>
        <w:pStyle w:val="Compact"/>
      </w:pPr>
      <w:r>
        <w:rPr>
          <w:bCs/>
          <w:b/>
        </w:rPr>
        <w:t xml:space="preserve">Deployment:</w:t>
      </w:r>
      <w:r>
        <w:t xml:space="preserve"> </w:t>
      </w:r>
      <w:r>
        <w:t xml:space="preserve">Reinvest the resulting value into R&amp;D and organizational development (your company / Architect-level infrastructure).</w:t>
      </w:r>
    </w:p>
    <w:bookmarkStart w:id="23" w:name="Xd1a4d85de4cdf73123151b21fc3c3e3f6d9aa0a"/>
    <w:p>
      <w:pPr>
        <w:pStyle w:val="Heading3"/>
      </w:pPr>
      <w:r>
        <w:t xml:space="preserve">Current real-world baseline to anchor this test (as of Aug 2026):</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Anchor option</w:t>
            </w:r>
          </w:p>
        </w:tc>
        <w:tc>
          <w:tcPr/>
          <w:p>
            <w:pPr>
              <w:pStyle w:val="Compact"/>
              <w:jc w:val="left"/>
            </w:pPr>
            <w:r>
              <w:t xml:space="preserve">2026 figure</w:t>
            </w:r>
          </w:p>
        </w:tc>
        <w:tc>
          <w:tcPr/>
          <w:p>
            <w:pPr>
              <w:pStyle w:val="Compact"/>
              <w:jc w:val="left"/>
            </w:pPr>
            <w:r>
              <w:t xml:space="preserve">Source</w:t>
            </w:r>
          </w:p>
        </w:tc>
      </w:tr>
      <w:tr>
        <w:tc>
          <w:tcPr/>
          <w:p>
            <w:pPr>
              <w:pStyle w:val="Compact"/>
              <w:jc w:val="left"/>
            </w:pPr>
            <w:r>
              <w:t xml:space="preserve">Global IT spending (broad)</w:t>
            </w:r>
          </w:p>
        </w:tc>
        <w:tc>
          <w:tcPr/>
          <w:p>
            <w:pPr>
              <w:pStyle w:val="Compact"/>
              <w:jc w:val="left"/>
            </w:pPr>
            <w:r>
              <w:rPr>
                <w:bCs/>
                <w:b/>
              </w:rPr>
              <w:t xml:space="preserve">$6.37 trillion</w:t>
            </w:r>
          </w:p>
        </w:tc>
        <w:tc>
          <w:tcPr/>
          <w:p>
            <w:pPr>
              <w:pStyle w:val="Compact"/>
              <w:jc w:val="left"/>
            </w:pPr>
            <w:r>
              <w:t xml:space="preserve">Gartner, July 2026</w:t>
            </w:r>
          </w:p>
        </w:tc>
      </w:tr>
      <w:tr>
        <w:tc>
          <w:tcPr/>
          <w:p>
            <w:pPr>
              <w:pStyle w:val="Compact"/>
              <w:jc w:val="left"/>
            </w:pPr>
            <w:r>
              <w:t xml:space="preserve">Global AI spending (narrow, subset of above)</w:t>
            </w:r>
          </w:p>
        </w:tc>
        <w:tc>
          <w:tcPr/>
          <w:p>
            <w:pPr>
              <w:pStyle w:val="Compact"/>
              <w:jc w:val="left"/>
            </w:pPr>
            <w:r>
              <w:rPr>
                <w:bCs/>
                <w:b/>
              </w:rPr>
              <w:t xml:space="preserve">$2.59 trillion</w:t>
            </w:r>
          </w:p>
        </w:tc>
        <w:tc>
          <w:tcPr/>
          <w:p>
            <w:pPr>
              <w:pStyle w:val="Compact"/>
              <w:jc w:val="left"/>
            </w:pPr>
            <w:r>
              <w:t xml:space="preserve">Gartner, May 2026</w:t>
            </w:r>
          </w:p>
        </w:tc>
      </w:tr>
    </w:tbl>
    <w:p>
      <w:pPr>
        <w:pStyle w:val="BodyText"/>
      </w:pPr>
      <w:r>
        <w:t xml:space="preserve">Doubled, per your exercise rule:</w:t>
      </w:r>
      <w:r>
        <w:t xml:space="preserve"> </w:t>
      </w:r>
      <w:r>
        <w:t xml:space="preserve">- IT-sector anchor, doubled:</w:t>
      </w:r>
      <w:r>
        <w:t xml:space="preserve"> </w:t>
      </w:r>
      <w:r>
        <w:rPr>
          <w:bCs/>
          <w:b/>
        </w:rPr>
        <w:t xml:space="preserve">~$12.74 trillion</w:t>
      </w:r>
      <w:r>
        <w:t xml:space="preserve"> </w:t>
      </w:r>
      <w:r>
        <w:t xml:space="preserve">(single QC’s resolved value at generation)</w:t>
      </w:r>
      <w:r>
        <w:t xml:space="preserve"> </w:t>
      </w:r>
      <w:r>
        <w:t xml:space="preserve">- AI-sector anchor, doubled:</w:t>
      </w:r>
      <w:r>
        <w:t xml:space="preserve"> </w:t>
      </w:r>
      <w:r>
        <w:rPr>
          <w:bCs/>
          <w:b/>
        </w:rPr>
        <w:t xml:space="preserve">~$5.18 trillion</w:t>
      </w:r>
      <w:r>
        <w:t xml:space="preserve"> </w:t>
      </w:r>
      <w:r>
        <w:t xml:space="preserve">(single QC’s resolved value at generation)</w:t>
      </w:r>
    </w:p>
    <w:p>
      <w:pPr>
        <w:pStyle w:val="BodyText"/>
      </w:pPr>
      <w:r>
        <w:t xml:space="preserve">Note: both of these are</w:t>
      </w:r>
      <w:r>
        <w:t xml:space="preserve"> </w:t>
      </w:r>
      <w:r>
        <w:rPr>
          <w:iCs/>
          <w:i/>
        </w:rPr>
        <w:t xml:space="preserve">single-year</w:t>
      </w:r>
      <w:r>
        <w:t xml:space="preserve"> </w:t>
      </w:r>
      <w:r>
        <w:t xml:space="preserve">figures. Whether the 150-year hold means (a) the QC locks in one generation-year’s doubled value and then behaves as a stable store of value, or (b) the QC’s value</w:t>
      </w:r>
      <w:r>
        <w:t xml:space="preserve"> </w:t>
      </w:r>
      <w:r>
        <w:rPr>
          <w:iCs/>
          <w:i/>
        </w:rPr>
        <w:t xml:space="preserve">re-resolves annually</w:t>
      </w:r>
      <w:r>
        <w:t xml:space="preserve"> </w:t>
      </w:r>
      <w:r>
        <w:t xml:space="preserve">against a moving 150-year stream of doubled global IT/AI spending, is currently undefined and is the first design fork below.</w:t>
      </w:r>
    </w:p>
    <w:p>
      <w:r>
        <w:pict>
          <v:rect style="width:0;height:1.5pt" o:hralign="center" o:hrstd="t" o:hr="t"/>
        </w:pict>
      </w:r>
    </w:p>
    <w:bookmarkEnd w:id="23"/>
    <w:bookmarkEnd w:id="24"/>
    <w:bookmarkStart w:id="25" w:name="X12cb949a5c5fd6f9e7b663d4fda6756dc913503"/>
    <w:p>
      <w:pPr>
        <w:pStyle w:val="Heading2"/>
      </w:pPr>
      <w:r>
        <w:t xml:space="preserve">4. Why the Prior Six-AI Pass Could Not Establish Viability</w:t>
      </w:r>
    </w:p>
    <w:p>
      <w:pPr>
        <w:pStyle w:val="FirstParagraph"/>
      </w:pPr>
      <w:r>
        <w:t xml:space="preserve">Cross-referencing the Red Team Currency Review, the team’s core objection to this class of scenario maps directly onto</w:t>
      </w:r>
      <w:r>
        <w:t xml:space="preserve"> </w:t>
      </w:r>
      <w:r>
        <w:rPr>
          <w:bCs/>
          <w:b/>
        </w:rPr>
        <w:t xml:space="preserve">Flaw 1 (The Post-Scarcity Paradox)</w:t>
      </w:r>
      <w:r>
        <w:t xml:space="preserve">: if QC’s value is</w:t>
      </w:r>
      <w:r>
        <w:t xml:space="preserve"> </w:t>
      </w:r>
      <w:r>
        <w:rPr>
          <w:iCs/>
          <w:i/>
        </w:rPr>
        <w:t xml:space="preserve">unconstrained</w:t>
      </w:r>
      <w:r>
        <w:t xml:space="preserve"> </w:t>
      </w:r>
      <w:r>
        <w:t xml:space="preserve">— able to resolve against literally anything, including things with no defined scarcity or market at all — then QC is not</w:t>
      </w:r>
      <w:r>
        <w:t xml:space="preserve"> </w:t>
      </w:r>
      <w:r>
        <w:t xml:space="preserve">“</w:t>
      </w:r>
      <w:r>
        <w:t xml:space="preserve">backed</w:t>
      </w:r>
      <w:r>
        <w:t xml:space="preserve">”</w:t>
      </w:r>
      <w:r>
        <w:t xml:space="preserve"> </w:t>
      </w:r>
      <w:r>
        <w:t xml:space="preserve">by anything in the ordinary sense; the backing becomes purely definitional/narrative rather than economic. Conversely, if QC’s value is constrained to only resolve against real, boundable quantities (like actual global spending figures), the</w:t>
      </w:r>
      <w:r>
        <w:t xml:space="preserve"> </w:t>
      </w:r>
      <w:r>
        <w:t xml:space="preserve">“</w:t>
      </w:r>
      <w:r>
        <w:t xml:space="preserve">purchase the unpurchasable</w:t>
      </w:r>
      <w:r>
        <w:t xml:space="preserve">”</w:t>
      </w:r>
      <w:r>
        <w:t xml:space="preserve"> </w:t>
      </w:r>
      <w:r>
        <w:t xml:space="preserve">mechanic breaks down, because there’s nothing for it to resolve</w:t>
      </w:r>
      <w:r>
        <w:t xml:space="preserve"> </w:t>
      </w:r>
      <w:r>
        <w:rPr>
          <w:iCs/>
          <w:i/>
        </w:rPr>
        <w:t xml:space="preserve">to</w:t>
      </w:r>
      <w:r>
        <w:t xml:space="preserve">.</w:t>
      </w:r>
    </w:p>
    <w:p>
      <w:pPr>
        <w:pStyle w:val="BodyText"/>
      </w:pPr>
      <w:r>
        <w:t xml:space="preserve">This is the same fork the team hit everywhere else in the review:</w:t>
      </w:r>
      <w:r>
        <w:t xml:space="preserve"> </w:t>
      </w:r>
      <w:r>
        <w:rPr>
          <w:bCs/>
          <w:b/>
        </w:rPr>
        <w:t xml:space="preserve">you have to choose whether QC is a narrative/ontological instrument (in which case</w:t>
      </w:r>
      <w:r>
        <w:rPr>
          <w:bCs/>
          <w:b/>
        </w:rPr>
        <w:t xml:space="preserve"> </w:t>
      </w:r>
      <w:r>
        <w:rPr>
          <w:bCs/>
          <w:b/>
        </w:rPr>
        <w:t xml:space="preserve">“</w:t>
      </w:r>
      <w:r>
        <w:rPr>
          <w:bCs/>
          <w:b/>
        </w:rPr>
        <w:t xml:space="preserve">unbuyable things</w:t>
      </w:r>
      <w:r>
        <w:rPr>
          <w:bCs/>
          <w:b/>
        </w:rPr>
        <w:t xml:space="preserve">”</w:t>
      </w:r>
      <w:r>
        <w:rPr>
          <w:bCs/>
          <w:b/>
        </w:rPr>
        <w:t xml:space="preserve"> </w:t>
      </w:r>
      <w:r>
        <w:rPr>
          <w:bCs/>
          <w:b/>
        </w:rPr>
        <w:t xml:space="preserve">is a coherent mechanic and needs no real-world economic anchor) or a quasi-economic instrument (in which case unbounded resolution targets make the valuation mechanic undefined, not just extreme).</w:t>
      </w:r>
      <w:r>
        <w:t xml:space="preserve"> </w:t>
      </w:r>
      <w:r>
        <w:t xml:space="preserve">The team wasn’t able to hold both at once — which is consistent with their finding elsewhere in the review.</w:t>
      </w:r>
    </w:p>
    <w:p>
      <w:r>
        <w:pict>
          <v:rect style="width:0;height:1.5pt" o:hralign="center" o:hrstd="t" o:hr="t"/>
        </w:pict>
      </w:r>
    </w:p>
    <w:bookmarkEnd w:id="25"/>
    <w:bookmarkStart w:id="26" w:name="X29aefa0f2b1e2e5dec45cd2d03fc601bd9fbae3"/>
    <w:p>
      <w:pPr>
        <w:pStyle w:val="Heading2"/>
      </w:pPr>
      <w:r>
        <w:t xml:space="preserve">5. Design Forks to Resolve (Next Development Pass)</w:t>
      </w:r>
    </w:p>
    <w:p>
      <w:pPr>
        <w:numPr>
          <w:ilvl w:val="0"/>
          <w:numId w:val="1003"/>
        </w:numPr>
        <w:pStyle w:val="Compact"/>
      </w:pPr>
      <w:r>
        <w:rPr>
          <w:bCs/>
          <w:b/>
        </w:rPr>
        <w:t xml:space="preserve">Anchor mode:</w:t>
      </w:r>
      <w:r>
        <w:t xml:space="preserve"> </w:t>
      </w:r>
      <w:r>
        <w:t xml:space="preserve">Does QC resolve against (a) real-world economic data as a narrative</w:t>
      </w:r>
      <w:r>
        <w:t xml:space="preserve"> </w:t>
      </w:r>
      <w:r>
        <w:rPr>
          <w:iCs/>
          <w:i/>
        </w:rPr>
        <w:t xml:space="preserve">conceit</w:t>
      </w:r>
      <w:r>
        <w:t xml:space="preserve"> </w:t>
      </w:r>
      <w:r>
        <w:t xml:space="preserve">— i.e.,</w:t>
      </w:r>
      <w:r>
        <w:t xml:space="preserve"> </w:t>
      </w:r>
      <w:r>
        <w:t xml:space="preserve">“</w:t>
      </w:r>
      <w:r>
        <w:t xml:space="preserve">the doubled global IT spend</w:t>
      </w:r>
      <w:r>
        <w:t xml:space="preserve">”</w:t>
      </w:r>
      <w:r>
        <w:t xml:space="preserve"> </w:t>
      </w:r>
      <w:r>
        <w:t xml:space="preserve">is flavor text describing an in-universe magnitude, not a literal peg — or (b) an actual live-updating external data feed? (a) sidesteps most Impossible Trinity / Triffin-style objections from the Red Team Review; (b) inherits all of them.</w:t>
      </w:r>
    </w:p>
    <w:p>
      <w:pPr>
        <w:numPr>
          <w:ilvl w:val="0"/>
          <w:numId w:val="1003"/>
        </w:numPr>
        <w:pStyle w:val="Compact"/>
      </w:pPr>
      <w:r>
        <w:rPr>
          <w:bCs/>
          <w:b/>
        </w:rPr>
        <w:t xml:space="preserve">Resolution timing:</w:t>
      </w:r>
      <w:r>
        <w:t xml:space="preserve"> </w:t>
      </w:r>
      <w:r>
        <w:t xml:space="preserve">Single resolution at generation (QC locks in a value once) vs. continuous resolution (QC’s value floats with its target for the full 150-year hold). Continuous resolution is far more powerful narratively but reopens Flaw 3 (1COIN/TerraUSD death-spiral dynamics) if QC and 1COIN interact.</w:t>
      </w:r>
    </w:p>
    <w:p>
      <w:pPr>
        <w:numPr>
          <w:ilvl w:val="0"/>
          <w:numId w:val="1003"/>
        </w:numPr>
        <w:pStyle w:val="Compact"/>
      </w:pPr>
      <w:r>
        <w:rPr>
          <w:bCs/>
          <w:b/>
        </w:rPr>
        <w:t xml:space="preserve">Boundary of</w:t>
      </w:r>
      <w:r>
        <w:rPr>
          <w:bCs/>
          <w:b/>
        </w:rPr>
        <w:t xml:space="preserve"> </w:t>
      </w:r>
      <w:r>
        <w:rPr>
          <w:bCs/>
          <w:b/>
        </w:rPr>
        <w:t xml:space="preserve">“</w:t>
      </w:r>
      <w:r>
        <w:rPr>
          <w:bCs/>
          <w:b/>
        </w:rPr>
        <w:t xml:space="preserve">unbuyable</w:t>
      </w:r>
      <w:r>
        <w:rPr>
          <w:bCs/>
          <w:b/>
        </w:rPr>
        <w:t xml:space="preserve">”</w:t>
      </w:r>
      <w:r>
        <w:rPr>
          <w:bCs/>
          <w:b/>
        </w:rPr>
        <w:t xml:space="preserve">:</w:t>
      </w:r>
      <w:r>
        <w:t xml:space="preserve"> </w:t>
      </w:r>
      <w:r>
        <w:t xml:space="preserve">Define what categories of target are in-scope for QC resolution (simulations, classified networks, other Architects, non-linear-time targets) as a closed taxonomy, rather than an open</w:t>
      </w:r>
      <w:r>
        <w:t xml:space="preserve"> </w:t>
      </w:r>
      <w:r>
        <w:t xml:space="preserve">“</w:t>
      </w:r>
      <w:r>
        <w:t xml:space="preserve">anything at all</w:t>
      </w:r>
      <w:r>
        <w:t xml:space="preserve">”</w:t>
      </w:r>
      <w:r>
        <w:t xml:space="preserve"> </w:t>
      </w:r>
      <w:r>
        <w:t xml:space="preserve">— this gives the AI team something falsifiable to red-team, instead of an unbounded case they can’t evaluate.</w:t>
      </w:r>
    </w:p>
    <w:p>
      <w:pPr>
        <w:numPr>
          <w:ilvl w:val="0"/>
          <w:numId w:val="1003"/>
        </w:numPr>
        <w:pStyle w:val="Compact"/>
      </w:pPr>
      <w:r>
        <w:rPr>
          <w:bCs/>
          <w:b/>
        </w:rPr>
        <w:t xml:space="preserve">Relationship to NCOIN:</w:t>
      </w:r>
      <w:r>
        <w:t xml:space="preserve"> </w:t>
      </w:r>
      <w:r>
        <w:t xml:space="preserve">You noted the team’s negative-currency proposal for NCOIN doesn’t bother you conceptually — worth explicitly deciding whether NCOIN’s negative-value mechanic is the</w:t>
      </w:r>
      <w:r>
        <w:t xml:space="preserve"> </w:t>
      </w:r>
      <w:r>
        <w:rPr>
          <w:iCs/>
          <w:i/>
        </w:rPr>
        <w:t xml:space="preserve">counterweight</w:t>
      </w:r>
      <w:r>
        <w:t xml:space="preserve"> </w:t>
      </w:r>
      <w:r>
        <w:t xml:space="preserve">to QC’s unbounded-resolution mechanic (i.e., QC can buy the unbuyable, NCOIN is the debt that results from doing so) or an unrelated penalty system. Right now they read as separate proposals that were never reconciled.</w:t>
      </w:r>
    </w:p>
    <w:p>
      <w:pPr>
        <w:numPr>
          <w:ilvl w:val="0"/>
          <w:numId w:val="1003"/>
        </w:numPr>
        <w:pStyle w:val="Compact"/>
      </w:pPr>
      <w:r>
        <w:rPr>
          <w:bCs/>
          <w:b/>
        </w:rPr>
        <w:t xml:space="preserve">150-year framing:</w:t>
      </w:r>
      <w:r>
        <w:t xml:space="preserve"> </w:t>
      </w:r>
      <w:r>
        <w:t xml:space="preserve">Per Red Team Review Flaw 6, no real system has held coherent value for 150 years. Decide whether the exercise’s 150-year hold is itself part of what’s being stress-tested (i.e., a deliberate provocation to the AI team) or a fixed worldbuilding constant you want defended.</w:t>
      </w:r>
    </w:p>
    <w:p>
      <w:r>
        <w:pict>
          <v:rect style="width:0;height:1.5pt" o:hralign="center" o:hrstd="t" o:hr="t"/>
        </w:pict>
      </w:r>
    </w:p>
    <w:bookmarkEnd w:id="26"/>
    <w:bookmarkStart w:id="27" w:name="suggested-next-step"/>
    <w:p>
      <w:pPr>
        <w:pStyle w:val="Heading2"/>
      </w:pPr>
      <w:r>
        <w:t xml:space="preserve">6. Suggested Next Step</w:t>
      </w:r>
    </w:p>
    <w:p>
      <w:pPr>
        <w:pStyle w:val="FirstParagraph"/>
      </w:pPr>
      <w:r>
        <w:t xml:space="preserve">Re-run this exercise with the six-AI team, but structure the prompt to force the anchor-mode choice (Fork 1)</w:t>
      </w:r>
      <w:r>
        <w:t xml:space="preserve"> </w:t>
      </w:r>
      <w:r>
        <w:rPr>
          <w:iCs/>
          <w:i/>
        </w:rPr>
        <w:t xml:space="preserve">before</w:t>
      </w:r>
      <w:r>
        <w:t xml:space="preserve"> </w:t>
      </w:r>
      <w:r>
        <w:t xml:space="preserve">asking for viability analysis — that’s likely what collapsed the first pass into</w:t>
      </w:r>
      <w:r>
        <w:t xml:space="preserve"> </w:t>
      </w:r>
      <w:r>
        <w:t xml:space="preserve">“</w:t>
      </w:r>
      <w:r>
        <w:t xml:space="preserve">no viability found.</w:t>
      </w:r>
      <w:r>
        <w:t xml:space="preserve">”</w:t>
      </w:r>
      <w:r>
        <w:t xml:space="preserve"> </w:t>
      </w:r>
      <w:r>
        <w:t xml:space="preserve">Frame it explicitly as:</w:t>
      </w:r>
      <w:r>
        <w:t xml:space="preserve"> </w:t>
      </w:r>
      <w:r>
        <w:t xml:space="preserve">“</w:t>
      </w:r>
      <w:r>
        <w:t xml:space="preserve">Evaluate this as a closed-system narrative mechanic, not as a real-world monetary proposal,</w:t>
      </w:r>
      <w:r>
        <w:t xml:space="preserve">”</w:t>
      </w:r>
      <w:r>
        <w:t xml:space="preserve"> </w:t>
      </w:r>
      <w:r>
        <w:t xml:space="preserve">using the same fiction/spec-layer separation the Red Team Review recommends in its</w:t>
      </w:r>
      <w:r>
        <w:t xml:space="preserve"> </w:t>
      </w:r>
      <w:r>
        <w:t xml:space="preserve">“</w:t>
      </w:r>
      <w:r>
        <w:t xml:space="preserve">Should-Fix</w:t>
      </w:r>
      <w:r>
        <w:t xml:space="preserve">”</w:t>
      </w:r>
      <w:r>
        <w:t xml:space="preserve"> </w:t>
      </w:r>
      <w:r>
        <w:t xml:space="preserve">list (Recommendation 7: separate narrative and specification layers).</w:t>
      </w:r>
    </w:p>
    <w:bookmarkEnd w:id="27"/>
    <w:bookmarkEnd w:id="2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OAL_QC_Valuation_Exercise_Baseline_v1</dc:title>
  <dc:creator/>
  <cp:keywords/>
  <dcterms:created xsi:type="dcterms:W3CDTF">2026-08-20T20:36:24Z</dcterms:created>
  <dcterms:modified xsi:type="dcterms:W3CDTF">2026-08-20T20:36:24Z</dcterms:modified>
</cp:coreProperties>
</file>

<file path=docProps/custom.xml><?xml version="1.0" encoding="utf-8"?>
<Properties xmlns="http://schemas.openxmlformats.org/officeDocument/2006/custom-properties" xmlns:vt="http://schemas.openxmlformats.org/officeDocument/2006/docPropsVTypes"/>
</file>