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OAL Development History — Resurfaced Scenario Documentation</w:t>
      </w:r>
    </w:p>
    <w:p>
      <w:pPr>
        <w:spacing w:after="300"/>
      </w:pPr>
      <w:r>
        <w:rPr>
          <w:i/>
          <w:iCs/>
          <w:color w:val="444444"/>
          <w:sz w:val="22"/>
          <w:szCs w:val="22"/>
        </w:rPr>
        <w:t xml:space="preserve">Independent Structuring Pass — Claude (Pass 1 of 2)</w:t>
      </w:r>
    </w:p>
    <w:p>
      <w:pPr>
        <w:pStyle w:val="Heading1"/>
        <w:spacing w:after="160" w:before="360"/>
      </w:pPr>
      <w:r>
        <w:t xml:space="preserve">Document Purpose &amp; Handling Notes</w:t>
      </w:r>
    </w:p>
    <w:p>
      <w:pPr>
        <w:spacing w:after="160"/>
      </w:pPr>
      <w:r>
        <w:rPr>
          <w:b w:val="false"/>
          <w:bCs w:val="false"/>
          <w:i w:val="false"/>
          <w:iCs w:val="false"/>
        </w:rPr>
        <w:t xml:space="preserve">This document structures a set of previously-developed OAL (Omniversal Architect Labs) worldbuilding scenarios that resurfaced from Nathan's development history but were never formally captured in a saved record. Nathan indicated these scenarios were likely shared in a prior session, with instructions at that time to save them for future reference — but no PDF/DOCX export was generated. This document corrects that gap.</w:t>
      </w:r>
    </w:p>
    <w:p>
      <w:pPr>
        <w:pBdr>
          <w:left w:val="single" w:color="999999" w:sz="6" w:space="8"/>
        </w:pBdr>
        <w:spacing w:after="200"/>
      </w:pPr>
      <w:r>
        <w:rPr>
          <w:i/>
          <w:iCs/>
          <w:color w:val="555555"/>
        </w:rPr>
        <w:t xml:space="preserve">Author's framing note, preserved verbatim in spirit: this is fictional worldbuilding content. Any references to real-world entities, nations, or events (e.g., a hypothetical national deficit) are illustrative examples only, explicitly disclaimed by the author as not reflecting real-world claims, positions, or implications.</w:t>
      </w:r>
    </w:p>
    <w:p>
      <w:pPr>
        <w:spacing w:after="160"/>
      </w:pPr>
      <w:r>
        <w:rPr>
          <w:b w:val="false"/>
          <w:bCs w:val="false"/>
          <w:i w:val="false"/>
          <w:iCs w:val="false"/>
        </w:rPr>
        <w:t xml:space="preserve">This is Claude's independent first-pass structuring of the raw material. Per Nathan's workflow, this version will be reviewed alongside independent passes from other AI collaborative team members (ChatGPT, Gemini, Grok, Perplexity, Copilot), after which Claude will generate a second, refined pass incorporating that cross-review.</w:t>
      </w:r>
    </w:p>
    <w:p>
      <w:pPr>
        <w:pStyle w:val="Heading1"/>
        <w:spacing w:after="160" w:before="360"/>
      </w:pPr>
      <w:r>
        <w:t xml:space="preserve">1. The Petitioner's Court</w:t>
      </w:r>
    </w:p>
    <w:p>
      <w:pPr>
        <w:spacing w:after="160"/>
      </w:pPr>
      <w:r>
        <w:rPr>
          <w:b w:val="false"/>
          <w:bCs w:val="false"/>
          <w:i w:val="false"/>
          <w:iCs w:val="false"/>
        </w:rPr>
        <w:t xml:space="preserve">A recurring OAL narrative venue: a formal petition system tied to the worldbuilding universe, accessible online, where petitioners submit requests to a panel/entity for review. Petitions may be granted, and some petitioners advance to an in-person audience chamber. A consistent theme across these scenarios is the distinction between what a petitioner formally requests and what their underlying intent actually is — and the deliberate choice to name that discrepancy directly rather than avoid it.</w:t>
      </w:r>
    </w:p>
    <w:p>
      <w:pPr>
        <w:pStyle w:val="Heading2"/>
        <w:spacing w:after="120" w:before="260"/>
      </w:pPr>
      <w:r>
        <w:t xml:space="preserve">1.1 Petition — Deficit Relief Request (Illustrative Example)</w:t>
      </w:r>
    </w:p>
    <w:p>
      <w:pPr>
        <w:spacing w:after="160"/>
      </w:pPr>
      <w:r>
        <w:rPr>
          <w:b w:val="false"/>
          <w:bCs w:val="false"/>
          <w:i w:val="false"/>
          <w:iCs w:val="false"/>
        </w:rPr>
        <w:t xml:space="preserve">A leader among a petitioning body requested that their entity's outstanding deficit be cleared entirely — reduced to zero rather than simply reduced ("put in the green").</w:t>
      </w:r>
    </w:p>
    <w:p>
      <w:pPr>
        <w:spacing w:after="160"/>
      </w:pPr>
      <w:r>
        <w:rPr>
          <w:b w:val="false"/>
          <w:bCs w:val="false"/>
          <w:i w:val="false"/>
          <w:iCs w:val="false"/>
        </w:rPr>
        <w:t xml:space="preserve">The presiding character declined, reasoning: unconditionally covering the full deficit would remove the consequence structure needed for the petitioner to learn from the situation, would not address the underlying causes, and would set a precedent that invites repeat mistakes. The petitioner argued back and forth, but no financial relief was ultimately granted in this exchange.</w:t>
      </w:r>
    </w:p>
    <w:p>
      <w:pPr>
        <w:pBdr>
          <w:left w:val="single" w:color="999999" w:sz="6" w:space="8"/>
        </w:pBdr>
        <w:spacing w:after="200"/>
      </w:pPr>
      <w:r>
        <w:rPr>
          <w:i/>
          <w:iCs/>
          <w:color w:val="555555"/>
        </w:rPr>
        <w:t xml:space="preserve">Nathan's explicit caveat: this scenario used "the US" and a national deficit only as a hypothetical placeholder for illustration. No real-world figures, positions, or claims are implied.</w:t>
      </w:r>
    </w:p>
    <w:p>
      <w:pPr>
        <w:pStyle w:val="Heading2"/>
        <w:spacing w:after="120" w:before="260"/>
      </w:pPr>
      <w:r>
        <w:t xml:space="preserve">1.2 Petition — War-Impacted Petitioner Seeking Blame</w:t>
      </w:r>
    </w:p>
    <w:p>
      <w:pPr>
        <w:spacing w:after="160"/>
      </w:pPr>
      <w:r>
        <w:rPr>
          <w:b w:val="false"/>
          <w:bCs w:val="false"/>
          <w:i w:val="false"/>
          <w:iCs w:val="false"/>
        </w:rPr>
        <w:t xml:space="preserve">A woman impacted by an ongoing war or conflict petitioned the court, framing her petition in front of an audience in an attempt to cast blame onto the presiding entity hearing her case.</w:t>
      </w:r>
    </w:p>
    <w:p>
      <w:pPr>
        <w:spacing w:after="160"/>
      </w:pPr>
      <w:r>
        <w:rPr>
          <w:b w:val="false"/>
          <w:bCs w:val="false"/>
          <w:i w:val="false"/>
          <w:iCs w:val="false"/>
        </w:rPr>
        <w:t xml:space="preserve">The presiding character, normally measured and calm, became visibly frustrated in this exchange. Rather than simply refusing the framing, the character reshaped the terms of the argument and directly named what the petitioner was actually attempting to do with her petition.</w:t>
      </w:r>
    </w:p>
    <w:p>
      <w:pPr>
        <w:pStyle w:val="Heading2"/>
        <w:spacing w:after="120" w:before="260"/>
      </w:pPr>
      <w:r>
        <w:t xml:space="preserve">1.3 Petition — Audience Chamber Intent Discrepancy</w:t>
      </w:r>
    </w:p>
    <w:p>
      <w:pPr>
        <w:spacing w:after="160"/>
      </w:pPr>
      <w:r>
        <w:rPr>
          <w:b w:val="false"/>
          <w:bCs w:val="false"/>
          <w:i w:val="false"/>
          <w:iCs w:val="false"/>
        </w:rPr>
        <w:t xml:space="preserve">A separate petitioner advanced from the online submission stage to an in-person audience. Petitions submitted online can carry substantial written detail, but appearing in person allows the court to discern the petitioner's actual intent — distinct from what was formally written.</w:t>
      </w:r>
    </w:p>
    <w:p>
      <w:pPr>
        <w:spacing w:after="160"/>
      </w:pPr>
      <w:r>
        <w:rPr>
          <w:b w:val="false"/>
          <w:bCs w:val="false"/>
          <w:i w:val="false"/>
          <w:iCs w:val="false"/>
        </w:rPr>
        <w:t xml:space="preserve">In this case, a significant gap surfaced between the stated petition and the petitioner's real underlying intent — what they actually wanted to walk away with. This gap had to be addressed directly.</w:t>
      </w:r>
    </w:p>
    <w:p>
      <w:pPr>
        <w:spacing w:after="160"/>
      </w:pPr>
      <w:r>
        <w:rPr>
          <w:b w:val="false"/>
          <w:bCs w:val="false"/>
          <w:i w:val="false"/>
          <w:iCs w:val="false"/>
        </w:rPr>
        <w:t xml:space="preserve">This pattern — stated ask vs. actual intent — recurs across multiple petitioners in this venue. The court's operating principle is stated as full transparency: naming the discrepancy outright, with no evasiveness about how far the entity is willing to go in addressing it.</w:t>
      </w:r>
    </w:p>
    <w:p>
      <w:pPr>
        <w:pStyle w:val="Heading1"/>
        <w:spacing w:after="160" w:before="360"/>
      </w:pPr>
      <w:r>
        <w:t xml:space="preserve">2. The Oil Spill Scenario</w:t>
      </w:r>
    </w:p>
    <w:p>
      <w:pPr>
        <w:spacing w:after="160"/>
      </w:pPr>
      <w:r>
        <w:rPr>
          <w:b w:val="false"/>
          <w:bCs w:val="false"/>
          <w:i w:val="false"/>
          <w:iCs w:val="false"/>
        </w:rPr>
        <w:t xml:space="preserve">A large-scale oil spill event, witnessed on-site by a newscaster, with major impact on the surrounding community, wildlife, and long-term ecological prosperity.</w:t>
      </w:r>
    </w:p>
    <w:p>
      <w:pPr>
        <w:spacing w:after="160"/>
      </w:pPr>
      <w:r>
        <w:rPr>
          <w:b w:val="false"/>
          <w:bCs w:val="false"/>
          <w:i w:val="false"/>
          <w:iCs w:val="false"/>
        </w:rPr>
        <w:t xml:space="preserve">A character appeared at the scene and intervened directly: the spilled oil was transmogrified into contained barrels. The intervention used a signature visualization — a 3D, real-time, manipulable rendering of Earth (conceptually similar to globe/network iconography used to represent "the internet," but rendered as an actual live 3D globe) generated in the character's palm, allowing zoom and real-time informational access and alteration.</w:t>
      </w:r>
    </w:p>
    <w:p>
      <w:pPr>
        <w:spacing w:after="160"/>
      </w:pPr>
      <w:r>
        <w:rPr>
          <w:b w:val="false"/>
          <w:bCs w:val="false"/>
          <w:i w:val="false"/>
          <w:iCs w:val="false"/>
        </w:rPr>
        <w:t xml:space="preserve">A counter-argument surfaced afterward within the narrative: why intervene and clean up the spill for the responsible party at all? What incentive to change does the responsible party lose if the consequences of their spill are simply absorbed by outside intervention? The concern raised was that the responsible party effectively profits from the cleanup being handled for them, undermining accountability.</w:t>
      </w:r>
    </w:p>
    <w:p>
      <w:pPr>
        <w:pBdr>
          <w:left w:val="single" w:color="999999" w:sz="6" w:space="8"/>
        </w:pBdr>
        <w:spacing w:after="200"/>
      </w:pPr>
      <w:r>
        <w:rPr>
          <w:i/>
          <w:iCs/>
          <w:color w:val="555555"/>
        </w:rPr>
        <w:t xml:space="preserve">Author's caveat preserved: fictional scenario, no real-world implications claimed.</w:t>
      </w:r>
    </w:p>
    <w:p>
      <w:pPr>
        <w:pStyle w:val="Heading1"/>
        <w:spacing w:after="160" w:before="360"/>
      </w:pPr>
      <w:r>
        <w:t xml:space="preserve">3. The Nuclear Test Scenario</w:t>
      </w:r>
    </w:p>
    <w:p>
      <w:pPr>
        <w:spacing w:after="160"/>
      </w:pPr>
      <w:r>
        <w:rPr>
          <w:b w:val="false"/>
          <w:bCs w:val="false"/>
          <w:i w:val="false"/>
          <w:iCs w:val="false"/>
        </w:rPr>
        <w:t xml:space="preserve">A coordinated multi-nation nuclear arsenal testing effort within the OAL narrative. During the test, an actual launch/attack occurred and was absorbed and neutralized by the character present in the scene.</w:t>
      </w:r>
    </w:p>
    <w:p>
      <w:pPr>
        <w:spacing w:after="160"/>
      </w:pPr>
      <w:r>
        <w:rPr>
          <w:b w:val="false"/>
          <w:bCs w:val="false"/>
          <w:i w:val="false"/>
          <w:iCs w:val="false"/>
        </w:rPr>
        <w:t xml:space="preserve">At the time this was developed, the narrative did not establish an overall stated purpose for the testing — why it was being conducted, what necessitated it, or what the outcome was meant to signify. This is flagged as an open narrative gap rather than a resolved plot point.</w:t>
      </w:r>
    </w:p>
    <w:p>
      <w:pPr>
        <w:pBdr>
          <w:left w:val="single" w:color="999999" w:sz="6" w:space="8"/>
        </w:pBdr>
        <w:spacing w:after="200"/>
      </w:pPr>
      <w:r>
        <w:rPr>
          <w:i/>
          <w:iCs/>
          <w:color w:val="555555"/>
        </w:rPr>
        <w:t xml:space="preserve">Author's caveat preserved: fictional scenario, no real-world implications claimed.</w:t>
      </w:r>
    </w:p>
    <w:p>
      <w:pPr>
        <w:pStyle w:val="Heading1"/>
        <w:spacing w:after="160" w:before="360"/>
      </w:pPr>
      <w:r>
        <w:t xml:space="preserve">4. Olympus and the Olympians — Performance Audit</w:t>
      </w:r>
    </w:p>
    <w:p>
      <w:pPr>
        <w:spacing w:after="160"/>
      </w:pPr>
      <w:r>
        <w:rPr>
          <w:b w:val="false"/>
          <w:bCs w:val="false"/>
          <w:i w:val="false"/>
          <w:iCs w:val="false"/>
        </w:rPr>
        <w:t xml:space="preserve">Following prior OAL research and analysis on divinity, divine physiologies, and divine bestowments/endowments, a character appeared on Mount Olympus to address quality and performance issues that had gone unaddressed within a particular Pantheon.</w:t>
      </w:r>
    </w:p>
    <w:p>
      <w:pPr>
        <w:spacing w:after="160"/>
      </w:pPr>
      <w:r>
        <w:rPr>
          <w:b w:val="false"/>
          <w:bCs w:val="false"/>
          <w:i w:val="false"/>
          <w:iCs w:val="false"/>
        </w:rPr>
        <w:t xml:space="preserve">The character's stated position was explicitly not one of micromanagement. Using the Poseidon course as the example: Poseidon, as a longstanding Olympian, is fully capable of running his own course within his domain without oversight. The character's role was limited to bringing students to the course; whether they succeeded was left to the instructor and the students themselves.</w:t>
      </w:r>
    </w:p>
    <w:p>
      <w:pPr>
        <w:spacing w:after="160"/>
      </w:pPr>
      <w:r>
        <w:rPr>
          <w:b w:val="false"/>
          <w:bCs w:val="false"/>
          <w:i w:val="false"/>
          <w:iCs w:val="false"/>
        </w:rPr>
        <w:t xml:space="preserve">However, the character addressed — calmly but directly — that there had been performance and quality issues within the Pantheon significant enough that the character had to personally step in and do work that was not their responsibility to do. The message delivered: each Olympian has a designated role and known duties; diligence in carrying out those duties is expected; unaddressed issues need to be addressed; and while the character is capable of performing all of these duties personally if needed, that should not be required of them.</w:t>
      </w:r>
    </w:p>
    <w:p>
      <w:pPr>
        <w:pStyle w:val="Heading1"/>
        <w:spacing w:after="160" w:before="360"/>
      </w:pPr>
      <w:r>
        <w:t xml:space="preserve">5. The Cult of THE MINUS ONE: Shadows Over San Luis Obispo</w:t>
      </w:r>
    </w:p>
    <w:p>
      <w:pPr>
        <w:pBdr>
          <w:left w:val="single" w:color="999999" w:sz="6" w:space="8"/>
        </w:pBdr>
        <w:spacing w:after="200"/>
      </w:pPr>
      <w:r>
        <w:rPr>
          <w:i/>
          <w:iCs/>
          <w:color w:val="555555"/>
        </w:rPr>
        <w:t xml:space="preserve">Flagged by Perplexity AI during cross-review as insufficiently documented. Nathan does not currently have a clear mental model of this narrative, nor the original source documentation. What is known: this was a narrative published to Wattpad. Beyond that, the details are speculative and not currently recoverable with confidence.</w:t>
      </w:r>
    </w:p>
    <w:p>
      <w:pPr>
        <w:spacing w:after="160"/>
      </w:pPr>
      <w:r>
        <w:rPr>
          <w:b w:val="false"/>
          <w:bCs w:val="false"/>
          <w:i w:val="false"/>
          <w:iCs w:val="false"/>
        </w:rPr>
        <w:t xml:space="preserve">Status: open item. No structured content is provided here beyond acknowledging the scenario's existence and its documentation gap, pending recovery of source material or Nathan's reconstruction from memory.</w:t>
      </w:r>
    </w:p>
    <w:p>
      <w:pPr>
        <w:pStyle w:val="Heading1"/>
        <w:spacing w:after="160" w:before="360"/>
      </w:pPr>
      <w:r>
        <w:t xml:space="preserve">6. Multi-AI Collaboration Note</w:t>
      </w:r>
    </w:p>
    <w:p>
      <w:pPr>
        <w:spacing w:after="160"/>
      </w:pPr>
      <w:r>
        <w:rPr>
          <w:b w:val="false"/>
          <w:bCs w:val="false"/>
          <w:i w:val="false"/>
          <w:iCs w:val="false"/>
        </w:rPr>
        <w:t xml:space="preserve">This scenario set is intended to go through the standard OAL cross-review workflow: independent first-pass structuring from each AI collaborator (this document represents Claude's independent Pass 1), followed by a second, refined Claude pass after review, with both versions retained for Nathan's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2026-09-01T13:15:40.900Z</dcterms:created>
  <dcterms:modified xsi:type="dcterms:W3CDTF">2026-09-01T13:15:40.912Z</dcterms:modified>
</cp:coreProperties>
</file>

<file path=docProps/custom.xml><?xml version="1.0" encoding="utf-8"?>
<Properties xmlns="http://schemas.openxmlformats.org/officeDocument/2006/custom-properties" xmlns:vt="http://schemas.openxmlformats.org/officeDocument/2006/docPropsVTypes"/>
</file>