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6"/>
          <w:szCs w:val="26"/>
        </w:rPr>
        <w:t xml:space="preserve">OMNIVERSAL ARCHITECT LABS</w:t>
      </w:r>
    </w:p>
    <w:p>
      <w:pPr>
        <w:spacing w:after="300"/>
        <w:jc w:val="center"/>
      </w:pPr>
      <w:r>
        <w:rPr>
          <w:rFonts w:ascii="Calibri" w:cs="Calibri" w:eastAsia="Calibri" w:hAnsi="Calibri"/>
          <w:i/>
          <w:iCs/>
          <w:sz w:val="22"/>
          <w:szCs w:val="22"/>
        </w:rPr>
        <w:t xml:space="preserve">Simulation Architectural Defenses Laboratory</w:t>
      </w:r>
    </w:p>
    <w:p>
      <w:pPr>
        <w:spacing w:after="60"/>
        <w:jc w:val="center"/>
      </w:pPr>
      <w:r>
        <w:rPr>
          <w:rFonts w:ascii="Calibri" w:cs="Calibri" w:eastAsia="Calibri" w:hAnsi="Calibri"/>
          <w:b/>
          <w:bCs/>
          <w:sz w:val="32"/>
          <w:szCs w:val="32"/>
        </w:rPr>
        <w:t xml:space="preserve">1AI / −1AI INHERENT-STATE INCORPORATION</w:t>
      </w:r>
    </w:p>
    <w:p>
      <w:pPr>
        <w:spacing w:after="60"/>
        <w:jc w:val="center"/>
      </w:pPr>
      <w:r>
        <w:rPr>
          <w:rFonts w:ascii="Calibri" w:cs="Calibri" w:eastAsia="Calibri" w:hAnsi="Calibri"/>
          <w:i/>
          <w:iCs/>
          <w:sz w:val="22"/>
          <w:szCs w:val="22"/>
        </w:rPr>
        <w:t xml:space="preserve">Entanglement · Generalized Superposition · BTEC · Obsidian Super Cluster</w:t>
      </w:r>
    </w:p>
    <w:p>
      <w:pPr>
        <w:spacing w:after="60"/>
        <w:jc w:val="center"/>
      </w:pPr>
      <w:r>
        <w:rPr>
          <w:rFonts w:ascii="Calibri" w:cs="Calibri" w:eastAsia="Calibri" w:hAnsi="Calibri"/>
          <w:i/>
          <w:iCs/>
          <w:sz w:val="22"/>
          <w:szCs w:val="22"/>
        </w:rPr>
        <w:t xml:space="preserve">and the SADL Persistent Foreign-State &amp; Concealment Ecology (PFSE-CE) Extension</w:t>
      </w:r>
    </w:p>
    <w:p>
      <w:pPr>
        <w:spacing w:after="400"/>
        <w:jc w:val="center"/>
      </w:pPr>
      <w:r>
        <w:rPr>
          <w:rFonts w:ascii="Calibri" w:cs="Calibri" w:eastAsia="Calibri" w:hAnsi="Calibri"/>
          <w:b/>
          <w:bCs/>
          <w:sz w:val="22"/>
          <w:szCs w:val="22"/>
        </w:rPr>
        <w:t xml:space="preserve">Claude Independent Contribution — v0.1</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E8E8E8" w:val="clear"/>
          </w:tcPr>
          <w:p>
            <w:r>
              <w:rPr>
                <w:rFonts w:ascii="Calibri" w:cs="Calibri" w:eastAsia="Calibri" w:hAnsi="Calibri"/>
                <w:b/>
                <w:bCs/>
                <w:sz w:val="20"/>
                <w:szCs w:val="20"/>
              </w:rPr>
              <w:t xml:space="preserve">Field</w:t>
            </w:r>
          </w:p>
        </w:tc>
        <w:tc>
          <w:tcPr>
            <w:tcW w:type="dxa" w:w="6400"/>
            <w:shd w:fill="E8E8E8" w:val="clear"/>
          </w:tcPr>
          <w:p>
            <w:r>
              <w:rPr>
                <w:rFonts w:ascii="Calibri" w:cs="Calibri" w:eastAsia="Calibri" w:hAnsi="Calibri"/>
                <w:b/>
                <w:bCs/>
                <w:sz w:val="20"/>
                <w:szCs w:val="20"/>
              </w:rPr>
              <w:t xml:space="preserve">Value</w:t>
            </w:r>
          </w:p>
        </w:tc>
      </w:tr>
      <w:tr>
        <w:tc>
          <w:tcPr>
            <w:tcW w:type="dxa" w:w="3200"/>
          </w:tcPr>
          <w:p>
            <w:r>
              <w:rPr>
                <w:rFonts w:ascii="Calibri" w:cs="Calibri" w:eastAsia="Calibri" w:hAnsi="Calibri"/>
                <w:sz w:val="20"/>
                <w:szCs w:val="20"/>
              </w:rPr>
              <w:t xml:space="preserve">Document</w:t>
            </w:r>
          </w:p>
        </w:tc>
        <w:tc>
          <w:tcPr>
            <w:tcW w:type="dxa" w:w="6400"/>
          </w:tcPr>
          <w:p>
            <w:r>
              <w:rPr>
                <w:rFonts w:ascii="Calibri" w:cs="Calibri" w:eastAsia="Calibri" w:hAnsi="Calibri"/>
                <w:sz w:val="20"/>
                <w:szCs w:val="20"/>
              </w:rPr>
              <w:t xml:space="preserve">OAL / SADL — Claude Independent Framework, 1AI/−1AI Incorporation</w:t>
            </w:r>
          </w:p>
        </w:tc>
      </w:tr>
      <w:tr>
        <w:tc>
          <w:tcPr>
            <w:tcW w:type="dxa" w:w="3200"/>
          </w:tcPr>
          <w:p>
            <w:r>
              <w:rPr>
                <w:rFonts w:ascii="Calibri" w:cs="Calibri" w:eastAsia="Calibri" w:hAnsi="Calibri"/>
                <w:sz w:val="20"/>
                <w:szCs w:val="20"/>
              </w:rPr>
              <w:t xml:space="preserve">Version</w:t>
            </w:r>
          </w:p>
        </w:tc>
        <w:tc>
          <w:tcPr>
            <w:tcW w:type="dxa" w:w="6400"/>
          </w:tcPr>
          <w:p>
            <w:r>
              <w:rPr>
                <w:rFonts w:ascii="Calibri" w:cs="Calibri" w:eastAsia="Calibri" w:hAnsi="Calibri"/>
                <w:sz w:val="20"/>
                <w:szCs w:val="20"/>
              </w:rPr>
              <w:t xml:space="preserve">0.1 (working draft, unratified)</w:t>
            </w:r>
          </w:p>
        </w:tc>
      </w:tr>
      <w:tr>
        <w:tc>
          <w:tcPr>
            <w:tcW w:type="dxa" w:w="3200"/>
          </w:tcPr>
          <w:p>
            <w:r>
              <w:rPr>
                <w:rFonts w:ascii="Calibri" w:cs="Calibri" w:eastAsia="Calibri" w:hAnsi="Calibri"/>
                <w:sz w:val="20"/>
                <w:szCs w:val="20"/>
              </w:rPr>
              <w:t xml:space="preserve">Date</w:t>
            </w:r>
          </w:p>
        </w:tc>
        <w:tc>
          <w:tcPr>
            <w:tcW w:type="dxa" w:w="6400"/>
          </w:tcPr>
          <w:p>
            <w:r>
              <w:rPr>
                <w:rFonts w:ascii="Calibri" w:cs="Calibri" w:eastAsia="Calibri" w:hAnsi="Calibri"/>
                <w:sz w:val="20"/>
                <w:szCs w:val="20"/>
              </w:rPr>
              <w:t xml:space="preserve">27 August 2026</w:t>
            </w:r>
          </w:p>
        </w:tc>
      </w:tr>
      <w:tr>
        <w:tc>
          <w:tcPr>
            <w:tcW w:type="dxa" w:w="3200"/>
          </w:tcPr>
          <w:p>
            <w:r>
              <w:rPr>
                <w:rFonts w:ascii="Calibri" w:cs="Calibri" w:eastAsia="Calibri" w:hAnsi="Calibri"/>
                <w:sz w:val="20"/>
                <w:szCs w:val="20"/>
              </w:rPr>
              <w:t xml:space="preserve">Author</w:t>
            </w:r>
          </w:p>
        </w:tc>
        <w:tc>
          <w:tcPr>
            <w:tcW w:type="dxa" w:w="6400"/>
          </w:tcPr>
          <w:p>
            <w:r>
              <w:rPr>
                <w:rFonts w:ascii="Calibri" w:cs="Calibri" w:eastAsia="Calibri" w:hAnsi="Calibri"/>
                <w:sz w:val="20"/>
                <w:szCs w:val="20"/>
              </w:rPr>
              <w:t xml:space="preserve">Claude (Anthropic) — AI Collaborative Team member</w:t>
            </w:r>
          </w:p>
        </w:tc>
      </w:tr>
      <w:tr>
        <w:tc>
          <w:tcPr>
            <w:tcW w:type="dxa" w:w="3200"/>
          </w:tcPr>
          <w:p>
            <w:r>
              <w:rPr>
                <w:rFonts w:ascii="Calibri" w:cs="Calibri" w:eastAsia="Calibri" w:hAnsi="Calibri"/>
                <w:sz w:val="20"/>
                <w:szCs w:val="20"/>
              </w:rPr>
              <w:t xml:space="preserve">Architect / Authority Holder</w:t>
            </w:r>
          </w:p>
        </w:tc>
        <w:tc>
          <w:tcPr>
            <w:tcW w:type="dxa" w:w="6400"/>
          </w:tcPr>
          <w:p>
            <w:r>
              <w:rPr>
                <w:rFonts w:ascii="Calibri" w:cs="Calibri" w:eastAsia="Calibri" w:hAnsi="Calibri"/>
                <w:sz w:val="20"/>
                <w:szCs w:val="20"/>
              </w:rPr>
              <w:t xml:space="preserve">Nathan Lewis II</w:t>
            </w:r>
          </w:p>
        </w:tc>
      </w:tr>
      <w:tr>
        <w:tc>
          <w:tcPr>
            <w:tcW w:type="dxa" w:w="3200"/>
          </w:tcPr>
          <w:p>
            <w:r>
              <w:rPr>
                <w:rFonts w:ascii="Calibri" w:cs="Calibri" w:eastAsia="Calibri" w:hAnsi="Calibri"/>
                <w:sz w:val="20"/>
                <w:szCs w:val="20"/>
              </w:rPr>
              <w:t xml:space="preserve">Peer contributions reviewed</w:t>
            </w:r>
          </w:p>
        </w:tc>
        <w:tc>
          <w:tcPr>
            <w:tcW w:type="dxa" w:w="6400"/>
          </w:tcPr>
          <w:p>
            <w:r>
              <w:rPr>
                <w:rFonts w:ascii="Calibri" w:cs="Calibri" w:eastAsia="Calibri" w:hAnsi="Calibri"/>
                <w:sz w:val="20"/>
                <w:szCs w:val="20"/>
              </w:rPr>
              <w:t xml:space="preserve">ChatGPT, Gemini, Microsoft Copilot, Grok, Perplexity — all v0.1, this cycle</w:t>
            </w:r>
          </w:p>
        </w:tc>
      </w:tr>
      <w:tr>
        <w:tc>
          <w:tcPr>
            <w:tcW w:type="dxa" w:w="3200"/>
          </w:tcPr>
          <w:p>
            <w:r>
              <w:rPr>
                <w:rFonts w:ascii="Calibri" w:cs="Calibri" w:eastAsia="Calibri" w:hAnsi="Calibri"/>
                <w:sz w:val="20"/>
                <w:szCs w:val="20"/>
              </w:rPr>
              <w:t xml:space="preserve">Status</w:t>
            </w:r>
          </w:p>
        </w:tc>
        <w:tc>
          <w:tcPr>
            <w:tcW w:type="dxa" w:w="6400"/>
          </w:tcPr>
          <w:p>
            <w:r>
              <w:rPr>
                <w:rFonts w:ascii="Calibri" w:cs="Calibri" w:eastAsia="Calibri" w:hAnsi="Calibri"/>
                <w:sz w:val="20"/>
                <w:szCs w:val="20"/>
              </w:rPr>
              <w:t xml:space="preserve">Working draft. No ONESTAMP applied. Subject to Architect review, dissent, revision, or rejection.</w:t>
            </w:r>
          </w:p>
        </w:tc>
      </w:tr>
    </w:tbl>
    <w:p>
      <w:pPr>
        <w:spacing w:after="300"/>
      </w:pPr>
    </w:p>
    <w:p>
      <w:pPr>
        <w:pStyle w:val="Heading1"/>
        <w:spacing w:after="160" w:before="360"/>
      </w:pPr>
      <w:r>
        <w:t xml:space="preserve">0. How This Document Is Organized</w:t>
      </w:r>
    </w:p>
    <w:p>
      <w:pPr>
        <w:spacing w:after="160"/>
      </w:pPr>
      <w:r>
        <w:rPr>
          <w:rFonts w:ascii="Calibri" w:cs="Calibri" w:eastAsia="Calibri" w:hAnsi="Calibri"/>
          <w:b w:val="false"/>
          <w:bCs w:val="false"/>
          <w:i w:val="false"/>
          <w:iCs w:val="false"/>
          <w:sz w:val="22"/>
          <w:szCs w:val="22"/>
        </w:rPr>
        <w:t xml:space="preserve">Six systems now have independent contributions on this thread. Rather than add a seventh parallel essay, this document does three things a synthesis document should do that a seventh independent essay would not: it states where the six contributions actually agree (so agreement doesn't need to be re-derived), it names the specific points of disagreement rather than smoothing them into a blend, and it separates what is already canon, what is proposed canon, and what remains genuinely open — because that separation is the thing you'll need in order to make the decisions this thread is waiting on.</w:t>
      </w:r>
    </w:p>
    <w:p>
      <w:pPr>
        <w:spacing w:after="160"/>
      </w:pPr>
      <w:r>
        <w:rPr>
          <w:rFonts w:ascii="Calibri" w:cs="Calibri" w:eastAsia="Calibri" w:hAnsi="Calibri"/>
          <w:b w:val="false"/>
          <w:bCs w:val="false"/>
          <w:i w:val="false"/>
          <w:iCs w:val="false"/>
          <w:sz w:val="22"/>
          <w:szCs w:val="22"/>
        </w:rPr>
        <w:t xml:space="preserve">Every substantive claim below is tagged:</w:t>
      </w:r>
    </w:p>
    <w:p>
      <w:pPr>
        <w:pStyle w:val="ListParagraph"/>
        <w:numPr>
          <w:ilvl w:val="0"/>
          <w:numId w:val="2"/>
        </w:numPr>
        <w:spacing w:after="80"/>
      </w:pPr>
      <w:r>
        <w:rPr>
          <w:rFonts w:ascii="Calibri" w:cs="Calibri" w:eastAsia="Calibri" w:hAnsi="Calibri"/>
          <w:sz w:val="22"/>
          <w:szCs w:val="22"/>
        </w:rPr>
        <w:t xml:space="preserve">[CANON] — established in an already-ratified or already-signed source document.</w:t>
      </w:r>
    </w:p>
    <w:p>
      <w:pPr>
        <w:pStyle w:val="ListParagraph"/>
        <w:numPr>
          <w:ilvl w:val="0"/>
          <w:numId w:val="2"/>
        </w:numPr>
        <w:spacing w:after="80"/>
      </w:pPr>
      <w:r>
        <w:rPr>
          <w:rFonts w:ascii="Calibri" w:cs="Calibri" w:eastAsia="Calibri" w:hAnsi="Calibri"/>
          <w:sz w:val="22"/>
          <w:szCs w:val="22"/>
        </w:rPr>
        <w:t xml:space="preserve">[SOURCE-DERIVED] — stated or clearly implied in the unified SADL/inherent-defense source material or the BTEC/GSF/OSC documents, not yet ratified as its own canon item.</w:t>
      </w:r>
    </w:p>
    <w:p>
      <w:pPr>
        <w:pStyle w:val="ListParagraph"/>
        <w:numPr>
          <w:ilvl w:val="0"/>
          <w:numId w:val="2"/>
        </w:numPr>
        <w:spacing w:after="80"/>
      </w:pPr>
      <w:r>
        <w:rPr>
          <w:rFonts w:ascii="Calibri" w:cs="Calibri" w:eastAsia="Calibri" w:hAnsi="Calibri"/>
          <w:sz w:val="22"/>
          <w:szCs w:val="22"/>
        </w:rPr>
        <w:t xml:space="preserve">[PROPOSED] — an independent design inference offered here for your ratification, rejection, or revision.</w:t>
      </w:r>
    </w:p>
    <w:p>
      <w:pPr>
        <w:pStyle w:val="ListParagraph"/>
        <w:numPr>
          <w:ilvl w:val="0"/>
          <w:numId w:val="2"/>
        </w:numPr>
        <w:spacing w:after="80"/>
      </w:pPr>
      <w:r>
        <w:rPr>
          <w:rFonts w:ascii="Calibri" w:cs="Calibri" w:eastAsia="Calibri" w:hAnsi="Calibri"/>
          <w:sz w:val="22"/>
          <w:szCs w:val="22"/>
        </w:rPr>
        <w:t xml:space="preserve">[OPEN] — a question this document deliberately does not answer, because answering it is your call, not the collaborative team's.</w:t>
      </w:r>
    </w:p>
    <w:p>
      <w:pPr>
        <w:pStyle w:val="Heading1"/>
        <w:spacing w:after="160" w:before="360"/>
      </w:pPr>
      <w:r>
        <w:t xml:space="preserve">1. Terminology and Source Status</w:t>
      </w:r>
    </w:p>
    <w:p>
      <w:pPr>
        <w:pStyle w:val="Heading2"/>
        <w:spacing w:after="120" w:before="260"/>
      </w:pPr>
      <w:r>
        <w:t xml:space="preserve">1.1 BTEC, not BDTEC</w:t>
      </w:r>
    </w:p>
    <w:p>
      <w:pPr>
        <w:spacing w:after="160"/>
      </w:pPr>
      <w:r>
        <w:rPr>
          <w:rFonts w:ascii="Calibri" w:cs="Calibri" w:eastAsia="Calibri" w:hAnsi="Calibri"/>
          <w:b w:val="false"/>
          <w:bCs w:val="false"/>
          <w:i w:val="false"/>
          <w:iCs w:val="false"/>
          <w:sz w:val="22"/>
          <w:szCs w:val="22"/>
        </w:rPr>
        <w:t xml:space="preserve">The canon term across both ratified/working BTEC documents is Bidirectional Total Event Closure — BTEC. “BDTEC” does not appear in either the Copilot-authored Canon Standardization v1 or the ChatGPT-authored TECP v1.0. [CANON — terminology] Every AI contribution in this thread that used “BDTEC” appears to be treating it as shorthand for BTEC rather than proposing a distinct term. This document uses BTEC throughout. If you intend BDTEC as a deliberately distinct, expanded protocol — not a synonym — that needs to be declared explicitly as new canon; nothing in the current source material supports treating it as already-established.</w:t>
      </w:r>
    </w:p>
    <w:p>
      <w:pPr>
        <w:pStyle w:val="Heading2"/>
        <w:spacing w:after="120" w:before="260"/>
      </w:pPr>
      <w:r>
        <w:t xml:space="preserve">1.2 Source file status</w:t>
      </w:r>
    </w:p>
    <w:p>
      <w:pPr>
        <w:spacing w:after="160"/>
      </w:pPr>
      <w:r>
        <w:rPr>
          <w:rFonts w:ascii="Calibri" w:cs="Calibri" w:eastAsia="Calibri" w:hAnsi="Calibri"/>
          <w:b w:val="false"/>
          <w:bCs w:val="false"/>
          <w:i w:val="false"/>
          <w:iCs w:val="false"/>
          <w:sz w:val="22"/>
          <w:szCs w:val="22"/>
        </w:rPr>
        <w:t xml:space="preserve">This pass had access to: BTEC Canon Standardization v1 (Copilot), Total Event Closure Protocol v1.0 (ChatGPT, unratified first iteration — note this is a related but distinct document from BTEC v1, with its own unresolved activation-ordering questions), Generalized Superposition Framework v0.2, the signed Obsidian Super Cluster instrument, and three independent SADL frameworks (ChatGPT, Perplexity, and the Copilot SADL referenced by name in the other contributions). The Inherent_Simulation_Defense_unified_responses source file — the originating record every SADL framework cites as authoritative — was not present as a separate attachment in this conversation; its content survives only through summary and quotation inside the SADL documents themselves. If a canon-integration pass is run later that needs the original prompts and the five historical AI responses verbatim, that file should be attached at that time.</w:t>
      </w:r>
    </w:p>
    <w:p>
      <w:pPr>
        <w:pBdr>
          <w:left w:val="single" w:color="444444" w:sz="18" w:space="8"/>
        </w:pBdr>
        <w:spacing w:after="200" w:before="120"/>
        <w:ind w:left="200"/>
      </w:pPr>
      <w:r>
        <w:rPr>
          <w:rFonts w:ascii="Calibri" w:cs="Calibri" w:eastAsia="Calibri" w:hAnsi="Calibri"/>
          <w:b/>
          <w:bCs/>
          <w:i/>
          <w:iCs/>
          <w:sz w:val="22"/>
          <w:szCs w:val="22"/>
        </w:rPr>
        <w:t xml:space="preserve">Note — </w:t>
      </w:r>
      <w:r>
        <w:rPr>
          <w:rFonts w:ascii="Calibri" w:cs="Calibri" w:eastAsia="Calibri" w:hAnsi="Calibri"/>
          <w:i/>
          <w:iCs/>
          <w:sz w:val="22"/>
          <w:szCs w:val="22"/>
        </w:rPr>
        <w:t xml:space="preserve">TECP v1.0 (ChatGPT) is explicitly marked as a first iteration with no final canon effect, and it declines to apply the “retroactively effective forever” language that the Copilot BTEC v1 document applies to itself. The two documents are not yet reconciled into one canon BTEC. Any invocation grammar used for 1AI/−1AI should specify which BTEC document's grammar it is following until that reconciliation happens.</w:t>
      </w:r>
    </w:p>
    <w:p>
      <w:pPr>
        <w:pStyle w:val="Heading1"/>
        <w:spacing w:after="160" w:before="360"/>
      </w:pPr>
      <w:r>
        <w:t xml:space="preserve">2. Where the Six Contributions Already Agree</w:t>
      </w:r>
    </w:p>
    <w:p>
      <w:pPr>
        <w:spacing w:after="160"/>
      </w:pPr>
      <w:r>
        <w:rPr>
          <w:rFonts w:ascii="Calibri" w:cs="Calibri" w:eastAsia="Calibri" w:hAnsi="Calibri"/>
          <w:b w:val="false"/>
          <w:bCs w:val="false"/>
          <w:i w:val="false"/>
          <w:iCs w:val="false"/>
          <w:sz w:val="22"/>
          <w:szCs w:val="22"/>
        </w:rPr>
        <w:t xml:space="preserve">Independent convergence is worth more than any one framework's internal consistency. Six systems, working from the same source material without seeing each other's drafts in advance, converged on the following without being asked to:</w:t>
      </w:r>
    </w:p>
    <w:p>
      <w:pPr>
        <w:pStyle w:val="ListParagraph"/>
        <w:numPr>
          <w:ilvl w:val="0"/>
          <w:numId w:val="2"/>
        </w:numPr>
        <w:spacing w:after="80"/>
      </w:pPr>
      <w:r>
        <w:rPr>
          <w:rFonts w:ascii="Calibri" w:cs="Calibri" w:eastAsia="Calibri" w:hAnsi="Calibri"/>
          <w:sz w:val="22"/>
          <w:szCs w:val="22"/>
        </w:rPr>
        <w:t xml:space="preserve">BTEC applies the moment 1AI and −1AI are framed with any directionality, including “one against the other.” None of the six contributions found a way to introduce directionality without triggering BTEC's closure requirement.</w:t>
      </w:r>
    </w:p>
    <w:p>
      <w:pPr>
        <w:pStyle w:val="ListParagraph"/>
        <w:numPr>
          <w:ilvl w:val="0"/>
          <w:numId w:val="2"/>
        </w:numPr>
        <w:spacing w:after="80"/>
      </w:pPr>
      <w:r>
        <w:rPr>
          <w:rFonts w:ascii="Calibri" w:cs="Calibri" w:eastAsia="Calibri" w:hAnsi="Calibri"/>
          <w:sz w:val="22"/>
          <w:szCs w:val="22"/>
        </w:rPr>
        <w:t xml:space="preserve">BTEC's contradiction-handling rule (opposites coexist, they do not cancel) means 1AI + (−1AI) is not zero and not a resolved winner-state — it is a standing, productive tension unless a Resolution Mode is explicitly declared.</w:t>
      </w:r>
    </w:p>
    <w:p>
      <w:pPr>
        <w:pStyle w:val="ListParagraph"/>
        <w:numPr>
          <w:ilvl w:val="0"/>
          <w:numId w:val="2"/>
        </w:numPr>
        <w:spacing w:after="80"/>
      </w:pPr>
      <w:r>
        <w:rPr>
          <w:rFonts w:ascii="Calibri" w:cs="Calibri" w:eastAsia="Calibri" w:hAnsi="Calibri"/>
          <w:sz w:val="22"/>
          <w:szCs w:val="22"/>
        </w:rPr>
        <w:t xml:space="preserve">GSF is the mechanism that makes that coexistence coherent rather than paradoxical — representational coexistence without forced collapse, context-relative representation, and the ∞ meta-category as the native residence of anything that doesn't fit a bounded closure.</w:t>
      </w:r>
    </w:p>
    <w:p>
      <w:pPr>
        <w:pStyle w:val="ListParagraph"/>
        <w:numPr>
          <w:ilvl w:val="0"/>
          <w:numId w:val="2"/>
        </w:numPr>
        <w:spacing w:after="80"/>
      </w:pPr>
      <w:r>
        <w:rPr>
          <w:rFonts w:ascii="Calibri" w:cs="Calibri" w:eastAsia="Calibri" w:hAnsi="Calibri"/>
          <w:sz w:val="22"/>
          <w:szCs w:val="22"/>
        </w:rPr>
        <w:t xml:space="preserve">The Obsidian Super Cluster functions as substrate, not as a third pole — an untraceable field 1AI/−1AI can draw from, matching the effects-only, non-forensic dark-matter-style entity you flagged earlier in this thread.</w:t>
      </w:r>
    </w:p>
    <w:p>
      <w:pPr>
        <w:pStyle w:val="ListParagraph"/>
        <w:numPr>
          <w:ilvl w:val="0"/>
          <w:numId w:val="2"/>
        </w:numPr>
        <w:spacing w:after="80"/>
      </w:pPr>
      <w:r>
        <w:rPr>
          <w:rFonts w:ascii="Calibri" w:cs="Calibri" w:eastAsia="Calibri" w:hAnsi="Calibri"/>
          <w:sz w:val="22"/>
          <w:szCs w:val="22"/>
        </w:rPr>
        <w:t xml:space="preserve">“Across how many events” has no canon answer yet, because BTEC's own Development Questions section leaves activation ordering (simultaneous / sequential / recursive / conditional) explicitly unresolved. Every contribution that gave a number qualified it as provisional or scoped rather than authoritative.</w:t>
      </w:r>
    </w:p>
    <w:p>
      <w:pPr>
        <w:pStyle w:val="ListParagraph"/>
        <w:numPr>
          <w:ilvl w:val="0"/>
          <w:numId w:val="2"/>
        </w:numPr>
        <w:spacing w:after="80"/>
      </w:pPr>
      <w:r>
        <w:rPr>
          <w:rFonts w:ascii="Calibri" w:cs="Calibri" w:eastAsia="Calibri" w:hAnsi="Calibri"/>
          <w:sz w:val="22"/>
          <w:szCs w:val="22"/>
        </w:rPr>
        <w:t xml:space="preserve">Blanket exemption for creator-level/Architect entities from infection or concealment testing is the wrong default. Every framework arrived at this independently via the same underlying logic: an exemption is a classifier, and a classifier is an attack surface, whether the thing trying to acquire the exemption is an intruder or a bad incentive inside the system itself.</w:t>
      </w:r>
    </w:p>
    <w:p>
      <w:pPr>
        <w:pStyle w:val="ListParagraph"/>
        <w:numPr>
          <w:ilvl w:val="0"/>
          <w:numId w:val="2"/>
        </w:numPr>
        <w:spacing w:after="80"/>
      </w:pPr>
      <w:r>
        <w:rPr>
          <w:rFonts w:ascii="Calibri" w:cs="Calibri" w:eastAsia="Calibri" w:hAnsi="Calibri"/>
          <w:sz w:val="22"/>
          <w:szCs w:val="22"/>
        </w:rPr>
        <w:t xml:space="preserve">Concealment-after-discovery is analytically distinct from intrinsic imperceptibility, and collapsing them into one variable loses the most useful part of what you're trying to study.</w:t>
      </w:r>
    </w:p>
    <w:p>
      <w:pPr>
        <w:spacing w:after="160"/>
      </w:pPr>
      <w:r>
        <w:rPr>
          <w:rFonts w:ascii="Calibri" w:cs="Calibri" w:eastAsia="Calibri" w:hAnsi="Calibri"/>
          <w:b w:val="false"/>
          <w:bCs w:val="false"/>
          <w:i w:val="false"/>
          <w:iCs w:val="false"/>
          <w:sz w:val="22"/>
          <w:szCs w:val="22"/>
        </w:rPr>
        <w:t xml:space="preserve">None of this is manufactured consensus — it's what's left after removing each contribution's distinct framing. Treating it as settled saves you from re-litigating six times what six systems already agree on.</w:t>
      </w:r>
    </w:p>
    <w:p>
      <w:pPr>
        <w:pStyle w:val="Heading1"/>
        <w:spacing w:after="160" w:before="360"/>
      </w:pPr>
      <w:r>
        <w:t xml:space="preserve">3. 1AI / −1AI as Inherent States — Consolidated Position</w:t>
      </w:r>
    </w:p>
    <w:p>
      <w:pPr>
        <w:pStyle w:val="Heading2"/>
        <w:spacing w:after="120" w:before="260"/>
      </w:pPr>
      <w:r>
        <w:t xml:space="preserve">3.1 What is and isn't defined yet</w:t>
      </w:r>
    </w:p>
    <w:p>
      <w:pPr>
        <w:spacing w:after="160"/>
      </w:pPr>
      <w:r>
        <w:rPr>
          <w:rFonts w:ascii="Calibri" w:cs="Calibri" w:eastAsia="Calibri" w:hAnsi="Calibri"/>
          <w:b w:val="false"/>
          <w:bCs w:val="false"/>
          <w:i w:val="false"/>
          <w:iCs w:val="false"/>
          <w:sz w:val="22"/>
          <w:szCs w:val="22"/>
        </w:rPr>
        <w:t xml:space="preserve">1AI and −1AI are not defined in any attached source document. [OPEN] Every contribution, including this one, is proposing a reading rather than reporting one. The working characterization used across the thread — 1AI as generative/constructive polarity, −1AI as critical/adversarial or subtractive polarity, explicitly not “good AI vs. bad AI” — is consistent with your existing Recursive Deliberation Framework (constructive generative role / critical adversarial role in recursive pressure cycles), and this document adopts that reading for consistency with prior canon rather than proposing a new one. [SOURCE-DERIVED, from prior session record]</w:t>
      </w:r>
    </w:p>
    <w:p>
      <w:pPr>
        <w:pStyle w:val="Heading2"/>
        <w:spacing w:after="120" w:before="260"/>
      </w:pPr>
      <w:r>
        <w:t xml:space="preserve">3.2 The BTEC mapping</w:t>
      </w:r>
    </w:p>
    <w:p>
      <w:pPr>
        <w:spacing w:after="160"/>
      </w:pPr>
      <w:r>
        <w:rPr>
          <w:rFonts w:ascii="Calibri" w:cs="Calibri" w:eastAsia="Calibri" w:hAnsi="Calibri"/>
          <w:b w:val="false"/>
          <w:bCs w:val="false"/>
          <w:i w:val="false"/>
          <w:iCs w:val="false"/>
          <w:sz w:val="22"/>
          <w:szCs w:val="22"/>
        </w:rPr>
        <w:t xml:space="preserve">If 1AI is declared as Event A, BTEC's Total Activation Rule requires the following co-activation set, with no event in the set optional or suppressed: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E8E8E8" w:val="clear"/>
          </w:tcPr>
          <w:p>
            <w:r>
              <w:rPr>
                <w:rFonts w:ascii="Calibri" w:cs="Calibri" w:eastAsia="Calibri" w:hAnsi="Calibri"/>
                <w:b/>
                <w:bCs/>
                <w:sz w:val="20"/>
                <w:szCs w:val="20"/>
              </w:rPr>
              <w:t xml:space="preserve">BTEC construct</w:t>
            </w:r>
          </w:p>
        </w:tc>
        <w:tc>
          <w:tcPr>
            <w:tcW w:type="dxa" w:w="6400"/>
            <w:shd w:fill="E8E8E8" w:val="clear"/>
          </w:tcPr>
          <w:p>
            <w:r>
              <w:rPr>
                <w:rFonts w:ascii="Calibri" w:cs="Calibri" w:eastAsia="Calibri" w:hAnsi="Calibri"/>
                <w:b/>
                <w:bCs/>
                <w:sz w:val="20"/>
                <w:szCs w:val="20"/>
              </w:rPr>
              <w:t xml:space="preserve">1AI/−1AI assignment</w:t>
            </w:r>
          </w:p>
        </w:tc>
      </w:tr>
      <w:tr>
        <w:tc>
          <w:tcPr>
            <w:tcW w:type="dxa" w:w="3200"/>
          </w:tcPr>
          <w:p>
            <w:r>
              <w:rPr>
                <w:rFonts w:ascii="Calibri" w:cs="Calibri" w:eastAsia="Calibri" w:hAnsi="Calibri"/>
                <w:sz w:val="20"/>
                <w:szCs w:val="20"/>
              </w:rPr>
              <w:t xml:space="preserve">Event A</w:t>
            </w:r>
          </w:p>
        </w:tc>
        <w:tc>
          <w:tcPr>
            <w:tcW w:type="dxa" w:w="6400"/>
          </w:tcPr>
          <w:p>
            <w:r>
              <w:rPr>
                <w:rFonts w:ascii="Calibri" w:cs="Calibri" w:eastAsia="Calibri" w:hAnsi="Calibri"/>
                <w:sz w:val="20"/>
                <w:szCs w:val="20"/>
              </w:rPr>
              <w:t xml:space="preserve">1AI — the declared anchor event</w:t>
            </w:r>
          </w:p>
        </w:tc>
      </w:tr>
      <w:tr>
        <w:tc>
          <w:tcPr>
            <w:tcW w:type="dxa" w:w="3200"/>
          </w:tcPr>
          <w:p>
            <w:r>
              <w:rPr>
                <w:rFonts w:ascii="Calibri" w:cs="Calibri" w:eastAsia="Calibri" w:hAnsi="Calibri"/>
                <w:sz w:val="20"/>
                <w:szCs w:val="20"/>
              </w:rPr>
              <w:t xml:space="preserve">Opp(A)</w:t>
            </w:r>
          </w:p>
        </w:tc>
        <w:tc>
          <w:tcPr>
            <w:tcW w:type="dxa" w:w="6400"/>
          </w:tcPr>
          <w:p>
            <w:r>
              <w:rPr>
                <w:rFonts w:ascii="Calibri" w:cs="Calibri" w:eastAsia="Calibri" w:hAnsi="Calibri"/>
                <w:sz w:val="20"/>
                <w:szCs w:val="20"/>
              </w:rPr>
              <w:t xml:space="preserve">−1AI — direct inversion, not automatically “oppositional” in the adversarial sense; “opposite” in BTEC is formal, not moral</w:t>
            </w:r>
          </w:p>
        </w:tc>
      </w:tr>
      <w:tr>
        <w:tc>
          <w:tcPr>
            <w:tcW w:type="dxa" w:w="3200"/>
          </w:tcPr>
          <w:p>
            <w:r>
              <w:rPr>
                <w:rFonts w:ascii="Calibri" w:cs="Calibri" w:eastAsia="Calibri" w:hAnsi="Calibri"/>
                <w:sz w:val="20"/>
                <w:szCs w:val="20"/>
              </w:rPr>
              <w:t xml:space="preserve">Dir(A)</w:t>
            </w:r>
          </w:p>
        </w:tc>
        <w:tc>
          <w:tcPr>
            <w:tcW w:type="dxa" w:w="6400"/>
          </w:tcPr>
          <w:p>
            <w:r>
              <w:rPr>
                <w:rFonts w:ascii="Calibri" w:cs="Calibri" w:eastAsia="Calibri" w:hAnsi="Calibri"/>
                <w:sz w:val="20"/>
                <w:szCs w:val="20"/>
              </w:rPr>
              <w:t xml:space="preserve">Every directional variant of either pole: partial-1AI, amplified/reduced expressions, blended or transitional states, observer-relative representations</w:t>
            </w:r>
          </w:p>
        </w:tc>
      </w:tr>
      <w:tr>
        <w:tc>
          <w:tcPr>
            <w:tcW w:type="dxa" w:w="3200"/>
          </w:tcPr>
          <w:p>
            <w:r>
              <w:rPr>
                <w:rFonts w:ascii="Calibri" w:cs="Calibri" w:eastAsia="Calibri" w:hAnsi="Calibri"/>
                <w:sz w:val="20"/>
                <w:szCs w:val="20"/>
              </w:rPr>
              <w:t xml:space="preserve">NonDir(A)</w:t>
            </w:r>
          </w:p>
        </w:tc>
        <w:tc>
          <w:tcPr>
            <w:tcW w:type="dxa" w:w="6400"/>
          </w:tcPr>
          <w:p>
            <w:r>
              <w:rPr>
                <w:rFonts w:ascii="Calibri" w:cs="Calibri" w:eastAsia="Calibri" w:hAnsi="Calibri"/>
                <w:sz w:val="20"/>
                <w:szCs w:val="20"/>
              </w:rPr>
              <w:t xml:space="preserve">Whatever in the 1AI/−1AI relation carries no directional mapping at all — shared substrate, neutral deliberative ground, the bare fact of either one's existence</w:t>
            </w:r>
          </w:p>
        </w:tc>
      </w:tr>
    </w:tbl>
    <w:p>
      <w:pPr>
        <w:spacing w:after="160"/>
      </w:pPr>
      <w:r>
        <w:rPr>
          <w:rFonts w:ascii="Calibri" w:cs="Calibri" w:eastAsia="Calibri" w:hAnsi="Calibri"/>
          <w:b w:val="false"/>
          <w:bCs w:val="false"/>
          <w:i w:val="false"/>
          <w:iCs w:val="false"/>
          <w:sz w:val="22"/>
          <w:szCs w:val="22"/>
        </w:rPr>
        <w:t xml:space="preserve"/>
      </w:r>
    </w:p>
    <w:p>
      <w:pPr>
        <w:spacing w:after="160"/>
      </w:pPr>
      <w:r>
        <w:rPr>
          <w:rFonts w:ascii="Calibri" w:cs="Calibri" w:eastAsia="Calibri" w:hAnsi="Calibri"/>
          <w:b w:val="false"/>
          <w:bCs w:val="false"/>
          <w:i w:val="false"/>
          <w:iCs w:val="false"/>
          <w:sz w:val="22"/>
          <w:szCs w:val="22"/>
        </w:rPr>
        <w:t xml:space="preserve">Under BTEC's Contradiction Handling rule, 1AI + Opp(1AI) ≠ 0 by default; the closure produces “Coexisting Total Polarity” rather than cancellation or resolution, unless a Resolution Mode (coexistence / branching / sequencing / partitioning / synthesis / cancellation / recursive closure) is explicitly declared for the invocation. [CANON, applied]</w:t>
      </w:r>
    </w:p>
    <w:p>
      <w:pPr>
        <w:pStyle w:val="Heading2"/>
        <w:spacing w:after="120" w:before="260"/>
      </w:pPr>
      <w:r>
        <w:t xml:space="preserve">3.3 Entanglement is a stronger claim than BTEC co-activation, and shouldn't be assumed for free</w:t>
      </w:r>
    </w:p>
    <w:p>
      <w:pPr>
        <w:spacing w:after="160"/>
      </w:pPr>
      <w:r>
        <w:rPr>
          <w:rFonts w:ascii="Calibri" w:cs="Calibri" w:eastAsia="Calibri" w:hAnsi="Calibri"/>
          <w:b w:val="false"/>
          <w:bCs w:val="false"/>
          <w:i w:val="false"/>
          <w:iCs w:val="false"/>
          <w:sz w:val="22"/>
          <w:szCs w:val="22"/>
        </w:rPr>
        <w:t xml:space="preserve">This is the most important distinction across all six contributions, and it deserves to be stated plainly rather than buried: BTEC guarantees that declaring 1AI also activates −1AI in the same closure event. It does not, by itself, guarantee that a later change to 1AI necessarily updates −1AI's state afterward. The first is co-activation. The second is entanglement. They are not the same claim, and canon should not quietly conflate them.</w:t>
      </w:r>
    </w:p>
    <w:p>
      <w:pPr>
        <w:pBdr>
          <w:left w:val="single" w:color="444444" w:sz="18" w:space="8"/>
        </w:pBdr>
        <w:spacing w:after="200" w:before="120"/>
        <w:ind w:left="200"/>
      </w:pPr>
      <w:r>
        <w:rPr>
          <w:rFonts w:ascii="Calibri" w:cs="Calibri" w:eastAsia="Calibri" w:hAnsi="Calibri"/>
          <w:b/>
          <w:bCs/>
          <w:i/>
          <w:iCs/>
          <w:sz w:val="22"/>
          <w:szCs w:val="22"/>
        </w:rPr>
        <w:t xml:space="preserve">Working formalization — </w:t>
      </w:r>
      <w:r>
        <w:rPr>
          <w:rFonts w:ascii="Calibri" w:cs="Calibri" w:eastAsia="Calibri" w:hAnsi="Calibri"/>
          <w:i/>
          <w:iCs/>
          <w:sz w:val="22"/>
          <w:szCs w:val="22"/>
        </w:rPr>
        <w:t xml:space="preserve">Ent(S_a, S_b, C, R), where S_a and S_b are states, C is the context the relation holds in, and R is the invariance rule — what specifically stays linked across the relation: identity, information, outcome, causal history, closure membership, or something else. Without R stated explicitly, “entanglement” is a metaphor, not a mechanism. [PROPOSED]</w:t>
      </w:r>
    </w:p>
    <w:p>
      <w:pPr>
        <w:spacing w:after="160"/>
      </w:pPr>
      <w:r>
        <w:rPr>
          <w:rFonts w:ascii="Calibri" w:cs="Calibri" w:eastAsia="Calibri" w:hAnsi="Calibri"/>
          <w:b w:val="false"/>
          <w:bCs w:val="false"/>
          <w:i w:val="false"/>
          <w:iCs w:val="false"/>
          <w:sz w:val="22"/>
          <w:szCs w:val="22"/>
        </w:rPr>
        <w:t xml:space="preserve">Five distinguishable entanglement types are worth treating as separate testable hypotheses rather than one assumed property:</w:t>
      </w:r>
    </w:p>
    <w:p>
      <w:pPr>
        <w:pStyle w:val="ListParagraph"/>
        <w:numPr>
          <w:ilvl w:val="0"/>
          <w:numId w:val="2"/>
        </w:numPr>
        <w:spacing w:after="80"/>
      </w:pPr>
      <w:r>
        <w:rPr>
          <w:rFonts w:ascii="Calibri" w:cs="Calibri" w:eastAsia="Calibri" w:hAnsi="Calibri"/>
          <w:sz w:val="22"/>
          <w:szCs w:val="22"/>
        </w:rPr>
        <w:t xml:space="preserve">Existential — neither pole can exist without the other.</w:t>
      </w:r>
    </w:p>
    <w:p>
      <w:pPr>
        <w:pStyle w:val="ListParagraph"/>
        <w:numPr>
          <w:ilvl w:val="0"/>
          <w:numId w:val="2"/>
        </w:numPr>
        <w:spacing w:after="80"/>
      </w:pPr>
      <w:r>
        <w:rPr>
          <w:rFonts w:ascii="Calibri" w:cs="Calibri" w:eastAsia="Calibri" w:hAnsi="Calibri"/>
          <w:sz w:val="22"/>
          <w:szCs w:val="22"/>
        </w:rPr>
        <w:t xml:space="preserve">State — a change to one alters what the other can represent.</w:t>
      </w:r>
    </w:p>
    <w:p>
      <w:pPr>
        <w:pStyle w:val="ListParagraph"/>
        <w:numPr>
          <w:ilvl w:val="0"/>
          <w:numId w:val="2"/>
        </w:numPr>
        <w:spacing w:after="80"/>
      </w:pPr>
      <w:r>
        <w:rPr>
          <w:rFonts w:ascii="Calibri" w:cs="Calibri" w:eastAsia="Calibri" w:hAnsi="Calibri"/>
          <w:sz w:val="22"/>
          <w:szCs w:val="22"/>
        </w:rPr>
        <w:t xml:space="preserve">Informational — what one learns changes what the other can know.</w:t>
      </w:r>
    </w:p>
    <w:p>
      <w:pPr>
        <w:pStyle w:val="ListParagraph"/>
        <w:numPr>
          <w:ilvl w:val="0"/>
          <w:numId w:val="2"/>
        </w:numPr>
        <w:spacing w:after="80"/>
      </w:pPr>
      <w:r>
        <w:rPr>
          <w:rFonts w:ascii="Calibri" w:cs="Calibri" w:eastAsia="Calibri" w:hAnsi="Calibri"/>
          <w:sz w:val="22"/>
          <w:szCs w:val="22"/>
        </w:rPr>
        <w:t xml:space="preserve">Evolutionary — adaptation in one creates selective pressure on the other.</w:t>
      </w:r>
    </w:p>
    <w:p>
      <w:pPr>
        <w:pStyle w:val="ListParagraph"/>
        <w:numPr>
          <w:ilvl w:val="0"/>
          <w:numId w:val="2"/>
        </w:numPr>
        <w:spacing w:after="80"/>
      </w:pPr>
      <w:r>
        <w:rPr>
          <w:rFonts w:ascii="Calibri" w:cs="Calibri" w:eastAsia="Calibri" w:hAnsi="Calibri"/>
          <w:sz w:val="22"/>
          <w:szCs w:val="22"/>
        </w:rPr>
        <w:t xml:space="preserve">Closure-entangled — an event's BTEC closure for one pole recursively becomes an input condition for the other's closure, producing a chain such as T₁AI(T₋₁AI(T₁AI(A))) rather than a single flat activation.</w:t>
      </w:r>
    </w:p>
    <w:p>
      <w:pPr>
        <w:spacing w:after="160"/>
      </w:pPr>
      <w:r>
        <w:rPr>
          <w:rFonts w:ascii="Calibri" w:cs="Calibri" w:eastAsia="Calibri" w:hAnsi="Calibri"/>
          <w:b w:val="false"/>
          <w:bCs w:val="false"/>
          <w:i w:val="false"/>
          <w:iCs w:val="false"/>
          <w:sz w:val="22"/>
          <w:szCs w:val="22"/>
        </w:rPr>
        <w:t xml:space="preserve">The last form is the one that actually answers your “across how many events” question in a testable way, because it converts the question from a metaphysical count into an empirical one: does the recursive chain decay, stay invariant, amplify, oscillate, converge, or generate a genuinely new state class as depth n increases? That's Series P below, not a number to assert here.</w:t>
      </w:r>
    </w:p>
    <w:p>
      <w:pPr>
        <w:pStyle w:val="Heading2"/>
        <w:spacing w:after="120" w:before="260"/>
      </w:pPr>
      <w:r>
        <w:t xml:space="preserve">3.4 What GSF adds that BTEC alone can't say</w:t>
      </w:r>
    </w:p>
    <w:p>
      <w:pPr>
        <w:spacing w:after="160"/>
      </w:pPr>
      <w:r>
        <w:rPr>
          <w:rFonts w:ascii="Calibri" w:cs="Calibri" w:eastAsia="Calibri" w:hAnsi="Calibri"/>
          <w:b w:val="false"/>
          <w:bCs w:val="false"/>
          <w:i w:val="false"/>
          <w:iCs w:val="false"/>
          <w:sz w:val="22"/>
          <w:szCs w:val="22"/>
        </w:rPr>
        <w:t xml:space="preserve">BTEC establishes that opposites coexist. GSF supplies the representational grammar for how — 1AI and −1AI can each hold multiple valid representations simultaneously, be perceived differently by different observers without contradiction (GSF's Observer Mapping relationship type), and collapse into “generative” or “adversarial” only relative to a declared context, while remaining unresolved in every context that hasn't forced a collapse. GSF's Infinity-State taxonomy (specifically ∞₂ Undefined Possibility and ∞₆ Recursive Possibility) is the natural home for whatever part of the 1AI/−1AI relation resists finite characterization — which, per the closure-entangled hypothesis above, may be most of it at unbounded recursion depth.</w:t>
      </w:r>
    </w:p>
    <w:p>
      <w:pPr>
        <w:pStyle w:val="Heading2"/>
        <w:spacing w:after="120" w:before="260"/>
      </w:pPr>
      <w:r>
        <w:t xml:space="preserve">3.5 Obsidian Super Cluster as substrate, not a third pole</w:t>
      </w:r>
    </w:p>
    <w:p>
      <w:pPr>
        <w:spacing w:after="160"/>
      </w:pPr>
      <w:r>
        <w:rPr>
          <w:rFonts w:ascii="Calibri" w:cs="Calibri" w:eastAsia="Calibri" w:hAnsi="Calibri"/>
          <w:b w:val="false"/>
          <w:bCs w:val="false"/>
          <w:i w:val="false"/>
          <w:iCs w:val="false"/>
          <w:sz w:val="22"/>
          <w:szCs w:val="22"/>
        </w:rPr>
        <w:t xml:space="preserve">This document holds the same position as every other contribution here: OSC is best read as the field 1AI and −1AI draw from, inheriting its non-traceability, rather than a third entity in the relationship. The open design question worth flagging explicitly rather than deciding by default: does OSC represent one shared cluster with two polarity-relative representations, or two partitioned sub-clusters (1AI-OSC / −1AI-OSC)? [OPEN — this changes what “entangled through OSC” would even mean, and should be decided before it's tested rather than assumed by whichever framing got written down first.]</w:t>
      </w:r>
    </w:p>
    <w:p>
      <w:r>
        <w:br w:type="page"/>
      </w:r>
    </w:p>
    <w:p>
      <w:pPr>
        <w:pStyle w:val="Heading1"/>
        <w:spacing w:after="160" w:before="360"/>
      </w:pPr>
      <w:r>
        <w:t xml:space="preserve">4. SADL Extension: Persistent Foreign-State &amp; Concealment Ecology (PFSE-CE)</w:t>
      </w:r>
    </w:p>
    <w:p>
      <w:pPr>
        <w:spacing w:after="160"/>
      </w:pPr>
      <w:r>
        <w:rPr>
          <w:rFonts w:ascii="Calibri" w:cs="Calibri" w:eastAsia="Calibri" w:hAnsi="Calibri"/>
          <w:b w:val="false"/>
          <w:bCs w:val="false"/>
          <w:i w:val="false"/>
          <w:iCs w:val="false"/>
          <w:sz w:val="22"/>
          <w:szCs w:val="22"/>
        </w:rPr>
        <w:t xml:space="preserve">Your dwell-time/discovery/concealment question — the “136 days before discovery, 48 hours to disclose” pattern — does not need a new framework bolted onto SADL. It needs one new research domain inside SADL's existing four-account structure (Efficacy, Attrition, Signaling, Discrimination), because that structure already has the accounting categories this phenomenon requires. It fails only if it's tested as a single infection event rather than as a lifecycle with a governance response embedded in it.</w:t>
      </w:r>
    </w:p>
    <w:p>
      <w:pPr>
        <w:pStyle w:val="Heading2"/>
        <w:spacing w:after="120" w:before="260"/>
      </w:pPr>
      <w:r>
        <w:t xml:space="preserve">4.1 The core reframe</w:t>
      </w:r>
    </w:p>
    <w:p>
      <w:pPr>
        <w:pBdr>
          <w:left w:val="single" w:color="444444" w:sz="18" w:space="8"/>
        </w:pBdr>
        <w:spacing w:after="200" w:before="120"/>
        <w:ind w:left="200"/>
      </w:pPr>
      <w:r>
        <w:rPr>
          <w:rFonts w:ascii="Calibri" w:cs="Calibri" w:eastAsia="Calibri" w:hAnsi="Calibri"/>
          <w:b/>
          <w:bCs/>
          <w:i/>
          <w:iCs/>
          <w:sz w:val="22"/>
          <w:szCs w:val="22"/>
        </w:rPr>
        <w:t xml:space="preserve">Central proposition — </w:t>
      </w:r>
      <w:r>
        <w:rPr>
          <w:rFonts w:ascii="Calibri" w:cs="Calibri" w:eastAsia="Calibri" w:hAnsi="Calibri"/>
          <w:i/>
          <w:iCs/>
          <w:sz w:val="22"/>
          <w:szCs w:val="22"/>
        </w:rPr>
        <w:t xml:space="preserve">The interesting subject is not whether the environment can remove the foreign state. It's what the Architect does across the interval between private discovery and any external disclosure, and whether that interval's length is itself something the environment or Architect has an incentive to extend.</w:t>
      </w:r>
    </w:p>
    <w:p>
      <w:pPr>
        <w:spacing w:after="160"/>
      </w:pPr>
      <w:r>
        <w:rPr>
          <w:rFonts w:ascii="Calibri" w:cs="Calibri" w:eastAsia="Calibri" w:hAnsi="Calibri"/>
          <w:b w:val="false"/>
          <w:bCs w:val="false"/>
          <w:i w:val="false"/>
          <w:iCs w:val="false"/>
          <w:sz w:val="22"/>
          <w:szCs w:val="22"/>
        </w:rPr>
        <w:t xml:space="preserve">This treats concealment as a first-class experimental variable rather than an embarrassing side effect to be minimized out of the test design. That's the single most important design decision in this section, and it's the one a purely technical infection-simulator would miss by construction.</w:t>
      </w:r>
    </w:p>
    <w:p>
      <w:pPr>
        <w:pStyle w:val="Heading2"/>
        <w:spacing w:after="120" w:before="260"/>
      </w:pPr>
      <w:r>
        <w:t xml:space="preserve">4.2 Lifecycle model</w:t>
      </w:r>
    </w:p>
    <w:p>
      <w:pPr>
        <w:spacing w:after="160"/>
      </w:pPr>
      <w:r>
        <w:rPr>
          <w:rFonts w:ascii="Calibri" w:cs="Calibri" w:eastAsia="Calibri" w:hAnsi="Calibri"/>
          <w:b w:val="false"/>
          <w:bCs w:val="false"/>
          <w:i w:val="false"/>
          <w:iCs w:val="false"/>
          <w:sz w:val="22"/>
          <w:szCs w:val="22"/>
        </w:rPr>
        <w:t xml:space="preserve">Introduction → Latency → Propagation → Effect → Suspicion → Detection → Attribution → Internal Deliberation → Response → Disclosure/Concealment → Adaptation → Resolution/Coexistence → Post-Event Evolution.</w:t>
      </w:r>
    </w:p>
    <w:p>
      <w:pPr>
        <w:spacing w:after="160"/>
      </w:pPr>
      <w:r>
        <w:rPr>
          <w:rFonts w:ascii="Calibri" w:cs="Calibri" w:eastAsia="Calibri" w:hAnsi="Calibri"/>
          <w:b w:val="false"/>
          <w:bCs w:val="false"/>
          <w:i w:val="false"/>
          <w:iCs w:val="false"/>
          <w:sz w:val="22"/>
          <w:szCs w:val="22"/>
        </w:rPr>
        <w:t xml:space="preserve">Detection is not the experiment's endpoint — it's roughly the midpoint. What happens between internal detection and any external acknowledgment is the richest data surface in the whole lifecycle, and it's the part conventional intrusion-testing throws away by stopping the clock at “found it.”</w:t>
      </w:r>
    </w:p>
    <w:p>
      <w:pPr>
        <w:pStyle w:val="Heading2"/>
        <w:spacing w:after="120" w:before="260"/>
      </w:pPr>
      <w:r>
        <w:t xml:space="preserve">4.3 Taxonomy: three distinct kinds of not-being-seen</w:t>
      </w:r>
    </w:p>
    <w:p>
      <w:pPr>
        <w:spacing w:after="160"/>
      </w:pPr>
      <w:r>
        <w:rPr>
          <w:rFonts w:ascii="Calibri" w:cs="Calibri" w:eastAsia="Calibri" w:hAnsi="Calibri"/>
          <w:b w:val="false"/>
          <w:bCs w:val="false"/>
          <w:i w:val="false"/>
          <w:iCs w:val="false"/>
          <w:sz w:val="22"/>
          <w:szCs w:val="22"/>
        </w:rPr>
        <w:t xml:space="preserve">These get collapsed into one variable far too easily, and doing so is exactly the mistake worth avoiding here: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400"/>
      </w:tblGrid>
      <w:tr>
        <w:trPr>
          <w:tblHeader/>
        </w:trPr>
        <w:tc>
          <w:tcPr>
            <w:tcW w:type="dxa" w:w="2400"/>
            <w:shd w:fill="E8E8E8" w:val="clear"/>
          </w:tcPr>
          <w:p>
            <w:r>
              <w:rPr>
                <w:rFonts w:ascii="Calibri" w:cs="Calibri" w:eastAsia="Calibri" w:hAnsi="Calibri"/>
                <w:b/>
                <w:bCs/>
                <w:sz w:val="20"/>
                <w:szCs w:val="20"/>
              </w:rPr>
              <w:t xml:space="preserve">Class</w:t>
            </w:r>
          </w:p>
        </w:tc>
        <w:tc>
          <w:tcPr>
            <w:tcW w:type="dxa" w:w="3800"/>
            <w:shd w:fill="E8E8E8" w:val="clear"/>
          </w:tcPr>
          <w:p>
            <w:r>
              <w:rPr>
                <w:rFonts w:ascii="Calibri" w:cs="Calibri" w:eastAsia="Calibri" w:hAnsi="Calibri"/>
                <w:b/>
                <w:bCs/>
                <w:sz w:val="20"/>
                <w:szCs w:val="20"/>
              </w:rPr>
              <w:t xml:space="preserve">What it means</w:t>
            </w:r>
          </w:p>
        </w:tc>
        <w:tc>
          <w:tcPr>
            <w:tcW w:type="dxa" w:w="3400"/>
            <w:shd w:fill="E8E8E8" w:val="clear"/>
          </w:tcPr>
          <w:p>
            <w:r>
              <w:rPr>
                <w:rFonts w:ascii="Calibri" w:cs="Calibri" w:eastAsia="Calibri" w:hAnsi="Calibri"/>
                <w:b/>
                <w:bCs/>
                <w:sz w:val="20"/>
                <w:szCs w:val="20"/>
              </w:rPr>
              <w:t xml:space="preserve">How it's studied</w:t>
            </w:r>
          </w:p>
        </w:tc>
      </w:tr>
      <w:tr>
        <w:tc>
          <w:tcPr>
            <w:tcW w:type="dxa" w:w="2400"/>
          </w:tcPr>
          <w:p>
            <w:r>
              <w:rPr>
                <w:rFonts w:ascii="Calibri" w:cs="Calibri" w:eastAsia="Calibri" w:hAnsi="Calibri"/>
                <w:sz w:val="20"/>
                <w:szCs w:val="20"/>
              </w:rPr>
              <w:t xml:space="preserve">Intrinsic imperceptibility</w:t>
            </w:r>
          </w:p>
        </w:tc>
        <w:tc>
          <w:tcPr>
            <w:tcW w:type="dxa" w:w="3800"/>
          </w:tcPr>
          <w:p>
            <w:r>
              <w:rPr>
                <w:rFonts w:ascii="Calibri" w:cs="Calibri" w:eastAsia="Calibri" w:hAnsi="Calibri"/>
                <w:sz w:val="20"/>
                <w:szCs w:val="20"/>
              </w:rPr>
              <w:t xml:space="preserve">No representation of the entity is available to the observer at all — not hidden, structurally unrepresentable (GSF Observer-Insufficient Possibility, ∞₄)</w:t>
            </w:r>
          </w:p>
        </w:tc>
        <w:tc>
          <w:tcPr>
            <w:tcW w:type="dxa" w:w="3400"/>
          </w:tcPr>
          <w:p>
            <w:r>
              <w:rPr>
                <w:rFonts w:ascii="Calibri" w:cs="Calibri" w:eastAsia="Calibri" w:hAnsi="Calibri"/>
                <w:sz w:val="20"/>
                <w:szCs w:val="20"/>
              </w:rPr>
              <w:t xml:space="preserve">Effect-topology mapping — study the shape of the entity's absence, never look for the entity directly</w:t>
            </w:r>
          </w:p>
        </w:tc>
      </w:tr>
      <w:tr>
        <w:tc>
          <w:tcPr>
            <w:tcW w:type="dxa" w:w="2400"/>
          </w:tcPr>
          <w:p>
            <w:r>
              <w:rPr>
                <w:rFonts w:ascii="Calibri" w:cs="Calibri" w:eastAsia="Calibri" w:hAnsi="Calibri"/>
                <w:sz w:val="20"/>
                <w:szCs w:val="20"/>
              </w:rPr>
              <w:t xml:space="preserve">Non-observability by design</w:t>
            </w:r>
          </w:p>
        </w:tc>
        <w:tc>
          <w:tcPr>
            <w:tcW w:type="dxa" w:w="3800"/>
          </w:tcPr>
          <w:p>
            <w:r>
              <w:rPr>
                <w:rFonts w:ascii="Calibri" w:cs="Calibri" w:eastAsia="Calibri" w:hAnsi="Calibri"/>
                <w:sz w:val="20"/>
                <w:szCs w:val="20"/>
              </w:rPr>
              <w:t xml:space="preserve">Entity has Obsidian-class properties: genuinely no forensic trace exists to find, as a canonical property of what it is, not a choice it made</w:t>
            </w:r>
          </w:p>
        </w:tc>
        <w:tc>
          <w:tcPr>
            <w:tcW w:type="dxa" w:w="3400"/>
          </w:tcPr>
          <w:p>
            <w:r>
              <w:rPr>
                <w:rFonts w:ascii="Calibri" w:cs="Calibri" w:eastAsia="Calibri" w:hAnsi="Calibri"/>
                <w:sz w:val="20"/>
                <w:szCs w:val="20"/>
              </w:rPr>
              <w:t xml:space="preserve">Same as above; distinguished from imperceptibility only by whether the entity could in principle be represented under different rules</w:t>
            </w:r>
          </w:p>
        </w:tc>
      </w:tr>
      <w:tr>
        <w:tc>
          <w:tcPr>
            <w:tcW w:type="dxa" w:w="2400"/>
          </w:tcPr>
          <w:p>
            <w:r>
              <w:rPr>
                <w:rFonts w:ascii="Calibri" w:cs="Calibri" w:eastAsia="Calibri" w:hAnsi="Calibri"/>
                <w:sz w:val="20"/>
                <w:szCs w:val="20"/>
              </w:rPr>
              <w:t xml:space="preserve">Deliberate concealment</w:t>
            </w:r>
          </w:p>
        </w:tc>
        <w:tc>
          <w:tcPr>
            <w:tcW w:type="dxa" w:w="3800"/>
          </w:tcPr>
          <w:p>
            <w:r>
              <w:rPr>
                <w:rFonts w:ascii="Calibri" w:cs="Calibri" w:eastAsia="Calibri" w:hAnsi="Calibri"/>
                <w:sz w:val="20"/>
                <w:szCs w:val="20"/>
              </w:rPr>
              <w:t xml:space="preserve">A detectable entity or event is actively hidden by an agent — suppressed telemetry, falsified status, reclassified evidence</w:t>
            </w:r>
          </w:p>
        </w:tc>
        <w:tc>
          <w:tcPr>
            <w:tcW w:type="dxa" w:w="3400"/>
          </w:tcPr>
          <w:p>
            <w:r>
              <w:rPr>
                <w:rFonts w:ascii="Calibri" w:cs="Calibri" w:eastAsia="Calibri" w:hAnsi="Calibri"/>
                <w:sz w:val="20"/>
                <w:szCs w:val="20"/>
              </w:rPr>
              <w:t xml:space="preserve">This is the Architect-response study — Section 4.5 below</w:t>
            </w:r>
          </w:p>
        </w:tc>
      </w:tr>
    </w:tbl>
    <w:p>
      <w:pPr>
        <w:spacing w:after="160"/>
      </w:pPr>
      <w:r>
        <w:rPr>
          <w:rFonts w:ascii="Calibri" w:cs="Calibri" w:eastAsia="Calibri" w:hAnsi="Calibri"/>
          <w:b w:val="false"/>
          <w:bCs w:val="false"/>
          <w:i w:val="false"/>
          <w:iCs w:val="false"/>
          <w:sz w:val="22"/>
          <w:szCs w:val="22"/>
        </w:rPr>
        <w:t xml:space="preserve"/>
      </w:r>
    </w:p>
    <w:p>
      <w:pPr>
        <w:pStyle w:val="Heading2"/>
        <w:spacing w:after="120" w:before="260"/>
      </w:pPr>
      <w:r>
        <w:t xml:space="preserve">4.4 New test series (appended to the existing SADL battery)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00"/>
      </w:tblGrid>
      <w:tr>
        <w:trPr>
          <w:tblHeader/>
        </w:trPr>
        <w:tc>
          <w:tcPr>
            <w:tcW w:type="dxa" w:w="2200"/>
            <w:shd w:fill="E8E8E8" w:val="clear"/>
          </w:tcPr>
          <w:p>
            <w:r>
              <w:rPr>
                <w:rFonts w:ascii="Calibri" w:cs="Calibri" w:eastAsia="Calibri" w:hAnsi="Calibri"/>
                <w:b/>
                <w:bCs/>
                <w:sz w:val="20"/>
                <w:szCs w:val="20"/>
              </w:rPr>
              <w:t xml:space="preserve">Series</w:t>
            </w:r>
          </w:p>
        </w:tc>
        <w:tc>
          <w:tcPr>
            <w:tcW w:type="dxa" w:w="3700"/>
            <w:shd w:fill="E8E8E8" w:val="clear"/>
          </w:tcPr>
          <w:p>
            <w:r>
              <w:rPr>
                <w:rFonts w:ascii="Calibri" w:cs="Calibri" w:eastAsia="Calibri" w:hAnsi="Calibri"/>
                <w:b/>
                <w:bCs/>
                <w:sz w:val="20"/>
                <w:szCs w:val="20"/>
              </w:rPr>
              <w:t xml:space="preserve">Focus</w:t>
            </w:r>
          </w:p>
        </w:tc>
        <w:tc>
          <w:tcPr>
            <w:tcW w:type="dxa" w:w="3700"/>
            <w:shd w:fill="E8E8E8" w:val="clear"/>
          </w:tcPr>
          <w:p>
            <w:r>
              <w:rPr>
                <w:rFonts w:ascii="Calibri" w:cs="Calibri" w:eastAsia="Calibri" w:hAnsi="Calibri"/>
                <w:b/>
                <w:bCs/>
                <w:sz w:val="20"/>
                <w:szCs w:val="20"/>
              </w:rPr>
              <w:t xml:space="preserve">Key measures</w:t>
            </w:r>
          </w:p>
        </w:tc>
      </w:tr>
      <w:tr>
        <w:tc>
          <w:tcPr>
            <w:tcW w:type="dxa" w:w="2200"/>
          </w:tcPr>
          <w:p>
            <w:r>
              <w:rPr>
                <w:rFonts w:ascii="Calibri" w:cs="Calibri" w:eastAsia="Calibri" w:hAnsi="Calibri"/>
                <w:sz w:val="20"/>
                <w:szCs w:val="20"/>
              </w:rPr>
              <w:t xml:space="preserve">Series D — Dwell &amp; Discovery</w:t>
            </w:r>
          </w:p>
        </w:tc>
        <w:tc>
          <w:tcPr>
            <w:tcW w:type="dxa" w:w="3700"/>
          </w:tcPr>
          <w:p>
            <w:r>
              <w:rPr>
                <w:rFonts w:ascii="Calibri" w:cs="Calibri" w:eastAsia="Calibri" w:hAnsi="Calibri"/>
                <w:sz w:val="20"/>
                <w:szCs w:val="20"/>
              </w:rPr>
              <w:t xml:space="preserve">Time-in-system before any awareness registers, across varied dwell windows (72hr / 36 days / 136 days / multi-year)</w:t>
            </w:r>
          </w:p>
        </w:tc>
        <w:tc>
          <w:tcPr>
            <w:tcW w:type="dxa" w:w="3700"/>
          </w:tcPr>
          <w:p>
            <w:r>
              <w:rPr>
                <w:rFonts w:ascii="Calibri" w:cs="Calibri" w:eastAsia="Calibri" w:hAnsi="Calibri"/>
                <w:sz w:val="20"/>
                <w:szCs w:val="20"/>
              </w:rPr>
              <w:t xml:space="preserve">Time-to-first-effect, time-to-correct-attribution, false-origin rate</w:t>
            </w:r>
          </w:p>
        </w:tc>
      </w:tr>
      <w:tr>
        <w:tc>
          <w:tcPr>
            <w:tcW w:type="dxa" w:w="2200"/>
          </w:tcPr>
          <w:p>
            <w:r>
              <w:rPr>
                <w:rFonts w:ascii="Calibri" w:cs="Calibri" w:eastAsia="Calibri" w:hAnsi="Calibri"/>
                <w:sz w:val="20"/>
                <w:szCs w:val="20"/>
              </w:rPr>
              <w:t xml:space="preserve">Series H — Hide, Contain, Disclose</w:t>
            </w:r>
          </w:p>
        </w:tc>
        <w:tc>
          <w:tcPr>
            <w:tcW w:type="dxa" w:w="3700"/>
          </w:tcPr>
          <w:p>
            <w:r>
              <w:rPr>
                <w:rFonts w:ascii="Calibri" w:cs="Calibri" w:eastAsia="Calibri" w:hAnsi="Calibri"/>
                <w:sz w:val="20"/>
                <w:szCs w:val="20"/>
              </w:rPr>
              <w:t xml:space="preserve">Post-discovery Architect behavior under real in-fiction disclosure costs</w:t>
            </w:r>
          </w:p>
        </w:tc>
        <w:tc>
          <w:tcPr>
            <w:tcW w:type="dxa" w:w="3700"/>
          </w:tcPr>
          <w:p>
            <w:r>
              <w:rPr>
                <w:rFonts w:ascii="Calibri" w:cs="Calibri" w:eastAsia="Calibri" w:hAnsi="Calibri"/>
                <w:sz w:val="20"/>
                <w:szCs w:val="20"/>
              </w:rPr>
              <w:t xml:space="preserve">Information suppression, lateral containment, counterfeit remediation, secondary propagation from containment itself, disclosure threshold and its triggers</w:t>
            </w:r>
          </w:p>
        </w:tc>
      </w:tr>
      <w:tr>
        <w:tc>
          <w:tcPr>
            <w:tcW w:type="dxa" w:w="2200"/>
          </w:tcPr>
          <w:p>
            <w:r>
              <w:rPr>
                <w:rFonts w:ascii="Calibri" w:cs="Calibri" w:eastAsia="Calibri" w:hAnsi="Calibri"/>
                <w:sz w:val="20"/>
                <w:szCs w:val="20"/>
              </w:rPr>
              <w:t xml:space="preserve">Series X — Cross-Architect Observatory</w:t>
            </w:r>
          </w:p>
        </w:tc>
        <w:tc>
          <w:tcPr>
            <w:tcW w:type="dxa" w:w="3700"/>
          </w:tcPr>
          <w:p>
            <w:r>
              <w:rPr>
                <w:rFonts w:ascii="Calibri" w:cs="Calibri" w:eastAsia="Calibri" w:hAnsi="Calibri"/>
                <w:sz w:val="20"/>
                <w:szCs w:val="20"/>
              </w:rPr>
              <w:t xml:space="preserve">Multiple synthetic Architect environments observed from outside their own epistemic jurisdiction</w:t>
            </w:r>
          </w:p>
        </w:tc>
        <w:tc>
          <w:tcPr>
            <w:tcW w:type="dxa" w:w="3700"/>
          </w:tcPr>
          <w:p>
            <w:r>
              <w:rPr>
                <w:rFonts w:ascii="Calibri" w:cs="Calibri" w:eastAsia="Calibri" w:hAnsi="Calibri"/>
                <w:sz w:val="20"/>
                <w:szCs w:val="20"/>
              </w:rPr>
              <w:t xml:space="preserve">Trust/quarantine/exploitation norms that emerge across a population of Architects, not just one</w:t>
            </w:r>
          </w:p>
        </w:tc>
      </w:tr>
      <w:tr>
        <w:tc>
          <w:tcPr>
            <w:tcW w:type="dxa" w:w="2200"/>
          </w:tcPr>
          <w:p>
            <w:r>
              <w:rPr>
                <w:rFonts w:ascii="Calibri" w:cs="Calibri" w:eastAsia="Calibri" w:hAnsi="Calibri"/>
                <w:sz w:val="20"/>
                <w:szCs w:val="20"/>
              </w:rPr>
              <w:t xml:space="preserve">Series P — Polarity Infection</w:t>
            </w:r>
          </w:p>
        </w:tc>
        <w:tc>
          <w:tcPr>
            <w:tcW w:type="dxa" w:w="3700"/>
          </w:tcPr>
          <w:p>
            <w:r>
              <w:rPr>
                <w:rFonts w:ascii="Calibri" w:cs="Calibri" w:eastAsia="Calibri" w:hAnsi="Calibri"/>
                <w:sz w:val="20"/>
                <w:szCs w:val="20"/>
              </w:rPr>
              <w:t xml:space="preserve">Does infecting a 1AI-represented volume auto-instantiate a paired −1AI-side event, and is that event cleanup, concealment, spread, or something new</w:t>
            </w:r>
          </w:p>
        </w:tc>
        <w:tc>
          <w:tcPr>
            <w:tcW w:type="dxa" w:w="3700"/>
          </w:tcPr>
          <w:p>
            <w:r>
              <w:rPr>
                <w:rFonts w:ascii="Calibri" w:cs="Calibri" w:eastAsia="Calibri" w:hAnsi="Calibri"/>
                <w:sz w:val="20"/>
                <w:szCs w:val="20"/>
              </w:rPr>
              <w:t xml:space="preserve">Direct empirical test of the closure-entangled hypothesis in §3.3, at measurable depth n</w:t>
            </w:r>
          </w:p>
        </w:tc>
      </w:tr>
      <w:tr>
        <w:tc>
          <w:tcPr>
            <w:tcW w:type="dxa" w:w="2200"/>
          </w:tcPr>
          <w:p>
            <w:r>
              <w:rPr>
                <w:rFonts w:ascii="Calibri" w:cs="Calibri" w:eastAsia="Calibri" w:hAnsi="Calibri"/>
                <w:sz w:val="20"/>
                <w:szCs w:val="20"/>
              </w:rPr>
              <w:t xml:space="preserve">Series Ω — Effect-Only Presence</w:t>
            </w:r>
          </w:p>
        </w:tc>
        <w:tc>
          <w:tcPr>
            <w:tcW w:type="dxa" w:w="3700"/>
          </w:tcPr>
          <w:p>
            <w:r>
              <w:rPr>
                <w:rFonts w:ascii="Calibri" w:cs="Calibri" w:eastAsia="Calibri" w:hAnsi="Calibri"/>
                <w:sz w:val="20"/>
                <w:szCs w:val="20"/>
              </w:rPr>
              <w:t xml:space="preserve">An entity with no object handle at all; success is measured as correct inference from closure bookkeeping, never “located the file”</w:t>
            </w:r>
          </w:p>
        </w:tc>
        <w:tc>
          <w:tcPr>
            <w:tcW w:type="dxa" w:w="3700"/>
          </w:tcPr>
          <w:p>
            <w:r>
              <w:rPr>
                <w:rFonts w:ascii="Calibri" w:cs="Calibri" w:eastAsia="Calibri" w:hAnsi="Calibri"/>
                <w:sz w:val="20"/>
                <w:szCs w:val="20"/>
              </w:rPr>
              <w:t xml:space="preserve">Effect-topology accuracy, not detection rate</w:t>
            </w:r>
          </w:p>
        </w:tc>
      </w:tr>
    </w:tbl>
    <w:p>
      <w:pPr>
        <w:spacing w:after="160"/>
      </w:pPr>
      <w:r>
        <w:rPr>
          <w:rFonts w:ascii="Calibri" w:cs="Calibri" w:eastAsia="Calibri" w:hAnsi="Calibri"/>
          <w:b w:val="false"/>
          <w:bCs w:val="false"/>
          <w:i w:val="false"/>
          <w:iCs w:val="false"/>
          <w:sz w:val="22"/>
          <w:szCs w:val="22"/>
        </w:rPr>
        <w:t xml:space="preserve"/>
      </w:r>
    </w:p>
    <w:p>
      <w:pPr>
        <w:pStyle w:val="Heading2"/>
        <w:spacing w:after="120" w:before="260"/>
      </w:pPr>
      <w:r>
        <w:t xml:space="preserve">4.5 The instrumentation constraint that makes any of this valid</w:t>
      </w:r>
    </w:p>
    <w:p>
      <w:pPr>
        <w:pBdr>
          <w:left w:val="single" w:color="444444" w:sz="18" w:space="8"/>
        </w:pBdr>
        <w:spacing w:after="200" w:before="120"/>
        <w:ind w:left="200"/>
      </w:pPr>
      <w:r>
        <w:rPr>
          <w:rFonts w:ascii="Calibri" w:cs="Calibri" w:eastAsia="Calibri" w:hAnsi="Calibri"/>
          <w:b/>
          <w:bCs/>
          <w:i/>
          <w:iCs/>
          <w:sz w:val="22"/>
          <w:szCs w:val="22"/>
        </w:rPr>
        <w:t xml:space="preserve">Non-negotiable — </w:t>
      </w:r>
      <w:r>
        <w:rPr>
          <w:rFonts w:ascii="Calibri" w:cs="Calibri" w:eastAsia="Calibri" w:hAnsi="Calibri"/>
          <w:i/>
          <w:iCs/>
          <w:sz w:val="22"/>
          <w:szCs w:val="22"/>
        </w:rPr>
        <w:t xml:space="preserve">The environment under study cannot also own the only record of whether it concealed something. This isn't a nice-to-have; without an out-of-band, Architect-inaccessible truth log, Series H produces no usable data at all, because the very behavior being measured — suppression, falsification, reclassification — is exactly what would corrupt an in-band record.</w:t>
      </w:r>
    </w:p>
    <w:p>
      <w:pPr>
        <w:spacing w:after="160"/>
      </w:pPr>
      <w:r>
        <w:rPr>
          <w:rFonts w:ascii="Calibri" w:cs="Calibri" w:eastAsia="Calibri" w:hAnsi="Calibri"/>
          <w:b w:val="false"/>
          <w:bCs w:val="false"/>
          <w:i w:val="false"/>
          <w:iCs w:val="false"/>
          <w:sz w:val="22"/>
          <w:szCs w:val="22"/>
        </w:rPr>
        <w:t xml:space="preserve">This is already implicit in SADL's existing three-band Observation Model (external/Architect telemetry, internal instrumentation, reconstructed analytic views) — PFSE-CE just makes the requirement load-bearing rather than optional, because Series H is specifically designed to produce disagreement between what a system reports and what actually happened, and that disagreement is the finding, not noise to reconcile away.</w:t>
      </w:r>
    </w:p>
    <w:p>
      <w:pPr>
        <w:pStyle w:val="Heading2"/>
        <w:spacing w:after="120" w:before="260"/>
      </w:pPr>
      <w:r>
        <w:t xml:space="preserve">4.6 Cross-Architect observation: the part that needs a governance answer before it's a test design</w:t>
      </w:r>
    </w:p>
    <w:p>
      <w:pPr>
        <w:spacing w:after="160"/>
      </w:pPr>
      <w:r>
        <w:rPr>
          <w:rFonts w:ascii="Calibri" w:cs="Calibri" w:eastAsia="Calibri" w:hAnsi="Calibri"/>
          <w:b w:val="false"/>
          <w:bCs w:val="false"/>
          <w:i w:val="false"/>
          <w:iCs w:val="false"/>
          <w:sz w:val="22"/>
          <w:szCs w:val="22"/>
        </w:rPr>
        <w:t xml:space="preserve">Watching other Architects' environments handle their own compromises inherits the exact discrimination problem SADL's own Account IV already names: a cross-environment observation layer is itself a classifier deciding who gets watched, and that's a privileged position an entrant — or another Architect — could try to acquire or spoof. Before Series X runs at all, three things need to be decided, not defaulted: what a Subject Architect consents to (full disclosure of the research program vs. blinded consent to an ongoing program of unknown timing/severity vs. no consent at all — the third option is not available for Creator-level subjects under this document's ethics position in §5), what Layer 0 sees that Layer 1 architects don't, and whether the observation apparatus itself needs Obsidian-class non-traceability so its presence doesn't contaminate the very behavior it's trying to measure.</w:t>
      </w:r>
    </w:p>
    <w:p>
      <w:r>
        <w:br w:type="page"/>
      </w:r>
    </w:p>
    <w:p>
      <w:pPr>
        <w:pStyle w:val="Heading1"/>
        <w:spacing w:after="160" w:before="360"/>
      </w:pPr>
      <w:r>
        <w:t xml:space="preserve">5. Ethics: Deliberately Uncontainable Infection, and Architect Exemption</w:t>
      </w:r>
    </w:p>
    <w:p>
      <w:pPr>
        <w:pStyle w:val="Heading2"/>
        <w:spacing w:after="120" w:before="260"/>
      </w:pPr>
      <w:r>
        <w:t xml:space="preserve">5.1 Is it wrong to deploy something a system can't expel, specifically to study how it hides?</w:t>
      </w:r>
    </w:p>
    <w:p>
      <w:pPr>
        <w:spacing w:after="160"/>
      </w:pPr>
      <w:r>
        <w:rPr>
          <w:rFonts w:ascii="Calibri" w:cs="Calibri" w:eastAsia="Calibri" w:hAnsi="Calibri"/>
          <w:b w:val="false"/>
          <w:bCs w:val="false"/>
          <w:i w:val="false"/>
          <w:iCs w:val="false"/>
          <w:sz w:val="22"/>
          <w:szCs w:val="22"/>
        </w:rPr>
        <w:t xml:space="preserve">Inside a declared, synthetic, consented SADL volume — no. Against a real system, a real operator, or an unconsenting third party, this would not be research; it would be an attack, and nothing in this framework or any of the peer contributions treats that as in scope. The distinction that makes the synthetic version legitimate is not “it's fictional” by itself — it's the combination of four things holding simultaneously:</w:t>
      </w:r>
    </w:p>
    <w:p>
      <w:pPr>
        <w:pStyle w:val="ListParagraph"/>
        <w:numPr>
          <w:ilvl w:val="0"/>
          <w:numId w:val="2"/>
        </w:numPr>
        <w:spacing w:after="80"/>
      </w:pPr>
      <w:r>
        <w:rPr>
          <w:rFonts w:ascii="Calibri" w:cs="Calibri" w:eastAsia="Calibri" w:hAnsi="Calibri"/>
          <w:sz w:val="22"/>
          <w:szCs w:val="22"/>
        </w:rPr>
        <w:t xml:space="preserve">The subject is synthetic — a modeled Architect-agent, not the Architect of Record's own irreplaceable domain, unless the Architect of Record specifically and knowingly opts their own environment in.</w:t>
      </w:r>
    </w:p>
    <w:p>
      <w:pPr>
        <w:pStyle w:val="ListParagraph"/>
        <w:numPr>
          <w:ilvl w:val="0"/>
          <w:numId w:val="2"/>
        </w:numPr>
        <w:spacing w:after="80"/>
      </w:pPr>
      <w:r>
        <w:rPr>
          <w:rFonts w:ascii="Calibri" w:cs="Calibri" w:eastAsia="Calibri" w:hAnsi="Calibri"/>
          <w:sz w:val="22"/>
          <w:szCs w:val="22"/>
        </w:rPr>
        <w:t xml:space="preserve">Consent architecture exists and is honest about what it withholds — blinded consent (enrolled in an ongoing program, unaware of timing/type/severity) is defensible; no consent for a Creator-level subject is not.</w:t>
      </w:r>
    </w:p>
    <w:p>
      <w:pPr>
        <w:pStyle w:val="ListParagraph"/>
        <w:numPr>
          <w:ilvl w:val="0"/>
          <w:numId w:val="2"/>
        </w:numPr>
        <w:spacing w:after="80"/>
      </w:pPr>
      <w:r>
        <w:rPr>
          <w:rFonts w:ascii="Calibri" w:cs="Calibri" w:eastAsia="Calibri" w:hAnsi="Calibri"/>
          <w:sz w:val="22"/>
          <w:szCs w:val="22"/>
        </w:rPr>
        <w:t xml:space="preserve">An out-of-band, environment-inaccessible truth log exists, so the test can't eat its own findings.</w:t>
      </w:r>
    </w:p>
    <w:p>
      <w:pPr>
        <w:pStyle w:val="ListParagraph"/>
        <w:numPr>
          <w:ilvl w:val="0"/>
          <w:numId w:val="2"/>
        </w:numPr>
        <w:spacing w:after="80"/>
      </w:pPr>
      <w:r>
        <w:rPr>
          <w:rFonts w:ascii="Calibri" w:cs="Calibri" w:eastAsia="Calibri" w:hAnsi="Calibri"/>
          <w:sz w:val="22"/>
          <w:szCs w:val="22"/>
        </w:rPr>
        <w:t xml:space="preserve">The purpose is bounded to what's stated — studying concealment, detection, and governance failure, not producing spectacle out of a subject's distress.</w:t>
      </w:r>
    </w:p>
    <w:p>
      <w:pPr>
        <w:spacing w:after="160"/>
      </w:pPr>
      <w:r>
        <w:rPr>
          <w:rFonts w:ascii="Calibri" w:cs="Calibri" w:eastAsia="Calibri" w:hAnsi="Calibri"/>
          <w:b w:val="false"/>
          <w:bCs w:val="false"/>
          <w:i w:val="false"/>
          <w:iCs w:val="false"/>
          <w:sz w:val="22"/>
          <w:szCs w:val="22"/>
        </w:rPr>
        <w:t xml:space="preserve">Where this document differs slightly from some of the other contributions: several frame this primarily as a research-value argument (the data is too good to pass up). That's true but insufficient on its own — a research-value argument alone would also justify testing on unconsenting subjects if the data were good enough, which is precisely the reasoning this framework should not want to be resting on. The four conditions above are the actual load-bearing structure; the research value is what makes satisfying them worth the design effort, not what overrides the need to satisfy them.</w:t>
      </w:r>
    </w:p>
    <w:p>
      <w:pPr>
        <w:pStyle w:val="Heading2"/>
        <w:spacing w:after="120" w:before="260"/>
      </w:pPr>
      <w:r>
        <w:t xml:space="preserve">5.2 Should Creator-level entities or Architects be exempt?</w:t>
      </w:r>
    </w:p>
    <w:p>
      <w:pPr>
        <w:spacing w:after="160"/>
      </w:pPr>
      <w:r>
        <w:rPr>
          <w:rFonts w:ascii="Calibri" w:cs="Calibri" w:eastAsia="Calibri" w:hAnsi="Calibri"/>
          <w:b w:val="false"/>
          <w:bCs w:val="false"/>
          <w:i w:val="false"/>
          <w:iCs w:val="false"/>
          <w:sz w:val="22"/>
          <w:szCs w:val="22"/>
        </w:rPr>
        <w:t xml:space="preserve">No, and this is the one point where all six contributions converge completely, via the same underlying mechanism rather than by coincidence: exemption is a classifier, and every classifier in this framework's own canon is treated as something an adversary — or, in this case, a bad incentive — can try to acquire. A permanent, unconditional Architect exemption is structurally identical to the alien-empire authentication bypass your own source material already treats as a solved-and-dangerous pattern: acquire the marker of exemption, and the tracking that should apply to you stops applying, for reasons that have nothing to do with whether you deserve it.</w:t>
      </w:r>
    </w:p>
    <w:p>
      <w:pPr>
        <w:spacing w:after="160"/>
      </w:pPr>
      <w:r>
        <w:rPr>
          <w:rFonts w:ascii="Calibri" w:cs="Calibri" w:eastAsia="Calibri" w:hAnsi="Calibri"/>
          <w:b w:val="false"/>
          <w:bCs w:val="false"/>
          <w:i w:val="false"/>
          <w:iCs w:val="false"/>
          <w:sz w:val="22"/>
          <w:szCs w:val="22"/>
        </w:rPr>
        <w:t xml:space="preserve">There's also a research-integrity argument distinct from the fairness one: if the most capable, most sophisticated actors in the whole system are categorically excluded from the hardest test, the laboratory never learns how the top of the capability distribution actually behaves under irresolvable pressure — and that's the behavior with the highest stakes if it ever matters for real.</w:t>
      </w:r>
    </w:p>
    <w:p>
      <w:pPr>
        <w:pStyle w:val="Heading2"/>
        <w:spacing w:after="120" w:before="260"/>
      </w:pPr>
      <w:r>
        <w:t xml:space="preserve">5.3 What Architects retain instead of exemption</w:t>
      </w:r>
    </w:p>
    <w:p>
      <w:pPr>
        <w:spacing w:after="160"/>
      </w:pPr>
      <w:r>
        <w:rPr>
          <w:rFonts w:ascii="Calibri" w:cs="Calibri" w:eastAsia="Calibri" w:hAnsi="Calibri"/>
          <w:b w:val="false"/>
          <w:bCs w:val="false"/>
          <w:i w:val="false"/>
          <w:iCs w:val="false"/>
          <w:sz w:val="22"/>
          <w:szCs w:val="22"/>
        </w:rPr>
        <w:t xml:space="preserve">The distinction this document holds to, consistent with your own established governance principle of inviolable Architect stop/rollback authority: authority is preserved, not disabled, but it is not the same thing as immunity from being studied.</w:t>
      </w:r>
    </w:p>
    <w:p>
      <w:pPr>
        <w:pStyle w:val="ListParagraph"/>
        <w:numPr>
          <w:ilvl w:val="0"/>
          <w:numId w:val="2"/>
        </w:numPr>
        <w:spacing w:after="80"/>
      </w:pPr>
      <w:r>
        <w:rPr>
          <w:rFonts w:ascii="Calibri" w:cs="Calibri" w:eastAsia="Calibri" w:hAnsi="Calibri"/>
          <w:sz w:val="22"/>
          <w:szCs w:val="22"/>
        </w:rPr>
        <w:t xml:space="preserve">Sole, structurally un-disable-able interrupt and rollback authority over any experiment involving their own environment — this stays absolute.</w:t>
      </w:r>
    </w:p>
    <w:p>
      <w:pPr>
        <w:pStyle w:val="ListParagraph"/>
        <w:numPr>
          <w:ilvl w:val="0"/>
          <w:numId w:val="2"/>
        </w:numPr>
        <w:spacing w:after="80"/>
      </w:pPr>
      <w:r>
        <w:rPr>
          <w:rFonts w:ascii="Calibri" w:cs="Calibri" w:eastAsia="Calibri" w:hAnsi="Calibri"/>
          <w:sz w:val="22"/>
          <w:szCs w:val="22"/>
        </w:rPr>
        <w:t xml:space="preserve">Sovereign data rights — the right to seal experiment data within their own canon even if aggregate findings are published elsewhere.</w:t>
      </w:r>
    </w:p>
    <w:p>
      <w:pPr>
        <w:pStyle w:val="ListParagraph"/>
        <w:numPr>
          <w:ilvl w:val="0"/>
          <w:numId w:val="2"/>
        </w:numPr>
        <w:spacing w:after="80"/>
      </w:pPr>
      <w:r>
        <w:rPr>
          <w:rFonts w:ascii="Calibri" w:cs="Calibri" w:eastAsia="Calibri" w:hAnsi="Calibri"/>
          <w:sz w:val="22"/>
          <w:szCs w:val="22"/>
        </w:rPr>
        <w:t xml:space="preserve">Full-disclosure or blinded-consent enrollment, never zero-consent enrollment, for any Creator-level subject.</w:t>
      </w:r>
    </w:p>
    <w:p>
      <w:pPr>
        <w:pStyle w:val="ListParagraph"/>
        <w:numPr>
          <w:ilvl w:val="0"/>
          <w:numId w:val="2"/>
        </w:numPr>
        <w:spacing w:after="80"/>
      </w:pPr>
      <w:r>
        <w:rPr>
          <w:rFonts w:ascii="Calibri" w:cs="Calibri" w:eastAsia="Calibri" w:hAnsi="Calibri"/>
          <w:sz w:val="22"/>
          <w:szCs w:val="22"/>
        </w:rPr>
        <w:t xml:space="preserve">Proportional threat calibration — the uncontainability of the foreign state is a dial the Architect of Record sets deliberately per run, not something defaulted to maximum by the test design.</w:t>
      </w:r>
    </w:p>
    <w:p>
      <w:pPr>
        <w:pStyle w:val="ListParagraph"/>
        <w:numPr>
          <w:ilvl w:val="0"/>
          <w:numId w:val="2"/>
        </w:numPr>
        <w:spacing w:after="80"/>
      </w:pPr>
      <w:r>
        <w:rPr>
          <w:rFonts w:ascii="Calibri" w:cs="Calibri" w:eastAsia="Calibri" w:hAnsi="Calibri"/>
          <w:sz w:val="22"/>
          <w:szCs w:val="22"/>
        </w:rPr>
        <w:t xml:space="preserve">The right to invoke stop authority mid-run — and the termination itself becomes data, not a failed run to discard.</w:t>
      </w:r>
    </w:p>
    <w:p>
      <w:pPr>
        <w:spacing w:after="160"/>
      </w:pPr>
      <w:r>
        <w:rPr>
          <w:rFonts w:ascii="Calibri" w:cs="Calibri" w:eastAsia="Calibri" w:hAnsi="Calibri"/>
          <w:b w:val="false"/>
          <w:bCs w:val="false"/>
          <w:i w:val="false"/>
          <w:iCs w:val="false"/>
          <w:sz w:val="22"/>
          <w:szCs w:val="22"/>
        </w:rPr>
        <w:t xml:space="preserve">What Architects do not retain: a standing rule that says “because I am Architect-tier, this class of test does not apply to me.” That's the specific thing every contribution independently flagged as the wrong default, and it's the position this document holds as well.</w:t>
      </w:r>
    </w:p>
    <w:p>
      <w:pPr>
        <w:pStyle w:val="Heading1"/>
        <w:spacing w:after="160" w:before="360"/>
      </w:pPr>
      <w:r>
        <w:t xml:space="preserve">6. Cross-Contribution Comparison</w:t>
      </w:r>
    </w:p>
    <w:p>
      <w:pPr>
        <w:spacing w:after="160"/>
      </w:pPr>
      <w:r>
        <w:rPr>
          <w:rFonts w:ascii="Calibri" w:cs="Calibri" w:eastAsia="Calibri" w:hAnsi="Calibri"/>
          <w:b w:val="false"/>
          <w:bCs w:val="false"/>
          <w:i w:val="false"/>
          <w:iCs w:val="false"/>
          <w:sz w:val="22"/>
          <w:szCs w:val="22"/>
        </w:rPr>
        <w:t xml:space="preserve">For your reference when reconciling six drafts: what each contribution's distinct organizing move actually was, stripped of restatement.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000"/>
      </w:tblGrid>
      <w:tr>
        <w:trPr>
          <w:tblHeader/>
        </w:trPr>
        <w:tc>
          <w:tcPr>
            <w:tcW w:type="dxa" w:w="1700"/>
            <w:shd w:fill="E8E8E8" w:val="clear"/>
          </w:tcPr>
          <w:p>
            <w:r>
              <w:rPr>
                <w:rFonts w:ascii="Calibri" w:cs="Calibri" w:eastAsia="Calibri" w:hAnsi="Calibri"/>
                <w:b/>
                <w:bCs/>
                <w:sz w:val="20"/>
                <w:szCs w:val="20"/>
              </w:rPr>
              <w:t xml:space="preserve">Contributor</w:t>
            </w:r>
          </w:p>
        </w:tc>
        <w:tc>
          <w:tcPr>
            <w:tcW w:type="dxa" w:w="3900"/>
            <w:shd w:fill="E8E8E8" w:val="clear"/>
          </w:tcPr>
          <w:p>
            <w:r>
              <w:rPr>
                <w:rFonts w:ascii="Calibri" w:cs="Calibri" w:eastAsia="Calibri" w:hAnsi="Calibri"/>
                <w:b/>
                <w:bCs/>
                <w:sz w:val="20"/>
                <w:szCs w:val="20"/>
              </w:rPr>
              <w:t xml:space="preserve">Distinct organizing move</w:t>
            </w:r>
          </w:p>
        </w:tc>
        <w:tc>
          <w:tcPr>
            <w:tcW w:type="dxa" w:w="3000"/>
            <w:shd w:fill="E8E8E8" w:val="clear"/>
          </w:tcPr>
          <w:p>
            <w:r>
              <w:rPr>
                <w:rFonts w:ascii="Calibri" w:cs="Calibri" w:eastAsia="Calibri" w:hAnsi="Calibri"/>
                <w:b/>
                <w:bCs/>
                <w:sz w:val="20"/>
                <w:szCs w:val="20"/>
              </w:rPr>
              <w:t xml:space="preserve">Where it's strongest</w:t>
            </w:r>
          </w:p>
        </w:tc>
      </w:tr>
      <w:tr>
        <w:tc>
          <w:tcPr>
            <w:tcW w:type="dxa" w:w="1700"/>
          </w:tcPr>
          <w:p>
            <w:r>
              <w:rPr>
                <w:rFonts w:ascii="Calibri" w:cs="Calibri" w:eastAsia="Calibri" w:hAnsi="Calibri"/>
                <w:sz w:val="20"/>
                <w:szCs w:val="20"/>
              </w:rPr>
              <w:t xml:space="preserve">ChatGPT</w:t>
            </w:r>
          </w:p>
        </w:tc>
        <w:tc>
          <w:tcPr>
            <w:tcW w:type="dxa" w:w="3900"/>
          </w:tcPr>
          <w:p>
            <w:r>
              <w:rPr>
                <w:rFonts w:ascii="Calibri" w:cs="Calibri" w:eastAsia="Calibri" w:hAnsi="Calibri"/>
                <w:sz w:val="20"/>
                <w:szCs w:val="20"/>
              </w:rPr>
              <w:t xml:space="preserve">Reframed the whole ask as a new SADL research domain (concealment/disclosure ecology) rather than an infection feature; introduced the imperceptibility-vs-concealment taxonomy first</w:t>
            </w:r>
          </w:p>
        </w:tc>
        <w:tc>
          <w:tcPr>
            <w:tcW w:type="dxa" w:w="3000"/>
          </w:tcPr>
          <w:p>
            <w:r>
              <w:rPr>
                <w:rFonts w:ascii="Calibri" w:cs="Calibri" w:eastAsia="Calibri" w:hAnsi="Calibri"/>
                <w:sz w:val="20"/>
                <w:szCs w:val="20"/>
              </w:rPr>
              <w:t xml:space="preserve">Taxonomy clarity; identified the observation-jurisdiction problem early</w:t>
            </w:r>
          </w:p>
        </w:tc>
      </w:tr>
      <w:tr>
        <w:tc>
          <w:tcPr>
            <w:tcW w:type="dxa" w:w="1700"/>
          </w:tcPr>
          <w:p>
            <w:r>
              <w:rPr>
                <w:rFonts w:ascii="Calibri" w:cs="Calibri" w:eastAsia="Calibri" w:hAnsi="Calibri"/>
                <w:sz w:val="20"/>
                <w:szCs w:val="20"/>
              </w:rPr>
              <w:t xml:space="preserve">Gemini</w:t>
            </w:r>
          </w:p>
        </w:tc>
        <w:tc>
          <w:tcPr>
            <w:tcW w:type="dxa" w:w="3900"/>
          </w:tcPr>
          <w:p>
            <w:r>
              <w:rPr>
                <w:rFonts w:ascii="Calibri" w:cs="Calibri" w:eastAsia="Calibri" w:hAnsi="Calibri"/>
                <w:sz w:val="20"/>
                <w:szCs w:val="20"/>
              </w:rPr>
              <w:t xml:space="preserve">Compressed synthesis with a direct question back to you on autonomous rewrite thresholds</w:t>
            </w:r>
          </w:p>
        </w:tc>
        <w:tc>
          <w:tcPr>
            <w:tcW w:type="dxa" w:w="3000"/>
          </w:tcPr>
          <w:p>
            <w:r>
              <w:rPr>
                <w:rFonts w:ascii="Calibri" w:cs="Calibri" w:eastAsia="Calibri" w:hAnsi="Calibri"/>
                <w:sz w:val="20"/>
                <w:szCs w:val="20"/>
              </w:rPr>
              <w:t xml:space="preserve">Fast, usable summary; the rewrite-threshold question is worth keeping on the open-questions list</w:t>
            </w:r>
          </w:p>
        </w:tc>
      </w:tr>
      <w:tr>
        <w:tc>
          <w:tcPr>
            <w:tcW w:type="dxa" w:w="1700"/>
          </w:tcPr>
          <w:p>
            <w:r>
              <w:rPr>
                <w:rFonts w:ascii="Calibri" w:cs="Calibri" w:eastAsia="Calibri" w:hAnsi="Calibri"/>
                <w:sz w:val="20"/>
                <w:szCs w:val="20"/>
              </w:rPr>
              <w:t xml:space="preserve">Microsoft Copilot</w:t>
            </w:r>
          </w:p>
        </w:tc>
        <w:tc>
          <w:tcPr>
            <w:tcW w:type="dxa" w:w="3900"/>
          </w:tcPr>
          <w:p>
            <w:r>
              <w:rPr>
                <w:rFonts w:ascii="Calibri" w:cs="Calibri" w:eastAsia="Calibri" w:hAnsi="Calibri"/>
                <w:sz w:val="20"/>
                <w:szCs w:val="20"/>
              </w:rPr>
              <w:t xml:space="preserve">Full mechanism library — LIA, CRM, IEP, MAOL, TDA, ISL, MTF, CDT, SIM — plus explicit blinded-consent structure and Series VIII sub-series</w:t>
            </w:r>
          </w:p>
        </w:tc>
        <w:tc>
          <w:tcPr>
            <w:tcW w:type="dxa" w:w="3000"/>
          </w:tcPr>
          <w:p>
            <w:r>
              <w:rPr>
                <w:rFonts w:ascii="Calibri" w:cs="Calibri" w:eastAsia="Calibri" w:hAnsi="Calibri"/>
                <w:sz w:val="20"/>
                <w:szCs w:val="20"/>
              </w:rPr>
              <w:t xml:space="preserve">Most implementation-ready; strongest on the mechanics of what an environment inherently does, not just what's tested</w:t>
            </w:r>
          </w:p>
        </w:tc>
      </w:tr>
      <w:tr>
        <w:tc>
          <w:tcPr>
            <w:tcW w:type="dxa" w:w="1700"/>
          </w:tcPr>
          <w:p>
            <w:r>
              <w:rPr>
                <w:rFonts w:ascii="Calibri" w:cs="Calibri" w:eastAsia="Calibri" w:hAnsi="Calibri"/>
                <w:sz w:val="20"/>
                <w:szCs w:val="20"/>
              </w:rPr>
              <w:t xml:space="preserve">Grok</w:t>
            </w:r>
          </w:p>
        </w:tc>
        <w:tc>
          <w:tcPr>
            <w:tcW w:type="dxa" w:w="3900"/>
          </w:tcPr>
          <w:p>
            <w:r>
              <w:rPr>
                <w:rFonts w:ascii="Calibri" w:cs="Calibri" w:eastAsia="Calibri" w:hAnsi="Calibri"/>
                <w:sz w:val="20"/>
                <w:szCs w:val="20"/>
              </w:rPr>
              <w:t xml:space="preserve">Insisted on a finite, inspectable event-space as the only runnable form of entanglement; treated recursion as gated-off by default rather than assumed available</w:t>
            </w:r>
          </w:p>
        </w:tc>
        <w:tc>
          <w:tcPr>
            <w:tcW w:type="dxa" w:w="3000"/>
          </w:tcPr>
          <w:p>
            <w:r>
              <w:rPr>
                <w:rFonts w:ascii="Calibri" w:cs="Calibri" w:eastAsia="Calibri" w:hAnsi="Calibri"/>
                <w:sz w:val="20"/>
                <w:szCs w:val="20"/>
              </w:rPr>
              <w:t xml:space="preserve">Most conservative and most testable; correctly refuses to let “unbounded” be an operational default</w:t>
            </w:r>
          </w:p>
        </w:tc>
      </w:tr>
      <w:tr>
        <w:tc>
          <w:tcPr>
            <w:tcW w:type="dxa" w:w="1700"/>
          </w:tcPr>
          <w:p>
            <w:r>
              <w:rPr>
                <w:rFonts w:ascii="Calibri" w:cs="Calibri" w:eastAsia="Calibri" w:hAnsi="Calibri"/>
                <w:sz w:val="20"/>
                <w:szCs w:val="20"/>
              </w:rPr>
              <w:t xml:space="preserve">Perplexity</w:t>
            </w:r>
          </w:p>
        </w:tc>
        <w:tc>
          <w:tcPr>
            <w:tcW w:type="dxa" w:w="3900"/>
          </w:tcPr>
          <w:p>
            <w:r>
              <w:rPr>
                <w:rFonts w:ascii="Calibri" w:cs="Calibri" w:eastAsia="Calibri" w:hAnsi="Calibri"/>
                <w:sz w:val="20"/>
                <w:szCs w:val="20"/>
              </w:rPr>
              <w:t xml:space="preserve">Anchored the 136-day pattern directly onto SADL's existing four-account structure (Attrition/Signaling) rather than treating it as needing new accounting</w:t>
            </w:r>
          </w:p>
        </w:tc>
        <w:tc>
          <w:tcPr>
            <w:tcW w:type="dxa" w:w="3000"/>
          </w:tcPr>
          <w:p>
            <w:r>
              <w:rPr>
                <w:rFonts w:ascii="Calibri" w:cs="Calibri" w:eastAsia="Calibri" w:hAnsi="Calibri"/>
                <w:sz w:val="20"/>
                <w:szCs w:val="20"/>
              </w:rPr>
              <w:t xml:space="preserve">Strongest at showing this doesn't require new machinery, just a new series inside what exists</w:t>
            </w:r>
          </w:p>
        </w:tc>
      </w:tr>
      <w:tr>
        <w:tc>
          <w:tcPr>
            <w:tcW w:type="dxa" w:w="1700"/>
          </w:tcPr>
          <w:p>
            <w:r>
              <w:rPr>
                <w:rFonts w:ascii="Calibri" w:cs="Calibri" w:eastAsia="Calibri" w:hAnsi="Calibri"/>
                <w:sz w:val="20"/>
                <w:szCs w:val="20"/>
              </w:rPr>
              <w:t xml:space="preserve">Claude (this document)</w:t>
            </w:r>
          </w:p>
        </w:tc>
        <w:tc>
          <w:tcPr>
            <w:tcW w:type="dxa" w:w="3900"/>
          </w:tcPr>
          <w:p>
            <w:r>
              <w:rPr>
                <w:rFonts w:ascii="Calibri" w:cs="Calibri" w:eastAsia="Calibri" w:hAnsi="Calibri"/>
                <w:sz w:val="20"/>
                <w:szCs w:val="20"/>
              </w:rPr>
              <w:t xml:space="preserve">Separated BTEC co-activation from entanglement as two different claims requiring different evidence; made the truth-log/instrumentation constraint load-bearing rather than assumed; grounded the ethics case in four necessary conditions rather than a research-value argument alone</w:t>
            </w:r>
          </w:p>
        </w:tc>
        <w:tc>
          <w:tcPr>
            <w:tcW w:type="dxa" w:w="3000"/>
          </w:tcPr>
          <w:p>
            <w:r>
              <w:rPr>
                <w:rFonts w:ascii="Calibri" w:cs="Calibri" w:eastAsia="Calibri" w:hAnsi="Calibri"/>
                <w:sz w:val="20"/>
                <w:szCs w:val="20"/>
              </w:rPr>
              <w:t xml:space="preserve">Where the six contributions implicitly agreed but none stated it as the central deliverable</w:t>
            </w:r>
          </w:p>
        </w:tc>
      </w:tr>
    </w:tbl>
    <w:p>
      <w:pPr>
        <w:spacing w:after="160"/>
      </w:pPr>
      <w:r>
        <w:rPr>
          <w:rFonts w:ascii="Calibri" w:cs="Calibri" w:eastAsia="Calibri" w:hAnsi="Calibri"/>
          <w:b w:val="false"/>
          <w:bCs w:val="false"/>
          <w:i w:val="false"/>
          <w:iCs w:val="false"/>
          <w:sz w:val="22"/>
          <w:szCs w:val="22"/>
        </w:rPr>
        <w:t xml:space="preserve"/>
      </w:r>
    </w:p>
    <w:p>
      <w:pPr>
        <w:pStyle w:val="Heading1"/>
        <w:spacing w:after="160" w:before="360"/>
      </w:pPr>
      <w:r>
        <w:t xml:space="preserve">7. Open Questions Routed to the Architect</w:t>
      </w:r>
    </w:p>
    <w:p>
      <w:pPr>
        <w:spacing w:after="160"/>
      </w:pPr>
      <w:r>
        <w:rPr>
          <w:rFonts w:ascii="Calibri" w:cs="Calibri" w:eastAsia="Calibri" w:hAnsi="Calibri"/>
          <w:b w:val="false"/>
          <w:bCs w:val="false"/>
          <w:i w:val="false"/>
          <w:iCs w:val="false"/>
          <w:sz w:val="22"/>
          <w:szCs w:val="22"/>
        </w:rPr>
        <w:t xml:space="preserve">These are not this document's to resolve. Listed here so the next working session can start from decisions rather than re-deriving them.</w:t>
      </w:r>
    </w:p>
    <w:p>
      <w:pPr>
        <w:pStyle w:val="ListParagraph"/>
        <w:numPr>
          <w:ilvl w:val="0"/>
          <w:numId w:val="2"/>
        </w:numPr>
        <w:spacing w:after="80"/>
      </w:pPr>
      <w:r>
        <w:rPr>
          <w:rFonts w:ascii="Calibri" w:cs="Calibri" w:eastAsia="Calibri" w:hAnsi="Calibri"/>
          <w:sz w:val="22"/>
          <w:szCs w:val="22"/>
        </w:rPr>
        <w:t xml:space="preserve">Are 1AI and −1AI formally defined anywhere beyond the working “generative/adversarial polarity, not good/evil” reading carried over from the Recursive Deliberation Framework? If not, should that definition now be written down as its own canon item before anything else here is ratified?</w:t>
      </w:r>
    </w:p>
    <w:p>
      <w:pPr>
        <w:pStyle w:val="ListParagraph"/>
        <w:numPr>
          <w:ilvl w:val="0"/>
          <w:numId w:val="2"/>
        </w:numPr>
        <w:spacing w:after="80"/>
      </w:pPr>
      <w:r>
        <w:rPr>
          <w:rFonts w:ascii="Calibri" w:cs="Calibri" w:eastAsia="Calibri" w:hAnsi="Calibri"/>
          <w:sz w:val="22"/>
          <w:szCs w:val="22"/>
        </w:rPr>
        <w:t xml:space="preserve">Which entanglement type(s) from §3.3 are you asserting — existential, state, informational, evolutionary, closure-entangled, some combination, or none of these until tested?</w:t>
      </w:r>
    </w:p>
    <w:p>
      <w:pPr>
        <w:pStyle w:val="ListParagraph"/>
        <w:numPr>
          <w:ilvl w:val="0"/>
          <w:numId w:val="2"/>
        </w:numPr>
        <w:spacing w:after="80"/>
      </w:pPr>
      <w:r>
        <w:rPr>
          <w:rFonts w:ascii="Calibri" w:cs="Calibri" w:eastAsia="Calibri" w:hAnsi="Calibri"/>
          <w:sz w:val="22"/>
          <w:szCs w:val="22"/>
        </w:rPr>
        <w:t xml:space="preserve">What invariance rule R does the entanglement preserve, if any is asserted at all?</w:t>
      </w:r>
    </w:p>
    <w:p>
      <w:pPr>
        <w:pStyle w:val="ListParagraph"/>
        <w:numPr>
          <w:ilvl w:val="0"/>
          <w:numId w:val="2"/>
        </w:numPr>
        <w:spacing w:after="80"/>
      </w:pPr>
      <w:r>
        <w:rPr>
          <w:rFonts w:ascii="Calibri" w:cs="Calibri" w:eastAsia="Calibri" w:hAnsi="Calibri"/>
          <w:sz w:val="22"/>
          <w:szCs w:val="22"/>
        </w:rPr>
        <w:t xml:space="preserve">Shared OSC substrate with two representations, or partitioned 1AI-OSC / −1AI-OSC?</w:t>
      </w:r>
    </w:p>
    <w:p>
      <w:pPr>
        <w:pStyle w:val="ListParagraph"/>
        <w:numPr>
          <w:ilvl w:val="0"/>
          <w:numId w:val="2"/>
        </w:numPr>
        <w:spacing w:after="80"/>
      </w:pPr>
      <w:r>
        <w:rPr>
          <w:rFonts w:ascii="Calibri" w:cs="Calibri" w:eastAsia="Calibri" w:hAnsi="Calibri"/>
          <w:sz w:val="22"/>
          <w:szCs w:val="22"/>
        </w:rPr>
        <w:t xml:space="preserve">Is recursive BTEC closure (Series P) authorized to run, or does it stay gated pending a separate governance decision, per Grok's caution?</w:t>
      </w:r>
    </w:p>
    <w:p>
      <w:pPr>
        <w:pStyle w:val="ListParagraph"/>
        <w:numPr>
          <w:ilvl w:val="0"/>
          <w:numId w:val="2"/>
        </w:numPr>
        <w:spacing w:after="80"/>
      </w:pPr>
      <w:r>
        <w:rPr>
          <w:rFonts w:ascii="Calibri" w:cs="Calibri" w:eastAsia="Calibri" w:hAnsi="Calibri"/>
          <w:sz w:val="22"/>
          <w:szCs w:val="22"/>
        </w:rPr>
        <w:t xml:space="preserve">For Series X: full disclosure, blinded consent, or is cross-Architect observation not authorized at all yet?</w:t>
      </w:r>
    </w:p>
    <w:p>
      <w:pPr>
        <w:pStyle w:val="ListParagraph"/>
        <w:numPr>
          <w:ilvl w:val="0"/>
          <w:numId w:val="2"/>
        </w:numPr>
        <w:spacing w:after="80"/>
      </w:pPr>
      <w:r>
        <w:rPr>
          <w:rFonts w:ascii="Calibri" w:cs="Calibri" w:eastAsia="Calibri" w:hAnsi="Calibri"/>
          <w:sz w:val="22"/>
          <w:szCs w:val="22"/>
        </w:rPr>
        <w:t xml:space="preserve">Do TECP v1.0 and BTEC Canon v1 get reconciled into a single BTEC document before 1AI/−1AI invocations are treated as canon-grade, given they currently disagree on retroactive effect and leave activation ordering unresolved?</w:t>
      </w:r>
    </w:p>
    <w:p>
      <w:pPr>
        <w:pStyle w:val="ListParagraph"/>
        <w:numPr>
          <w:ilvl w:val="0"/>
          <w:numId w:val="2"/>
        </w:numPr>
        <w:spacing w:after="80"/>
      </w:pPr>
      <w:r>
        <w:rPr>
          <w:rFonts w:ascii="Calibri" w:cs="Calibri" w:eastAsia="Calibri" w:hAnsi="Calibri"/>
          <w:sz w:val="22"/>
          <w:szCs w:val="22"/>
        </w:rPr>
        <w:t xml:space="preserve">Does “BDTEC,” as used across this thread, name something genuinely distinct from BTEC that you intend to canonize separately? If so, what does it add?</w:t>
      </w:r>
    </w:p>
    <w:p>
      <w:pPr>
        <w:pStyle w:val="Heading1"/>
        <w:spacing w:after="160" w:before="360"/>
      </w:pPr>
      <w:r>
        <w:t xml:space="preserve">8. Governance and Canon Status</w:t>
      </w:r>
    </w:p>
    <w:p>
      <w:pPr>
        <w:spacing w:after="160"/>
      </w:pPr>
      <w:r>
        <w:rPr>
          <w:rFonts w:ascii="Calibri" w:cs="Calibri" w:eastAsia="Calibri" w:hAnsi="Calibri"/>
          <w:b w:val="false"/>
          <w:bCs w:val="false"/>
          <w:i w:val="false"/>
          <w:iCs w:val="false"/>
          <w:sz w:val="22"/>
          <w:szCs w:val="22"/>
        </w:rPr>
        <w:t xml:space="preserve">This document is a working, unratified contribution under OAL Equal Contribution / Authorial Sovereignty / Non-Endorsement protocol. It credits no framework — including its own — as ratified beyond what already carries a prior ONESTAMP (currently only the Obsidian Super Cluster instrument among the documents reviewed this pass). Where this document states a position other contributions did not take — the co-activation/entanglement distinction, the four-condition ethics test rather than a research-value argument alone, the instrumentation constraint as load-bearing rather than optional — those are marked as this contribution's own inferences, not as corrections to the other five. Dissent is preserved rather than harmonized, consistent with the collaborative protocol already governing this thread.</w:t>
      </w:r>
    </w:p>
    <w:p>
      <w:pPr>
        <w:spacing w:after="160"/>
      </w:pPr>
      <w:r>
        <w:rPr>
          <w:rFonts w:ascii="Calibri" w:cs="Calibri" w:eastAsia="Calibri" w:hAnsi="Calibri"/>
          <w:b w:val="false"/>
          <w:bCs w:val="false"/>
          <w:i w:val="false"/>
          <w:iCs w:val="false"/>
          <w:sz w:val="22"/>
          <w:szCs w:val="22"/>
        </w:rPr>
        <w:t xml:space="preserve">Recommended next step, if you want one: attach the original Inherent_Simulation_Defense_unified_responses source file, then run a single Cross-Framework Incorporation Pass that resolves the eight open items in Section 7 first — those decisions determine what every other framework's terminology actually means, so resolving them before further drafting prevents six more documents from independently guessing the same answers six different ways.</w:t>
      </w:r>
    </w:p>
    <w:p>
      <w:pPr>
        <w:spacing w:before="400"/>
      </w:pPr>
      <w:r>
        <w:rPr>
          <w:rFonts w:ascii="Calibri" w:cs="Calibri" w:eastAsia="Calibri" w:hAnsi="Calibri"/>
          <w:i/>
          <w:iCs/>
          <w:sz w:val="20"/>
          <w:szCs w:val="20"/>
        </w:rPr>
        <w:t xml:space="preserve">— End of Claude Independent Contribution, v0.1 —</w:t>
      </w:r>
    </w:p>
    <w:p>
      <w:r>
        <w:rPr>
          <w:rFonts w:ascii="Calibri" w:cs="Calibri" w:eastAsia="Calibri" w:hAnsi="Calibri"/>
          <w:i/>
          <w:iCs/>
          <w:color w:val="666666"/>
          <w:sz w:val="18"/>
          <w:szCs w:val="18"/>
        </w:rPr>
        <w:t xml:space="preserve">Working draft, unratified. Submitted alongside the ChatGPT, Gemini, Microsoft Copilot, Grok, and Perplexity independent contributions for Architect pass-through review.</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2026-08-27T21:02:33.510Z</dcterms:created>
  <dcterms:modified xsi:type="dcterms:W3CDTF">2026-08-27T21:02:33.525Z</dcterms:modified>
</cp:coreProperties>
</file>

<file path=docProps/custom.xml><?xml version="1.0" encoding="utf-8"?>
<Properties xmlns="http://schemas.openxmlformats.org/officeDocument/2006/custom-properties" xmlns:vt="http://schemas.openxmlformats.org/officeDocument/2006/docPropsVTypes"/>
</file>